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E87AEA" w14:textId="2F2F47DA" w:rsidR="00DD3D70" w:rsidRPr="00CA4ABC" w:rsidRDefault="00DD3D70" w:rsidP="004053D7">
      <w:pPr>
        <w:spacing w:line="360" w:lineRule="auto"/>
        <w:jc w:val="center"/>
        <w:rPr>
          <w:rFonts w:cstheme="minorHAnsi"/>
          <w:color w:val="000000" w:themeColor="text1"/>
          <w:sz w:val="36"/>
          <w:szCs w:val="36"/>
        </w:rPr>
      </w:pPr>
      <w:bookmarkStart w:id="0" w:name="_GoBack"/>
      <w:bookmarkEnd w:id="0"/>
      <w:r w:rsidRPr="00CA4ABC">
        <w:rPr>
          <w:rFonts w:cstheme="minorHAnsi"/>
          <w:noProof/>
          <w:color w:val="000000" w:themeColor="text1"/>
          <w:sz w:val="36"/>
          <w:szCs w:val="36"/>
        </w:rPr>
        <w:drawing>
          <wp:inline distT="0" distB="0" distL="0" distR="0" wp14:anchorId="340D858B" wp14:editId="380909DD">
            <wp:extent cx="2600960" cy="782320"/>
            <wp:effectExtent l="0" t="0" r="2540" b="5080"/>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00960" cy="782320"/>
                    </a:xfrm>
                    <a:prstGeom prst="rect">
                      <a:avLst/>
                    </a:prstGeom>
                    <a:noFill/>
                    <a:ln>
                      <a:noFill/>
                    </a:ln>
                  </pic:spPr>
                </pic:pic>
              </a:graphicData>
            </a:graphic>
          </wp:inline>
        </w:drawing>
      </w:r>
    </w:p>
    <w:p w14:paraId="46CE8F4F" w14:textId="77777777" w:rsidR="00DD3D70" w:rsidRPr="00CA4ABC" w:rsidRDefault="00DD3D70" w:rsidP="004053D7">
      <w:pPr>
        <w:spacing w:line="360" w:lineRule="auto"/>
        <w:jc w:val="center"/>
        <w:rPr>
          <w:rFonts w:cstheme="minorHAnsi"/>
          <w:color w:val="000000" w:themeColor="text1"/>
          <w:sz w:val="36"/>
          <w:szCs w:val="36"/>
        </w:rPr>
      </w:pPr>
    </w:p>
    <w:p w14:paraId="4D8E888C" w14:textId="76C0356D" w:rsidR="00DD3D70" w:rsidRPr="00CA4ABC" w:rsidRDefault="00DD3D70" w:rsidP="004053D7">
      <w:pPr>
        <w:spacing w:line="360" w:lineRule="auto"/>
        <w:jc w:val="center"/>
        <w:rPr>
          <w:rFonts w:cstheme="minorHAnsi"/>
          <w:color w:val="000000" w:themeColor="text1"/>
          <w:sz w:val="36"/>
          <w:szCs w:val="36"/>
        </w:rPr>
      </w:pPr>
      <w:r w:rsidRPr="00CA4ABC">
        <w:rPr>
          <w:rFonts w:cstheme="minorHAnsi"/>
          <w:color w:val="000000" w:themeColor="text1"/>
          <w:sz w:val="36"/>
          <w:szCs w:val="36"/>
        </w:rPr>
        <w:t>Thesis Title</w:t>
      </w:r>
    </w:p>
    <w:p w14:paraId="743891C2" w14:textId="393CBF61" w:rsidR="00DD3D70" w:rsidRPr="00CA4ABC" w:rsidRDefault="00DD3D70" w:rsidP="004053D7">
      <w:pPr>
        <w:spacing w:line="360" w:lineRule="auto"/>
        <w:jc w:val="center"/>
        <w:rPr>
          <w:rFonts w:cstheme="minorHAnsi"/>
          <w:color w:val="000000" w:themeColor="text1"/>
          <w:sz w:val="36"/>
          <w:szCs w:val="36"/>
        </w:rPr>
      </w:pPr>
    </w:p>
    <w:p w14:paraId="6A86C879" w14:textId="247E0361" w:rsidR="00DD3D70" w:rsidRPr="00CA4ABC" w:rsidRDefault="00DD3D70" w:rsidP="004053D7">
      <w:pPr>
        <w:spacing w:line="360" w:lineRule="auto"/>
        <w:jc w:val="center"/>
        <w:rPr>
          <w:rFonts w:cstheme="minorHAnsi"/>
          <w:b/>
          <w:bCs/>
          <w:color w:val="000000" w:themeColor="text1"/>
          <w:sz w:val="36"/>
          <w:szCs w:val="36"/>
        </w:rPr>
      </w:pPr>
      <w:r w:rsidRPr="00CA4ABC">
        <w:rPr>
          <w:rFonts w:cstheme="minorHAnsi"/>
          <w:b/>
          <w:bCs/>
          <w:color w:val="000000" w:themeColor="text1"/>
          <w:sz w:val="36"/>
          <w:szCs w:val="36"/>
        </w:rPr>
        <w:t>T</w:t>
      </w:r>
      <w:r w:rsidR="009F6CC5" w:rsidRPr="00CA4ABC">
        <w:rPr>
          <w:rFonts w:cstheme="minorHAnsi"/>
          <w:b/>
          <w:bCs/>
          <w:color w:val="000000" w:themeColor="text1"/>
          <w:sz w:val="36"/>
          <w:szCs w:val="36"/>
        </w:rPr>
        <w:t xml:space="preserve">he design of </w:t>
      </w:r>
      <w:r w:rsidRPr="00CA4ABC">
        <w:rPr>
          <w:rFonts w:cstheme="minorHAnsi"/>
          <w:b/>
          <w:bCs/>
          <w:color w:val="000000" w:themeColor="text1"/>
          <w:sz w:val="36"/>
          <w:szCs w:val="36"/>
        </w:rPr>
        <w:t>an exercise and nutrition</w:t>
      </w:r>
      <w:r w:rsidR="009F6CC5" w:rsidRPr="00CA4ABC">
        <w:rPr>
          <w:rFonts w:cstheme="minorHAnsi"/>
          <w:b/>
          <w:bCs/>
          <w:color w:val="000000" w:themeColor="text1"/>
          <w:sz w:val="36"/>
          <w:szCs w:val="36"/>
        </w:rPr>
        <w:t xml:space="preserve"> intervention</w:t>
      </w:r>
      <w:r w:rsidRPr="00CA4ABC">
        <w:rPr>
          <w:rFonts w:cstheme="minorHAnsi"/>
          <w:b/>
          <w:bCs/>
          <w:color w:val="000000" w:themeColor="text1"/>
          <w:sz w:val="36"/>
          <w:szCs w:val="36"/>
        </w:rPr>
        <w:t xml:space="preserve"> trial for middle-aged adults aimed at preventing muscle loss.</w:t>
      </w:r>
    </w:p>
    <w:p w14:paraId="0D81A2DD" w14:textId="4151ABFC" w:rsidR="00DD3D70" w:rsidRPr="00CA4ABC" w:rsidRDefault="00DD3D70" w:rsidP="004053D7">
      <w:pPr>
        <w:spacing w:line="360" w:lineRule="auto"/>
        <w:jc w:val="center"/>
        <w:rPr>
          <w:rFonts w:cstheme="minorHAnsi"/>
          <w:color w:val="000000" w:themeColor="text1"/>
          <w:sz w:val="36"/>
          <w:szCs w:val="36"/>
        </w:rPr>
      </w:pPr>
    </w:p>
    <w:p w14:paraId="61EFA5FE" w14:textId="2A898F16" w:rsidR="00DD3D70" w:rsidRPr="00CA4ABC" w:rsidRDefault="00DD3D70" w:rsidP="004053D7">
      <w:pPr>
        <w:spacing w:line="360" w:lineRule="auto"/>
        <w:jc w:val="center"/>
        <w:rPr>
          <w:rFonts w:cstheme="minorHAnsi"/>
          <w:color w:val="000000" w:themeColor="text1"/>
          <w:sz w:val="36"/>
          <w:szCs w:val="36"/>
        </w:rPr>
      </w:pPr>
      <w:r w:rsidRPr="00CA4ABC">
        <w:rPr>
          <w:rFonts w:cstheme="minorHAnsi"/>
          <w:color w:val="000000" w:themeColor="text1"/>
          <w:sz w:val="36"/>
          <w:szCs w:val="36"/>
        </w:rPr>
        <w:t>By Esme Tuttiett</w:t>
      </w:r>
    </w:p>
    <w:p w14:paraId="6930F843" w14:textId="1F6D7B07" w:rsidR="00DD3D70" w:rsidRPr="00CA4ABC" w:rsidRDefault="00DD3D70" w:rsidP="004053D7">
      <w:pPr>
        <w:pStyle w:val="NormalWeb"/>
        <w:spacing w:line="360" w:lineRule="auto"/>
        <w:jc w:val="center"/>
        <w:rPr>
          <w:rFonts w:asciiTheme="minorHAnsi" w:hAnsiTheme="minorHAnsi" w:cstheme="minorHAnsi"/>
          <w:color w:val="000000" w:themeColor="text1"/>
          <w:sz w:val="32"/>
          <w:szCs w:val="32"/>
        </w:rPr>
      </w:pPr>
      <w:r w:rsidRPr="00CA4ABC">
        <w:rPr>
          <w:rFonts w:asciiTheme="minorHAnsi" w:hAnsiTheme="minorHAnsi" w:cstheme="minorHAnsi"/>
          <w:color w:val="000000" w:themeColor="text1"/>
          <w:sz w:val="32"/>
          <w:szCs w:val="32"/>
        </w:rPr>
        <w:t>A thesis submitted in partial fulfilment of the requirements for the degree of Doctor of Philosophy</w:t>
      </w:r>
    </w:p>
    <w:p w14:paraId="16B1137C" w14:textId="7D5C9526" w:rsidR="00DD3D70" w:rsidRPr="00CA4ABC" w:rsidRDefault="00DD3D70" w:rsidP="004053D7">
      <w:pPr>
        <w:pStyle w:val="NormalWeb"/>
        <w:spacing w:line="360" w:lineRule="auto"/>
        <w:jc w:val="center"/>
        <w:rPr>
          <w:rFonts w:asciiTheme="minorHAnsi" w:hAnsiTheme="minorHAnsi" w:cstheme="minorHAnsi"/>
          <w:color w:val="000000" w:themeColor="text1"/>
          <w:sz w:val="32"/>
          <w:szCs w:val="32"/>
        </w:rPr>
      </w:pPr>
      <w:r w:rsidRPr="00CA4ABC">
        <w:rPr>
          <w:rFonts w:asciiTheme="minorHAnsi" w:hAnsiTheme="minorHAnsi" w:cstheme="minorHAnsi"/>
          <w:color w:val="000000" w:themeColor="text1"/>
          <w:sz w:val="32"/>
          <w:szCs w:val="32"/>
        </w:rPr>
        <w:t>The University of Sheffield Faculty of Medicine, Dentistry and Health Department of Oncology and Metabolism</w:t>
      </w:r>
    </w:p>
    <w:p w14:paraId="63D2CFA2" w14:textId="77777777" w:rsidR="00DD3D70" w:rsidRPr="00CA4ABC" w:rsidRDefault="00DD3D70" w:rsidP="004053D7">
      <w:pPr>
        <w:pStyle w:val="NormalWeb"/>
        <w:spacing w:line="360" w:lineRule="auto"/>
        <w:jc w:val="center"/>
        <w:rPr>
          <w:rFonts w:asciiTheme="minorHAnsi" w:hAnsiTheme="minorHAnsi" w:cstheme="minorHAnsi"/>
          <w:color w:val="000000" w:themeColor="text1"/>
          <w:sz w:val="36"/>
          <w:szCs w:val="36"/>
        </w:rPr>
      </w:pPr>
    </w:p>
    <w:p w14:paraId="7BA13289" w14:textId="0C86BFF4" w:rsidR="00DD3D70" w:rsidRPr="00CA4ABC" w:rsidRDefault="00DD3D70" w:rsidP="004053D7">
      <w:pPr>
        <w:spacing w:line="360" w:lineRule="auto"/>
        <w:jc w:val="center"/>
        <w:rPr>
          <w:rFonts w:cstheme="minorHAnsi"/>
          <w:color w:val="000000" w:themeColor="text1"/>
          <w:sz w:val="28"/>
          <w:szCs w:val="28"/>
        </w:rPr>
      </w:pPr>
      <w:r w:rsidRPr="00CA4ABC">
        <w:rPr>
          <w:rFonts w:cstheme="minorHAnsi"/>
          <w:color w:val="000000" w:themeColor="text1"/>
          <w:sz w:val="28"/>
          <w:szCs w:val="28"/>
        </w:rPr>
        <w:t xml:space="preserve">Submitted: </w:t>
      </w:r>
      <w:r w:rsidR="009F6CC5" w:rsidRPr="00CA4ABC">
        <w:rPr>
          <w:rFonts w:cstheme="minorHAnsi"/>
          <w:color w:val="000000" w:themeColor="text1"/>
          <w:sz w:val="28"/>
          <w:szCs w:val="28"/>
        </w:rPr>
        <w:t>February</w:t>
      </w:r>
      <w:r w:rsidRPr="00CA4ABC">
        <w:rPr>
          <w:rFonts w:cstheme="minorHAnsi"/>
          <w:color w:val="000000" w:themeColor="text1"/>
          <w:sz w:val="28"/>
          <w:szCs w:val="28"/>
        </w:rPr>
        <w:t xml:space="preserve"> 2023.</w:t>
      </w:r>
    </w:p>
    <w:p w14:paraId="13B60B24" w14:textId="49D625CA" w:rsidR="00DD3D70" w:rsidRPr="00CA4ABC" w:rsidRDefault="00DD3D70" w:rsidP="004053D7">
      <w:pPr>
        <w:spacing w:line="360" w:lineRule="auto"/>
        <w:rPr>
          <w:rFonts w:cstheme="minorHAnsi"/>
          <w:color w:val="000000" w:themeColor="text1"/>
        </w:rPr>
      </w:pPr>
    </w:p>
    <w:p w14:paraId="37749BB0" w14:textId="0F857898" w:rsidR="00DD3D70" w:rsidRPr="00CA4ABC" w:rsidRDefault="00DD3D70" w:rsidP="004053D7">
      <w:pPr>
        <w:spacing w:line="360" w:lineRule="auto"/>
        <w:rPr>
          <w:rFonts w:cstheme="minorHAnsi"/>
          <w:color w:val="000000" w:themeColor="text1"/>
        </w:rPr>
      </w:pPr>
    </w:p>
    <w:p w14:paraId="0E7027E7" w14:textId="7FB783BC" w:rsidR="00DD3D70" w:rsidRPr="00CA4ABC" w:rsidRDefault="00DD3D70" w:rsidP="004053D7">
      <w:pPr>
        <w:spacing w:line="360" w:lineRule="auto"/>
        <w:rPr>
          <w:rFonts w:cstheme="minorHAnsi"/>
          <w:color w:val="000000" w:themeColor="text1"/>
        </w:rPr>
      </w:pPr>
    </w:p>
    <w:p w14:paraId="3E45B3B1" w14:textId="130B5276" w:rsidR="00DD3D70" w:rsidRPr="00CA4ABC" w:rsidRDefault="00DD3D70" w:rsidP="004053D7">
      <w:pPr>
        <w:spacing w:line="360" w:lineRule="auto"/>
        <w:rPr>
          <w:rFonts w:cstheme="minorHAnsi"/>
          <w:color w:val="000000" w:themeColor="text1"/>
        </w:rPr>
      </w:pPr>
    </w:p>
    <w:p w14:paraId="34674572" w14:textId="78DFF250" w:rsidR="00DD3D70" w:rsidRPr="00CA4ABC" w:rsidRDefault="00DD3D70" w:rsidP="004053D7">
      <w:pPr>
        <w:spacing w:line="360" w:lineRule="auto"/>
        <w:rPr>
          <w:rFonts w:cstheme="minorHAnsi"/>
          <w:color w:val="000000" w:themeColor="text1"/>
        </w:rPr>
      </w:pPr>
    </w:p>
    <w:p w14:paraId="425FE757" w14:textId="743ACD3E" w:rsidR="00DD3D70" w:rsidRPr="00CA4ABC" w:rsidRDefault="00DD3D70" w:rsidP="004053D7">
      <w:pPr>
        <w:spacing w:line="360" w:lineRule="auto"/>
        <w:rPr>
          <w:rFonts w:cstheme="minorHAnsi"/>
          <w:color w:val="000000" w:themeColor="text1"/>
        </w:rPr>
      </w:pPr>
    </w:p>
    <w:p w14:paraId="6B193E72" w14:textId="338D7A1F" w:rsidR="00DD3D70" w:rsidRPr="00CA4ABC" w:rsidRDefault="00DD3D70" w:rsidP="004053D7">
      <w:pPr>
        <w:pStyle w:val="Heading2"/>
        <w:spacing w:line="360" w:lineRule="auto"/>
        <w:rPr>
          <w:rFonts w:asciiTheme="minorHAnsi" w:hAnsiTheme="minorHAnsi" w:cstheme="minorHAnsi"/>
          <w:b/>
          <w:bCs/>
          <w:color w:val="000000" w:themeColor="text1"/>
        </w:rPr>
      </w:pPr>
      <w:bookmarkStart w:id="1" w:name="_Toc135384225"/>
      <w:r w:rsidRPr="00CA4ABC">
        <w:rPr>
          <w:rFonts w:asciiTheme="minorHAnsi" w:hAnsiTheme="minorHAnsi" w:cstheme="minorHAnsi"/>
          <w:b/>
          <w:bCs/>
          <w:color w:val="000000" w:themeColor="text1"/>
        </w:rPr>
        <w:lastRenderedPageBreak/>
        <w:t>Abstract:</w:t>
      </w:r>
      <w:bookmarkEnd w:id="1"/>
    </w:p>
    <w:p w14:paraId="3CAE5589" w14:textId="084C57F5" w:rsidR="00DD3D70" w:rsidRPr="00CA4ABC" w:rsidRDefault="000C0F6F" w:rsidP="004053D7">
      <w:pPr>
        <w:spacing w:line="360" w:lineRule="auto"/>
        <w:rPr>
          <w:rFonts w:cstheme="minorHAnsi"/>
          <w:color w:val="000000" w:themeColor="text1"/>
        </w:rPr>
      </w:pPr>
      <w:r w:rsidRPr="00CA4ABC">
        <w:rPr>
          <w:rFonts w:cstheme="minorHAnsi"/>
          <w:b/>
          <w:bCs/>
          <w:color w:val="000000" w:themeColor="text1"/>
        </w:rPr>
        <w:t>Background:</w:t>
      </w:r>
      <w:r w:rsidRPr="00CA4ABC">
        <w:rPr>
          <w:rFonts w:cstheme="minorHAnsi"/>
          <w:color w:val="000000" w:themeColor="text1"/>
        </w:rPr>
        <w:t xml:space="preserve"> Muscle loss </w:t>
      </w:r>
      <w:r w:rsidR="00026ABB" w:rsidRPr="00CA4ABC">
        <w:rPr>
          <w:rFonts w:cstheme="minorHAnsi"/>
          <w:color w:val="000000" w:themeColor="text1"/>
        </w:rPr>
        <w:t>is a characteristic of</w:t>
      </w:r>
      <w:r w:rsidRPr="00CA4ABC">
        <w:rPr>
          <w:rFonts w:cstheme="minorHAnsi"/>
          <w:color w:val="000000" w:themeColor="text1"/>
        </w:rPr>
        <w:t xml:space="preserve"> ageing</w:t>
      </w:r>
      <w:r w:rsidR="00927EBA" w:rsidRPr="00CA4ABC">
        <w:rPr>
          <w:rFonts w:cstheme="minorHAnsi"/>
          <w:color w:val="000000" w:themeColor="text1"/>
        </w:rPr>
        <w:t xml:space="preserve">. </w:t>
      </w:r>
      <w:r w:rsidRPr="00CA4ABC">
        <w:rPr>
          <w:rFonts w:cstheme="minorHAnsi"/>
          <w:color w:val="000000" w:themeColor="text1"/>
        </w:rPr>
        <w:t>Mitigating th</w:t>
      </w:r>
      <w:r w:rsidR="00D821AF" w:rsidRPr="00CA4ABC">
        <w:rPr>
          <w:rFonts w:cstheme="minorHAnsi"/>
          <w:color w:val="000000" w:themeColor="text1"/>
        </w:rPr>
        <w:t>is</w:t>
      </w:r>
      <w:r w:rsidRPr="00CA4ABC">
        <w:rPr>
          <w:rFonts w:cstheme="minorHAnsi"/>
          <w:color w:val="000000" w:themeColor="text1"/>
        </w:rPr>
        <w:t xml:space="preserve"> loss may have </w:t>
      </w:r>
      <w:r w:rsidR="005614F0" w:rsidRPr="00CA4ABC">
        <w:rPr>
          <w:rFonts w:cstheme="minorHAnsi"/>
          <w:color w:val="000000" w:themeColor="text1"/>
        </w:rPr>
        <w:t>benefits</w:t>
      </w:r>
      <w:r w:rsidRPr="00CA4ABC">
        <w:rPr>
          <w:rFonts w:cstheme="minorHAnsi"/>
          <w:color w:val="000000" w:themeColor="text1"/>
        </w:rPr>
        <w:t xml:space="preserve"> for delaying or preventing the onset of the disease sarcopenia. </w:t>
      </w:r>
      <w:r w:rsidR="005614F0" w:rsidRPr="00CA4ABC">
        <w:rPr>
          <w:rFonts w:cstheme="minorHAnsi"/>
          <w:color w:val="000000" w:themeColor="text1"/>
        </w:rPr>
        <w:t>Strength</w:t>
      </w:r>
      <w:r w:rsidRPr="00CA4ABC">
        <w:rPr>
          <w:rFonts w:cstheme="minorHAnsi"/>
          <w:color w:val="000000" w:themeColor="text1"/>
        </w:rPr>
        <w:t xml:space="preserve"> training and </w:t>
      </w:r>
      <w:r w:rsidR="00034F95" w:rsidRPr="00CA4ABC">
        <w:rPr>
          <w:rFonts w:cstheme="minorHAnsi"/>
          <w:color w:val="000000" w:themeColor="text1"/>
        </w:rPr>
        <w:t>protein consumption</w:t>
      </w:r>
      <w:r w:rsidRPr="00CA4ABC">
        <w:rPr>
          <w:rFonts w:cstheme="minorHAnsi"/>
          <w:color w:val="000000" w:themeColor="text1"/>
        </w:rPr>
        <w:t xml:space="preserve"> have been suggested as intervention strategies for muscle loss prevention. Th</w:t>
      </w:r>
      <w:r w:rsidR="00026ABB" w:rsidRPr="00CA4ABC">
        <w:rPr>
          <w:rFonts w:cstheme="minorHAnsi"/>
          <w:color w:val="000000" w:themeColor="text1"/>
        </w:rPr>
        <w:t xml:space="preserve">e overarching objective of this thesis was to </w:t>
      </w:r>
      <w:r w:rsidRPr="00CA4ABC">
        <w:rPr>
          <w:rFonts w:cstheme="minorHAnsi"/>
          <w:color w:val="000000" w:themeColor="text1"/>
        </w:rPr>
        <w:t>design a multi-component</w:t>
      </w:r>
      <w:r w:rsidR="006C4076" w:rsidRPr="00CA4ABC">
        <w:rPr>
          <w:rFonts w:cstheme="minorHAnsi"/>
          <w:color w:val="000000" w:themeColor="text1"/>
        </w:rPr>
        <w:t>,</w:t>
      </w:r>
      <w:r w:rsidR="00FD1892" w:rsidRPr="00CA4ABC">
        <w:rPr>
          <w:rFonts w:cstheme="minorHAnsi"/>
          <w:color w:val="000000" w:themeColor="text1"/>
        </w:rPr>
        <w:t xml:space="preserve"> remotely-delivered</w:t>
      </w:r>
      <w:r w:rsidR="00D821AF" w:rsidRPr="00CA4ABC">
        <w:rPr>
          <w:rFonts w:cstheme="minorHAnsi"/>
          <w:color w:val="000000" w:themeColor="text1"/>
        </w:rPr>
        <w:t xml:space="preserve"> exercise and</w:t>
      </w:r>
      <w:r w:rsidRPr="00CA4ABC">
        <w:rPr>
          <w:rFonts w:cstheme="minorHAnsi"/>
          <w:color w:val="000000" w:themeColor="text1"/>
        </w:rPr>
        <w:t xml:space="preserve"> </w:t>
      </w:r>
      <w:r w:rsidR="00D821AF" w:rsidRPr="00CA4ABC">
        <w:rPr>
          <w:rFonts w:cstheme="minorHAnsi"/>
          <w:color w:val="000000" w:themeColor="text1"/>
        </w:rPr>
        <w:t>nutrition intervention tr</w:t>
      </w:r>
      <w:r w:rsidR="001F4C6A">
        <w:rPr>
          <w:rFonts w:cstheme="minorHAnsi"/>
          <w:color w:val="000000" w:themeColor="text1"/>
        </w:rPr>
        <w:t>ial protocol</w:t>
      </w:r>
      <w:r w:rsidRPr="00CA4ABC">
        <w:rPr>
          <w:rFonts w:cstheme="minorHAnsi"/>
          <w:color w:val="000000" w:themeColor="text1"/>
        </w:rPr>
        <w:t xml:space="preserve"> for middle</w:t>
      </w:r>
      <w:r w:rsidR="007C07B9">
        <w:rPr>
          <w:rFonts w:cstheme="minorHAnsi"/>
          <w:color w:val="000000" w:themeColor="text1"/>
        </w:rPr>
        <w:t>-</w:t>
      </w:r>
      <w:r w:rsidRPr="00CA4ABC">
        <w:rPr>
          <w:rFonts w:cstheme="minorHAnsi"/>
          <w:color w:val="000000" w:themeColor="text1"/>
        </w:rPr>
        <w:t>age</w:t>
      </w:r>
      <w:r w:rsidR="007C07B9">
        <w:rPr>
          <w:rFonts w:cstheme="minorHAnsi"/>
          <w:color w:val="000000" w:themeColor="text1"/>
        </w:rPr>
        <w:t>d</w:t>
      </w:r>
      <w:r w:rsidRPr="00CA4ABC">
        <w:rPr>
          <w:rFonts w:cstheme="minorHAnsi"/>
          <w:color w:val="000000" w:themeColor="text1"/>
        </w:rPr>
        <w:t xml:space="preserve"> adults </w:t>
      </w:r>
      <w:r w:rsidR="00FD1892" w:rsidRPr="00CA4ABC">
        <w:rPr>
          <w:rFonts w:cstheme="minorHAnsi"/>
          <w:color w:val="000000" w:themeColor="text1"/>
        </w:rPr>
        <w:t>to</w:t>
      </w:r>
      <w:r w:rsidRPr="00CA4ABC">
        <w:rPr>
          <w:rFonts w:cstheme="minorHAnsi"/>
          <w:color w:val="000000" w:themeColor="text1"/>
        </w:rPr>
        <w:t xml:space="preserve"> prevent muscle loss</w:t>
      </w:r>
      <w:r w:rsidR="00FD1892" w:rsidRPr="00CA4ABC">
        <w:rPr>
          <w:rFonts w:cstheme="minorHAnsi"/>
          <w:color w:val="000000" w:themeColor="text1"/>
        </w:rPr>
        <w:t>.</w:t>
      </w:r>
      <w:r w:rsidRPr="00CA4ABC">
        <w:rPr>
          <w:rFonts w:cstheme="minorHAnsi"/>
          <w:color w:val="000000" w:themeColor="text1"/>
        </w:rPr>
        <w:t xml:space="preserve"> </w:t>
      </w:r>
      <w:r w:rsidR="00D821AF" w:rsidRPr="00CA4ABC">
        <w:rPr>
          <w:rFonts w:cstheme="minorHAnsi"/>
          <w:color w:val="000000" w:themeColor="text1"/>
        </w:rPr>
        <w:t xml:space="preserve">The research involved preceding steps that contributed to the </w:t>
      </w:r>
      <w:r w:rsidR="007C07B9">
        <w:rPr>
          <w:rFonts w:cstheme="minorHAnsi"/>
          <w:color w:val="000000" w:themeColor="text1"/>
        </w:rPr>
        <w:t>protocol</w:t>
      </w:r>
      <w:r w:rsidR="00D821AF" w:rsidRPr="00CA4ABC">
        <w:rPr>
          <w:rFonts w:cstheme="minorHAnsi"/>
          <w:color w:val="000000" w:themeColor="text1"/>
        </w:rPr>
        <w:t xml:space="preserve"> design.</w:t>
      </w:r>
    </w:p>
    <w:p w14:paraId="75F85AE7" w14:textId="77777777" w:rsidR="00D821AF" w:rsidRPr="00CA4ABC" w:rsidRDefault="000C0F6F" w:rsidP="004053D7">
      <w:pPr>
        <w:spacing w:line="360" w:lineRule="auto"/>
        <w:rPr>
          <w:rFonts w:cstheme="minorHAnsi"/>
          <w:color w:val="000000" w:themeColor="text1"/>
        </w:rPr>
      </w:pPr>
      <w:r w:rsidRPr="00CA4ABC">
        <w:rPr>
          <w:rFonts w:cstheme="minorHAnsi"/>
          <w:b/>
          <w:bCs/>
          <w:color w:val="000000" w:themeColor="text1"/>
        </w:rPr>
        <w:t>Methods</w:t>
      </w:r>
      <w:r w:rsidRPr="00CA4ABC">
        <w:rPr>
          <w:rFonts w:cstheme="minorHAnsi"/>
          <w:color w:val="000000" w:themeColor="text1"/>
        </w:rPr>
        <w:t xml:space="preserve">: </w:t>
      </w:r>
    </w:p>
    <w:p w14:paraId="2FABF83E" w14:textId="19C2A899" w:rsidR="00D821AF" w:rsidRPr="00CA4ABC" w:rsidRDefault="000C0F6F">
      <w:pPr>
        <w:pStyle w:val="ListParagraph"/>
        <w:numPr>
          <w:ilvl w:val="0"/>
          <w:numId w:val="36"/>
        </w:numPr>
        <w:spacing w:line="360" w:lineRule="auto"/>
        <w:rPr>
          <w:rFonts w:cstheme="minorHAnsi"/>
          <w:color w:val="000000" w:themeColor="text1"/>
        </w:rPr>
      </w:pPr>
      <w:r w:rsidRPr="00CA4ABC">
        <w:rPr>
          <w:rFonts w:cstheme="minorHAnsi"/>
          <w:color w:val="000000" w:themeColor="text1"/>
        </w:rPr>
        <w:t>T</w:t>
      </w:r>
      <w:r w:rsidR="00026ABB" w:rsidRPr="00CA4ABC">
        <w:rPr>
          <w:rFonts w:cstheme="minorHAnsi"/>
          <w:color w:val="000000" w:themeColor="text1"/>
        </w:rPr>
        <w:t xml:space="preserve">he first </w:t>
      </w:r>
      <w:r w:rsidR="00436D92" w:rsidRPr="00CA4ABC">
        <w:rPr>
          <w:rFonts w:cstheme="minorHAnsi"/>
          <w:color w:val="000000" w:themeColor="text1"/>
        </w:rPr>
        <w:t xml:space="preserve">study </w:t>
      </w:r>
      <w:r w:rsidR="00053AD7">
        <w:rPr>
          <w:rFonts w:cstheme="minorHAnsi"/>
          <w:color w:val="000000" w:themeColor="text1"/>
        </w:rPr>
        <w:t>involved a cross-sectional survey validating</w:t>
      </w:r>
      <w:r w:rsidR="00026ABB" w:rsidRPr="00CA4ABC">
        <w:rPr>
          <w:rFonts w:cstheme="minorHAnsi"/>
          <w:color w:val="000000" w:themeColor="text1"/>
        </w:rPr>
        <w:t xml:space="preserve"> an</w:t>
      </w:r>
      <w:r w:rsidRPr="00CA4ABC">
        <w:rPr>
          <w:rFonts w:cstheme="minorHAnsi"/>
          <w:color w:val="000000" w:themeColor="text1"/>
        </w:rPr>
        <w:t xml:space="preserve"> </w:t>
      </w:r>
      <w:r w:rsidR="007426F0" w:rsidRPr="00CA4ABC">
        <w:rPr>
          <w:rFonts w:cstheme="minorHAnsi"/>
          <w:color w:val="000000" w:themeColor="text1"/>
        </w:rPr>
        <w:t>amended</w:t>
      </w:r>
      <w:r w:rsidR="00927EBA" w:rsidRPr="00CA4ABC">
        <w:rPr>
          <w:rFonts w:cstheme="minorHAnsi"/>
          <w:color w:val="000000" w:themeColor="text1"/>
        </w:rPr>
        <w:t xml:space="preserve"> protein screener tool</w:t>
      </w:r>
      <w:r w:rsidR="00026ABB" w:rsidRPr="00CA4ABC">
        <w:rPr>
          <w:rFonts w:cstheme="minorHAnsi"/>
          <w:color w:val="000000" w:themeColor="text1"/>
        </w:rPr>
        <w:t xml:space="preserve">. Participants responded to the survey online, with two separate cohorts completing this. The first cohort </w:t>
      </w:r>
      <w:r w:rsidR="00034F95" w:rsidRPr="00CA4ABC">
        <w:rPr>
          <w:rFonts w:cstheme="minorHAnsi"/>
          <w:color w:val="000000" w:themeColor="text1"/>
        </w:rPr>
        <w:t>was</w:t>
      </w:r>
      <w:r w:rsidR="00026ABB" w:rsidRPr="00CA4ABC">
        <w:rPr>
          <w:rFonts w:cstheme="minorHAnsi"/>
          <w:color w:val="000000" w:themeColor="text1"/>
        </w:rPr>
        <w:t xml:space="preserve"> asked to complete the protein screener questionnaire followed by a Food Frequency questionnaire (FFQ), to obtain readouts for protein intakes. The second cohort</w:t>
      </w:r>
      <w:r w:rsidR="00B14829" w:rsidRPr="00CA4ABC">
        <w:rPr>
          <w:rFonts w:cstheme="minorHAnsi"/>
          <w:color w:val="000000" w:themeColor="text1"/>
        </w:rPr>
        <w:t>, used for further validation,</w:t>
      </w:r>
      <w:r w:rsidR="00026ABB" w:rsidRPr="00CA4ABC">
        <w:rPr>
          <w:rFonts w:cstheme="minorHAnsi"/>
          <w:color w:val="000000" w:themeColor="text1"/>
        </w:rPr>
        <w:t xml:space="preserve"> completed the protein screener, followed by a 24-hour food and drink recall. </w:t>
      </w:r>
      <w:r w:rsidR="00436D92" w:rsidRPr="00CA4ABC">
        <w:rPr>
          <w:rFonts w:cstheme="minorHAnsi"/>
          <w:color w:val="000000" w:themeColor="text1"/>
        </w:rPr>
        <w:t>This</w:t>
      </w:r>
      <w:r w:rsidR="00026ABB" w:rsidRPr="00CA4ABC">
        <w:rPr>
          <w:rFonts w:cstheme="minorHAnsi"/>
          <w:color w:val="000000" w:themeColor="text1"/>
        </w:rPr>
        <w:t xml:space="preserve"> group </w:t>
      </w:r>
      <w:r w:rsidR="00436D92" w:rsidRPr="00CA4ABC">
        <w:rPr>
          <w:rFonts w:cstheme="minorHAnsi"/>
          <w:color w:val="000000" w:themeColor="text1"/>
        </w:rPr>
        <w:t xml:space="preserve">also provided demographic information and completed </w:t>
      </w:r>
      <w:r w:rsidR="00D3021C" w:rsidRPr="00CA4ABC">
        <w:rPr>
          <w:rFonts w:cstheme="minorHAnsi"/>
          <w:color w:val="000000" w:themeColor="text1"/>
        </w:rPr>
        <w:t>an additional</w:t>
      </w:r>
      <w:r w:rsidR="00436D92" w:rsidRPr="00CA4ABC">
        <w:rPr>
          <w:rFonts w:cstheme="minorHAnsi"/>
          <w:color w:val="000000" w:themeColor="text1"/>
        </w:rPr>
        <w:t xml:space="preserve"> questionnaire to test their protein knowledge.</w:t>
      </w:r>
      <w:r w:rsidR="00026ABB" w:rsidRPr="00CA4ABC">
        <w:rPr>
          <w:rFonts w:cstheme="minorHAnsi"/>
          <w:color w:val="000000" w:themeColor="text1"/>
        </w:rPr>
        <w:t xml:space="preserve"> </w:t>
      </w:r>
      <w:r w:rsidR="00034F95" w:rsidRPr="00CA4ABC">
        <w:rPr>
          <w:rFonts w:cstheme="minorHAnsi"/>
          <w:color w:val="000000" w:themeColor="text1"/>
        </w:rPr>
        <w:t>The protein screener tool was validated using receiver operating curves and sensitivity and specificity calculations at three cut-off points, comparing predicted protein intake, based on screener</w:t>
      </w:r>
      <w:r w:rsidR="00D3021C" w:rsidRPr="00CA4ABC">
        <w:rPr>
          <w:rFonts w:cstheme="minorHAnsi"/>
          <w:color w:val="000000" w:themeColor="text1"/>
        </w:rPr>
        <w:t xml:space="preserve"> prediction scores</w:t>
      </w:r>
      <w:r w:rsidR="00034F95" w:rsidRPr="00CA4ABC">
        <w:rPr>
          <w:rFonts w:cstheme="minorHAnsi"/>
          <w:color w:val="000000" w:themeColor="text1"/>
        </w:rPr>
        <w:t>, with dietary reference measurements (FFQ and 24-hour recall</w:t>
      </w:r>
      <w:r w:rsidR="00D821AF" w:rsidRPr="00CA4ABC">
        <w:rPr>
          <w:rFonts w:cstheme="minorHAnsi"/>
          <w:color w:val="000000" w:themeColor="text1"/>
        </w:rPr>
        <w:t>.)</w:t>
      </w:r>
      <w:r w:rsidR="00927EBA" w:rsidRPr="00CA4ABC">
        <w:rPr>
          <w:rFonts w:cstheme="minorHAnsi"/>
          <w:color w:val="000000" w:themeColor="text1"/>
        </w:rPr>
        <w:t xml:space="preserve"> </w:t>
      </w:r>
    </w:p>
    <w:p w14:paraId="250F21D2" w14:textId="3E5CC0F9" w:rsidR="00D821AF" w:rsidRPr="00CA4ABC" w:rsidRDefault="00D821AF">
      <w:pPr>
        <w:pStyle w:val="ListParagraph"/>
        <w:numPr>
          <w:ilvl w:val="0"/>
          <w:numId w:val="36"/>
        </w:numPr>
        <w:spacing w:line="360" w:lineRule="auto"/>
        <w:rPr>
          <w:rFonts w:cstheme="minorHAnsi"/>
          <w:color w:val="000000" w:themeColor="text1"/>
        </w:rPr>
      </w:pPr>
      <w:r w:rsidRPr="00CA4ABC">
        <w:rPr>
          <w:rFonts w:cstheme="minorHAnsi"/>
          <w:color w:val="000000" w:themeColor="text1"/>
        </w:rPr>
        <w:t>Associations</w:t>
      </w:r>
      <w:r w:rsidR="00436D92" w:rsidRPr="00CA4ABC">
        <w:rPr>
          <w:rFonts w:cstheme="minorHAnsi"/>
          <w:color w:val="000000" w:themeColor="text1"/>
        </w:rPr>
        <w:t xml:space="preserve"> between protein intakes, protein knowledge and demographic/lifestyle characteristics were explored using regression analysis</w:t>
      </w:r>
      <w:r w:rsidRPr="00CA4ABC">
        <w:rPr>
          <w:rFonts w:cstheme="minorHAnsi"/>
          <w:color w:val="000000" w:themeColor="text1"/>
        </w:rPr>
        <w:t xml:space="preserve"> based on the responses collected from cohort two.</w:t>
      </w:r>
    </w:p>
    <w:p w14:paraId="3D8BFFCE" w14:textId="5FF10E19" w:rsidR="000C0F6F" w:rsidRPr="00CA4ABC" w:rsidRDefault="00927EBA">
      <w:pPr>
        <w:pStyle w:val="ListParagraph"/>
        <w:numPr>
          <w:ilvl w:val="0"/>
          <w:numId w:val="36"/>
        </w:numPr>
        <w:spacing w:line="360" w:lineRule="auto"/>
        <w:rPr>
          <w:rFonts w:cstheme="minorHAnsi"/>
          <w:color w:val="000000" w:themeColor="text1"/>
        </w:rPr>
      </w:pPr>
      <w:r w:rsidRPr="00CA4ABC">
        <w:rPr>
          <w:rFonts w:cstheme="minorHAnsi"/>
          <w:color w:val="000000" w:themeColor="text1"/>
        </w:rPr>
        <w:t xml:space="preserve"> </w:t>
      </w:r>
      <w:r w:rsidR="00436D92" w:rsidRPr="00CA4ABC">
        <w:rPr>
          <w:rFonts w:cstheme="minorHAnsi"/>
          <w:color w:val="000000" w:themeColor="text1"/>
        </w:rPr>
        <w:t>The final study was a</w:t>
      </w:r>
      <w:r w:rsidR="008654B4" w:rsidRPr="00CA4ABC">
        <w:rPr>
          <w:rFonts w:cstheme="minorHAnsi"/>
          <w:color w:val="000000" w:themeColor="text1"/>
        </w:rPr>
        <w:t xml:space="preserve"> feasibility trial</w:t>
      </w:r>
      <w:r w:rsidR="00436D92" w:rsidRPr="00CA4ABC">
        <w:rPr>
          <w:rFonts w:cstheme="minorHAnsi"/>
          <w:color w:val="000000" w:themeColor="text1"/>
        </w:rPr>
        <w:t xml:space="preserve"> delivered to adults aged 40-65. This was </w:t>
      </w:r>
      <w:r w:rsidR="00B14829" w:rsidRPr="00CA4ABC">
        <w:rPr>
          <w:rFonts w:cstheme="minorHAnsi"/>
          <w:color w:val="000000" w:themeColor="text1"/>
        </w:rPr>
        <w:t>conducted</w:t>
      </w:r>
      <w:r w:rsidR="00436D92" w:rsidRPr="00CA4ABC">
        <w:rPr>
          <w:rFonts w:cstheme="minorHAnsi"/>
          <w:color w:val="000000" w:themeColor="text1"/>
        </w:rPr>
        <w:t xml:space="preserve"> remotely</w:t>
      </w:r>
      <w:r w:rsidR="00B14829" w:rsidRPr="00CA4ABC">
        <w:rPr>
          <w:rFonts w:cstheme="minorHAnsi"/>
          <w:color w:val="000000" w:themeColor="text1"/>
        </w:rPr>
        <w:t>, via video classes,</w:t>
      </w:r>
      <w:r w:rsidR="00436D92" w:rsidRPr="00CA4ABC">
        <w:rPr>
          <w:rFonts w:cstheme="minorHAnsi"/>
          <w:color w:val="000000" w:themeColor="text1"/>
        </w:rPr>
        <w:t xml:space="preserve"> and involved a</w:t>
      </w:r>
      <w:r w:rsidR="00B14829" w:rsidRPr="00CA4ABC">
        <w:rPr>
          <w:rFonts w:cstheme="minorHAnsi"/>
          <w:color w:val="000000" w:themeColor="text1"/>
        </w:rPr>
        <w:t xml:space="preserve">n </w:t>
      </w:r>
      <w:r w:rsidR="00436D92" w:rsidRPr="00CA4ABC">
        <w:rPr>
          <w:rFonts w:cstheme="minorHAnsi"/>
          <w:color w:val="000000" w:themeColor="text1"/>
        </w:rPr>
        <w:t xml:space="preserve">exercise training component, </w:t>
      </w:r>
      <w:r w:rsidR="00B14829" w:rsidRPr="00CA4ABC">
        <w:rPr>
          <w:rFonts w:cstheme="minorHAnsi"/>
          <w:color w:val="000000" w:themeColor="text1"/>
        </w:rPr>
        <w:t>predominantly using resistance bands</w:t>
      </w:r>
      <w:r w:rsidR="00436D92" w:rsidRPr="00CA4ABC">
        <w:rPr>
          <w:rFonts w:cstheme="minorHAnsi"/>
          <w:color w:val="000000" w:themeColor="text1"/>
        </w:rPr>
        <w:t xml:space="preserve">. </w:t>
      </w:r>
      <w:r w:rsidR="000703A5">
        <w:rPr>
          <w:rFonts w:cstheme="minorHAnsi"/>
          <w:color w:val="000000" w:themeColor="text1"/>
        </w:rPr>
        <w:t>Depending on their randomisation arm, a subset of participants were asked to take one or two protein supplement(s)</w:t>
      </w:r>
      <w:r w:rsidR="00436D92" w:rsidRPr="00CA4ABC">
        <w:rPr>
          <w:rFonts w:cstheme="minorHAnsi"/>
          <w:color w:val="000000" w:themeColor="text1"/>
        </w:rPr>
        <w:t xml:space="preserve">. Quantitative and qualitative measurements of </w:t>
      </w:r>
      <w:r w:rsidR="00573196" w:rsidRPr="00CA4ABC">
        <w:rPr>
          <w:rFonts w:cstheme="minorHAnsi"/>
          <w:color w:val="000000" w:themeColor="text1"/>
        </w:rPr>
        <w:t xml:space="preserve">recruitment rates, </w:t>
      </w:r>
      <w:r w:rsidR="00436D92" w:rsidRPr="00CA4ABC">
        <w:rPr>
          <w:rFonts w:cstheme="minorHAnsi"/>
          <w:color w:val="000000" w:themeColor="text1"/>
        </w:rPr>
        <w:t xml:space="preserve">adherence and acceptability were obtained, including </w:t>
      </w:r>
      <w:r w:rsidR="00034F95" w:rsidRPr="00CA4ABC">
        <w:rPr>
          <w:rFonts w:cstheme="minorHAnsi"/>
          <w:color w:val="000000" w:themeColor="text1"/>
        </w:rPr>
        <w:t>semi-structured</w:t>
      </w:r>
      <w:r w:rsidR="00436D92" w:rsidRPr="00CA4ABC">
        <w:rPr>
          <w:rFonts w:cstheme="minorHAnsi"/>
          <w:color w:val="000000" w:themeColor="text1"/>
        </w:rPr>
        <w:t xml:space="preserve"> interview analysis. </w:t>
      </w:r>
    </w:p>
    <w:p w14:paraId="51A7A585" w14:textId="4B34586E" w:rsidR="008654B4" w:rsidRPr="00CA4ABC" w:rsidRDefault="008654B4" w:rsidP="004053D7">
      <w:pPr>
        <w:spacing w:line="360" w:lineRule="auto"/>
        <w:rPr>
          <w:rFonts w:cstheme="minorHAnsi"/>
          <w:color w:val="000000" w:themeColor="text1"/>
        </w:rPr>
      </w:pPr>
      <w:r w:rsidRPr="00CA4ABC">
        <w:rPr>
          <w:rFonts w:cstheme="minorHAnsi"/>
          <w:color w:val="000000" w:themeColor="text1"/>
        </w:rPr>
        <w:t xml:space="preserve">Results: </w:t>
      </w:r>
      <w:r w:rsidR="00026ABB" w:rsidRPr="00CA4ABC">
        <w:rPr>
          <w:rFonts w:cstheme="minorHAnsi"/>
          <w:color w:val="000000" w:themeColor="text1"/>
        </w:rPr>
        <w:t>T</w:t>
      </w:r>
      <w:r w:rsidR="00732611" w:rsidRPr="00CA4ABC">
        <w:rPr>
          <w:rFonts w:cstheme="minorHAnsi"/>
          <w:color w:val="000000" w:themeColor="text1"/>
        </w:rPr>
        <w:t>he</w:t>
      </w:r>
      <w:r w:rsidRPr="00CA4ABC">
        <w:rPr>
          <w:rFonts w:cstheme="minorHAnsi"/>
          <w:color w:val="000000" w:themeColor="text1"/>
        </w:rPr>
        <w:t xml:space="preserve"> </w:t>
      </w:r>
      <w:r w:rsidR="00026ABB" w:rsidRPr="00CA4ABC">
        <w:rPr>
          <w:rFonts w:cstheme="minorHAnsi"/>
          <w:color w:val="000000" w:themeColor="text1"/>
        </w:rPr>
        <w:t xml:space="preserve">protein </w:t>
      </w:r>
      <w:r w:rsidRPr="00CA4ABC">
        <w:rPr>
          <w:rFonts w:cstheme="minorHAnsi"/>
          <w:color w:val="000000" w:themeColor="text1"/>
        </w:rPr>
        <w:t>screener tool reached an acceptable area under the curve</w:t>
      </w:r>
      <w:r w:rsidR="00054820" w:rsidRPr="00CA4ABC">
        <w:rPr>
          <w:rFonts w:cstheme="minorHAnsi"/>
          <w:color w:val="000000" w:themeColor="text1"/>
        </w:rPr>
        <w:t xml:space="preserve"> (AUC)</w:t>
      </w:r>
      <w:r w:rsidRPr="00CA4ABC">
        <w:rPr>
          <w:rFonts w:cstheme="minorHAnsi"/>
          <w:color w:val="000000" w:themeColor="text1"/>
        </w:rPr>
        <w:t xml:space="preserve"> to be deemed appropriate for use in a UK adult population</w:t>
      </w:r>
      <w:r w:rsidR="00FD1892" w:rsidRPr="00CA4ABC">
        <w:rPr>
          <w:rFonts w:cstheme="minorHAnsi"/>
          <w:color w:val="000000" w:themeColor="text1"/>
        </w:rPr>
        <w:t xml:space="preserve"> at a cut-off of 0.1</w:t>
      </w:r>
      <w:r w:rsidRPr="00CA4ABC">
        <w:rPr>
          <w:rFonts w:cstheme="minorHAnsi"/>
          <w:color w:val="000000" w:themeColor="text1"/>
        </w:rPr>
        <w:t xml:space="preserve"> (AUC=0.</w:t>
      </w:r>
      <w:r w:rsidR="007551C0" w:rsidRPr="00CA4ABC">
        <w:rPr>
          <w:rFonts w:cstheme="minorHAnsi"/>
          <w:color w:val="000000" w:themeColor="text1"/>
        </w:rPr>
        <w:t>731</w:t>
      </w:r>
      <w:r w:rsidRPr="00CA4ABC">
        <w:rPr>
          <w:rFonts w:cstheme="minorHAnsi"/>
          <w:color w:val="000000" w:themeColor="text1"/>
        </w:rPr>
        <w:t>, sensitivity:</w:t>
      </w:r>
      <w:r w:rsidR="007551C0" w:rsidRPr="00CA4ABC">
        <w:rPr>
          <w:rFonts w:cstheme="minorHAnsi"/>
          <w:color w:val="000000" w:themeColor="text1"/>
        </w:rPr>
        <w:t xml:space="preserve"> 48.6 (CI:48.3-49.0))</w:t>
      </w:r>
      <w:r w:rsidR="00026ABB" w:rsidRPr="00CA4ABC">
        <w:rPr>
          <w:rFonts w:cstheme="minorHAnsi"/>
          <w:color w:val="000000" w:themeColor="text1"/>
        </w:rPr>
        <w:t xml:space="preserve"> when validated against </w:t>
      </w:r>
      <w:r w:rsidR="00034F95" w:rsidRPr="00CA4ABC">
        <w:rPr>
          <w:rFonts w:cstheme="minorHAnsi"/>
          <w:color w:val="000000" w:themeColor="text1"/>
        </w:rPr>
        <w:t>an</w:t>
      </w:r>
      <w:r w:rsidR="00026ABB" w:rsidRPr="00CA4ABC">
        <w:rPr>
          <w:rFonts w:cstheme="minorHAnsi"/>
          <w:color w:val="000000" w:themeColor="text1"/>
        </w:rPr>
        <w:t xml:space="preserve"> FFQ.</w:t>
      </w:r>
      <w:r w:rsidRPr="00CA4ABC">
        <w:rPr>
          <w:rFonts w:cstheme="minorHAnsi"/>
          <w:color w:val="000000" w:themeColor="text1"/>
        </w:rPr>
        <w:t xml:space="preserve"> </w:t>
      </w:r>
      <w:r w:rsidR="00FD1892" w:rsidRPr="00CA4ABC">
        <w:rPr>
          <w:rFonts w:cstheme="minorHAnsi"/>
          <w:color w:val="000000" w:themeColor="text1"/>
        </w:rPr>
        <w:t>However, f</w:t>
      </w:r>
      <w:r w:rsidRPr="00CA4ABC">
        <w:rPr>
          <w:rFonts w:cstheme="minorHAnsi"/>
          <w:color w:val="000000" w:themeColor="text1"/>
        </w:rPr>
        <w:t xml:space="preserve">urther validation </w:t>
      </w:r>
      <w:r w:rsidR="007551C0" w:rsidRPr="00CA4ABC">
        <w:rPr>
          <w:rFonts w:cstheme="minorHAnsi"/>
          <w:color w:val="000000" w:themeColor="text1"/>
        </w:rPr>
        <w:lastRenderedPageBreak/>
        <w:t xml:space="preserve">with </w:t>
      </w:r>
      <w:r w:rsidRPr="00CA4ABC">
        <w:rPr>
          <w:rFonts w:cstheme="minorHAnsi"/>
          <w:color w:val="000000" w:themeColor="text1"/>
        </w:rPr>
        <w:t>24-hour recall</w:t>
      </w:r>
      <w:r w:rsidR="007551C0" w:rsidRPr="00CA4ABC">
        <w:rPr>
          <w:rFonts w:cstheme="minorHAnsi"/>
          <w:color w:val="000000" w:themeColor="text1"/>
        </w:rPr>
        <w:t>s</w:t>
      </w:r>
      <w:r w:rsidRPr="00CA4ABC">
        <w:rPr>
          <w:rFonts w:cstheme="minorHAnsi"/>
          <w:color w:val="000000" w:themeColor="text1"/>
        </w:rPr>
        <w:t xml:space="preserve"> failed to reach the 0.7 “fair” threshold</w:t>
      </w:r>
      <w:r w:rsidR="00732611" w:rsidRPr="00CA4ABC">
        <w:rPr>
          <w:rFonts w:cstheme="minorHAnsi"/>
          <w:color w:val="000000" w:themeColor="text1"/>
        </w:rPr>
        <w:t xml:space="preserve"> (</w:t>
      </w:r>
      <w:r w:rsidR="00FD1892" w:rsidRPr="00CA4ABC">
        <w:rPr>
          <w:rFonts w:cstheme="minorHAnsi"/>
          <w:color w:val="000000" w:themeColor="text1"/>
        </w:rPr>
        <w:t>AUC=</w:t>
      </w:r>
      <w:r w:rsidR="007551C0" w:rsidRPr="00CA4ABC">
        <w:rPr>
          <w:rFonts w:cstheme="minorHAnsi"/>
          <w:color w:val="000000" w:themeColor="text1"/>
        </w:rPr>
        <w:t>0.658</w:t>
      </w:r>
      <w:r w:rsidRPr="00CA4ABC">
        <w:rPr>
          <w:rFonts w:cstheme="minorHAnsi"/>
          <w:color w:val="000000" w:themeColor="text1"/>
        </w:rPr>
        <w:t>.</w:t>
      </w:r>
      <w:r w:rsidR="007551C0" w:rsidRPr="00CA4ABC">
        <w:rPr>
          <w:rFonts w:cstheme="minorHAnsi"/>
          <w:color w:val="000000" w:themeColor="text1"/>
        </w:rPr>
        <w:t>)</w:t>
      </w:r>
      <w:r w:rsidRPr="00CA4ABC">
        <w:rPr>
          <w:rFonts w:cstheme="minorHAnsi"/>
          <w:color w:val="000000" w:themeColor="text1"/>
        </w:rPr>
        <w:t xml:space="preserve"> Correlations between protein intakes</w:t>
      </w:r>
      <w:r w:rsidR="00034F95" w:rsidRPr="00CA4ABC">
        <w:rPr>
          <w:rFonts w:cstheme="minorHAnsi"/>
          <w:color w:val="000000" w:themeColor="text1"/>
        </w:rPr>
        <w:t>,</w:t>
      </w:r>
      <w:r w:rsidRPr="00CA4ABC">
        <w:rPr>
          <w:rFonts w:cstheme="minorHAnsi"/>
          <w:color w:val="000000" w:themeColor="text1"/>
        </w:rPr>
        <w:t xml:space="preserve"> </w:t>
      </w:r>
      <w:r w:rsidR="00FD1892" w:rsidRPr="00CA4ABC">
        <w:rPr>
          <w:rFonts w:cstheme="minorHAnsi"/>
          <w:color w:val="000000" w:themeColor="text1"/>
        </w:rPr>
        <w:t xml:space="preserve">age, </w:t>
      </w:r>
      <w:r w:rsidR="00732611" w:rsidRPr="00CA4ABC">
        <w:rPr>
          <w:rFonts w:cstheme="minorHAnsi"/>
          <w:color w:val="000000" w:themeColor="text1"/>
        </w:rPr>
        <w:t>body mass index, physical activity levels and dietary habits</w:t>
      </w:r>
      <w:r w:rsidR="00927EBA" w:rsidRPr="00CA4ABC">
        <w:rPr>
          <w:rFonts w:cstheme="minorHAnsi"/>
          <w:color w:val="000000" w:themeColor="text1"/>
        </w:rPr>
        <w:t xml:space="preserve"> </w:t>
      </w:r>
      <w:r w:rsidRPr="00CA4ABC">
        <w:rPr>
          <w:rFonts w:cstheme="minorHAnsi"/>
          <w:color w:val="000000" w:themeColor="text1"/>
        </w:rPr>
        <w:t>were demonstrated. A</w:t>
      </w:r>
      <w:r w:rsidR="00FD1892" w:rsidRPr="00CA4ABC">
        <w:rPr>
          <w:rFonts w:cstheme="minorHAnsi"/>
          <w:color w:val="000000" w:themeColor="text1"/>
        </w:rPr>
        <w:t xml:space="preserve"> significant relationship </w:t>
      </w:r>
      <w:r w:rsidRPr="00CA4ABC">
        <w:rPr>
          <w:rFonts w:cstheme="minorHAnsi"/>
          <w:color w:val="000000" w:themeColor="text1"/>
        </w:rPr>
        <w:t xml:space="preserve">between protein knowledge and protein </w:t>
      </w:r>
      <w:r w:rsidR="00034F95" w:rsidRPr="00CA4ABC">
        <w:rPr>
          <w:rFonts w:cstheme="minorHAnsi"/>
          <w:color w:val="000000" w:themeColor="text1"/>
        </w:rPr>
        <w:t>intake</w:t>
      </w:r>
      <w:r w:rsidRPr="00CA4ABC">
        <w:rPr>
          <w:rFonts w:cstheme="minorHAnsi"/>
          <w:color w:val="000000" w:themeColor="text1"/>
        </w:rPr>
        <w:t xml:space="preserve"> w</w:t>
      </w:r>
      <w:r w:rsidR="000E74C4" w:rsidRPr="00CA4ABC">
        <w:rPr>
          <w:rFonts w:cstheme="minorHAnsi"/>
          <w:color w:val="000000" w:themeColor="text1"/>
        </w:rPr>
        <w:t>as</w:t>
      </w:r>
      <w:r w:rsidRPr="00CA4ABC">
        <w:rPr>
          <w:rFonts w:cstheme="minorHAnsi"/>
          <w:color w:val="000000" w:themeColor="text1"/>
        </w:rPr>
        <w:t xml:space="preserve"> only </w:t>
      </w:r>
      <w:r w:rsidR="00FD1892" w:rsidRPr="00CA4ABC">
        <w:rPr>
          <w:rFonts w:cstheme="minorHAnsi"/>
          <w:color w:val="000000" w:themeColor="text1"/>
        </w:rPr>
        <w:t>found</w:t>
      </w:r>
      <w:r w:rsidRPr="00CA4ABC">
        <w:rPr>
          <w:rFonts w:cstheme="minorHAnsi"/>
          <w:color w:val="000000" w:themeColor="text1"/>
        </w:rPr>
        <w:t xml:space="preserve"> in older </w:t>
      </w:r>
      <w:r w:rsidR="00034F95" w:rsidRPr="00CA4ABC">
        <w:rPr>
          <w:rFonts w:cstheme="minorHAnsi"/>
          <w:color w:val="000000" w:themeColor="text1"/>
        </w:rPr>
        <w:t>adults</w:t>
      </w:r>
      <w:r w:rsidRPr="00CA4ABC">
        <w:rPr>
          <w:rFonts w:cstheme="minorHAnsi"/>
          <w:color w:val="000000" w:themeColor="text1"/>
        </w:rPr>
        <w:t xml:space="preserve"> (55</w:t>
      </w:r>
      <w:r w:rsidR="00927EBA" w:rsidRPr="00CA4ABC">
        <w:rPr>
          <w:rFonts w:cstheme="minorHAnsi"/>
          <w:color w:val="000000" w:themeColor="text1"/>
        </w:rPr>
        <w:t xml:space="preserve"> years</w:t>
      </w:r>
      <w:r w:rsidRPr="00CA4ABC">
        <w:rPr>
          <w:rFonts w:cstheme="minorHAnsi"/>
          <w:color w:val="000000" w:themeColor="text1"/>
        </w:rPr>
        <w:t>+)</w:t>
      </w:r>
      <w:r w:rsidR="00732611" w:rsidRPr="00CA4ABC">
        <w:rPr>
          <w:rFonts w:cstheme="minorHAnsi"/>
          <w:color w:val="000000" w:themeColor="text1"/>
        </w:rPr>
        <w:t xml:space="preserve"> (</w:t>
      </w:r>
      <w:r w:rsidR="00FD1892" w:rsidRPr="00CA4ABC">
        <w:rPr>
          <w:rFonts w:cstheme="minorHAnsi"/>
          <w:color w:val="000000" w:themeColor="text1"/>
        </w:rPr>
        <w:t>p=0.011</w:t>
      </w:r>
      <w:r w:rsidRPr="00CA4ABC">
        <w:rPr>
          <w:rFonts w:cstheme="minorHAnsi"/>
          <w:color w:val="000000" w:themeColor="text1"/>
        </w:rPr>
        <w:t>.</w:t>
      </w:r>
      <w:r w:rsidR="00732611" w:rsidRPr="00CA4ABC">
        <w:rPr>
          <w:rFonts w:cstheme="minorHAnsi"/>
          <w:color w:val="000000" w:themeColor="text1"/>
        </w:rPr>
        <w:t>)</w:t>
      </w:r>
      <w:r w:rsidRPr="00CA4ABC">
        <w:rPr>
          <w:rFonts w:cstheme="minorHAnsi"/>
          <w:color w:val="000000" w:themeColor="text1"/>
        </w:rPr>
        <w:t xml:space="preserve"> </w:t>
      </w:r>
      <w:r w:rsidR="00577B49" w:rsidRPr="00CA4ABC">
        <w:rPr>
          <w:rFonts w:cstheme="minorHAnsi"/>
          <w:color w:val="000000" w:themeColor="text1"/>
        </w:rPr>
        <w:t xml:space="preserve">Recruitment and adherence rates for both interventions were satisfactory. Acceptability of the exercise </w:t>
      </w:r>
      <w:r w:rsidR="00732611" w:rsidRPr="00CA4ABC">
        <w:rPr>
          <w:rFonts w:cstheme="minorHAnsi"/>
          <w:color w:val="000000" w:themeColor="text1"/>
        </w:rPr>
        <w:t xml:space="preserve">and protein </w:t>
      </w:r>
      <w:r w:rsidR="00577B49" w:rsidRPr="00CA4ABC">
        <w:rPr>
          <w:rFonts w:cstheme="minorHAnsi"/>
          <w:color w:val="000000" w:themeColor="text1"/>
        </w:rPr>
        <w:t>intervention w</w:t>
      </w:r>
      <w:r w:rsidR="00732611" w:rsidRPr="00CA4ABC">
        <w:rPr>
          <w:rFonts w:cstheme="minorHAnsi"/>
          <w:color w:val="000000" w:themeColor="text1"/>
        </w:rPr>
        <w:t>ere</w:t>
      </w:r>
      <w:r w:rsidR="00577B49" w:rsidRPr="00CA4ABC">
        <w:rPr>
          <w:rFonts w:cstheme="minorHAnsi"/>
          <w:color w:val="000000" w:themeColor="text1"/>
        </w:rPr>
        <w:t xml:space="preserve"> high</w:t>
      </w:r>
      <w:r w:rsidR="00732611" w:rsidRPr="00CA4ABC">
        <w:rPr>
          <w:rFonts w:cstheme="minorHAnsi"/>
          <w:color w:val="000000" w:themeColor="text1"/>
        </w:rPr>
        <w:t xml:space="preserve"> and low, respectively</w:t>
      </w:r>
      <w:r w:rsidR="00577B49" w:rsidRPr="00CA4ABC">
        <w:rPr>
          <w:rFonts w:cstheme="minorHAnsi"/>
          <w:color w:val="000000" w:themeColor="text1"/>
        </w:rPr>
        <w:t xml:space="preserve">. </w:t>
      </w:r>
    </w:p>
    <w:p w14:paraId="5899CD30" w14:textId="0EA3A7F3" w:rsidR="00DD3D70" w:rsidRPr="00CA4ABC" w:rsidRDefault="008654B4" w:rsidP="004053D7">
      <w:pPr>
        <w:spacing w:line="360" w:lineRule="auto"/>
        <w:rPr>
          <w:rFonts w:cstheme="minorHAnsi"/>
          <w:color w:val="000000" w:themeColor="text1"/>
        </w:rPr>
      </w:pPr>
      <w:r w:rsidRPr="00CA4ABC">
        <w:rPr>
          <w:rFonts w:cstheme="minorHAnsi"/>
          <w:color w:val="000000" w:themeColor="text1"/>
        </w:rPr>
        <w:t xml:space="preserve">Conclusions:  </w:t>
      </w:r>
      <w:r w:rsidR="00577B49" w:rsidRPr="00CA4ABC">
        <w:rPr>
          <w:rFonts w:cstheme="minorHAnsi"/>
          <w:color w:val="000000" w:themeColor="text1"/>
        </w:rPr>
        <w:t xml:space="preserve">Based on pre-defined progression criteria, it was deemed feasible to progress to a full-scale </w:t>
      </w:r>
      <w:r w:rsidR="00561DDF" w:rsidRPr="00CA4ABC">
        <w:rPr>
          <w:rFonts w:cstheme="minorHAnsi"/>
          <w:color w:val="000000" w:themeColor="text1"/>
        </w:rPr>
        <w:t>randomised controlled</w:t>
      </w:r>
      <w:r w:rsidR="00577B49" w:rsidRPr="00CA4ABC">
        <w:rPr>
          <w:rFonts w:cstheme="minorHAnsi"/>
          <w:color w:val="000000" w:themeColor="text1"/>
        </w:rPr>
        <w:t xml:space="preserve"> trial. A protocol based on the insights and findings of this thesis has been developed, </w:t>
      </w:r>
      <w:r w:rsidR="00732611" w:rsidRPr="00CA4ABC">
        <w:rPr>
          <w:rFonts w:cstheme="minorHAnsi"/>
          <w:color w:val="000000" w:themeColor="text1"/>
        </w:rPr>
        <w:t>including</w:t>
      </w:r>
      <w:r w:rsidR="00577B49" w:rsidRPr="00CA4ABC">
        <w:rPr>
          <w:rFonts w:cstheme="minorHAnsi"/>
          <w:color w:val="000000" w:themeColor="text1"/>
        </w:rPr>
        <w:t xml:space="preserve"> participant</w:t>
      </w:r>
      <w:r w:rsidR="00732611" w:rsidRPr="00CA4ABC">
        <w:rPr>
          <w:rFonts w:cstheme="minorHAnsi"/>
          <w:color w:val="000000" w:themeColor="text1"/>
        </w:rPr>
        <w:t xml:space="preserve"> </w:t>
      </w:r>
      <w:r w:rsidR="00FD1892" w:rsidRPr="00CA4ABC">
        <w:rPr>
          <w:rFonts w:cstheme="minorHAnsi"/>
          <w:color w:val="000000" w:themeColor="text1"/>
        </w:rPr>
        <w:t>inclusion criteria</w:t>
      </w:r>
      <w:r w:rsidR="00034F95" w:rsidRPr="00CA4ABC">
        <w:rPr>
          <w:rFonts w:cstheme="minorHAnsi"/>
          <w:color w:val="000000" w:themeColor="text1"/>
        </w:rPr>
        <w:t>,</w:t>
      </w:r>
      <w:r w:rsidR="005614F0" w:rsidRPr="00CA4ABC">
        <w:rPr>
          <w:rFonts w:cstheme="minorHAnsi"/>
          <w:color w:val="000000" w:themeColor="text1"/>
        </w:rPr>
        <w:t xml:space="preserve"> and f</w:t>
      </w:r>
      <w:r w:rsidR="00577B49" w:rsidRPr="00CA4ABC">
        <w:rPr>
          <w:rFonts w:cstheme="minorHAnsi"/>
          <w:color w:val="000000" w:themeColor="text1"/>
        </w:rPr>
        <w:t>uture work should test th</w:t>
      </w:r>
      <w:r w:rsidR="005614F0" w:rsidRPr="00CA4ABC">
        <w:rPr>
          <w:rFonts w:cstheme="minorHAnsi"/>
          <w:color w:val="000000" w:themeColor="text1"/>
        </w:rPr>
        <w:t>is.</w:t>
      </w:r>
    </w:p>
    <w:p w14:paraId="496CDCEA" w14:textId="77777777" w:rsidR="00501250" w:rsidRPr="00CA4ABC" w:rsidRDefault="00501250" w:rsidP="004053D7">
      <w:pPr>
        <w:spacing w:line="360" w:lineRule="auto"/>
        <w:rPr>
          <w:rFonts w:cstheme="minorHAnsi"/>
          <w:color w:val="000000" w:themeColor="text1"/>
        </w:rPr>
        <w:sectPr w:rsidR="00501250" w:rsidRPr="00CA4ABC" w:rsidSect="00EF1855">
          <w:footerReference w:type="even" r:id="rId9"/>
          <w:footerReference w:type="default" r:id="rId10"/>
          <w:pgSz w:w="11900" w:h="16840"/>
          <w:pgMar w:top="1440" w:right="1440" w:bottom="1440" w:left="1440" w:header="708" w:footer="708" w:gutter="0"/>
          <w:cols w:space="708"/>
          <w:docGrid w:linePitch="360"/>
        </w:sectPr>
      </w:pPr>
    </w:p>
    <w:p w14:paraId="405E7E34" w14:textId="49D779C0" w:rsidR="00501250" w:rsidRPr="00CA4ABC" w:rsidRDefault="00501250" w:rsidP="003A7076">
      <w:pPr>
        <w:pStyle w:val="Heading2"/>
        <w:rPr>
          <w:rFonts w:asciiTheme="minorHAnsi" w:hAnsiTheme="minorHAnsi" w:cstheme="minorHAnsi"/>
          <w:b/>
          <w:bCs/>
          <w:color w:val="000000" w:themeColor="text1"/>
        </w:rPr>
      </w:pPr>
      <w:bookmarkStart w:id="2" w:name="_Toc135384226"/>
      <w:r w:rsidRPr="00CA4ABC">
        <w:rPr>
          <w:rFonts w:asciiTheme="minorHAnsi" w:hAnsiTheme="minorHAnsi" w:cstheme="minorHAnsi"/>
          <w:b/>
          <w:bCs/>
          <w:color w:val="000000" w:themeColor="text1"/>
        </w:rPr>
        <w:lastRenderedPageBreak/>
        <w:t>Dedication</w:t>
      </w:r>
      <w:bookmarkEnd w:id="2"/>
    </w:p>
    <w:p w14:paraId="041C6C88" w14:textId="6D7649E5" w:rsidR="00501250" w:rsidRPr="00CA4ABC" w:rsidRDefault="00501250" w:rsidP="00501250">
      <w:pPr>
        <w:rPr>
          <w:rFonts w:cstheme="minorHAnsi"/>
          <w:color w:val="000000" w:themeColor="text1"/>
        </w:rPr>
      </w:pPr>
      <w:r w:rsidRPr="00CA4ABC">
        <w:rPr>
          <w:rFonts w:cstheme="minorHAnsi"/>
          <w:color w:val="000000" w:themeColor="text1"/>
        </w:rPr>
        <w:t xml:space="preserve">I dedicate this PhD to my parents, Alison and Neil Tuttiett. </w:t>
      </w:r>
      <w:r w:rsidR="00237AFD" w:rsidRPr="00CA4ABC">
        <w:rPr>
          <w:rFonts w:cstheme="minorHAnsi"/>
          <w:color w:val="000000" w:themeColor="text1"/>
        </w:rPr>
        <w:t>Being unable</w:t>
      </w:r>
      <w:r w:rsidRPr="00CA4ABC">
        <w:rPr>
          <w:rFonts w:cstheme="minorHAnsi"/>
          <w:color w:val="000000" w:themeColor="text1"/>
        </w:rPr>
        <w:t xml:space="preserve"> to speak to you on tough days was</w:t>
      </w:r>
      <w:r w:rsidR="000703A5">
        <w:rPr>
          <w:rFonts w:cstheme="minorHAnsi"/>
          <w:color w:val="000000" w:themeColor="text1"/>
        </w:rPr>
        <w:t xml:space="preserve"> sometimes</w:t>
      </w:r>
      <w:r w:rsidRPr="00CA4ABC">
        <w:rPr>
          <w:rFonts w:cstheme="minorHAnsi"/>
          <w:color w:val="000000" w:themeColor="text1"/>
        </w:rPr>
        <w:t xml:space="preserve"> unbearable</w:t>
      </w:r>
      <w:r w:rsidR="003A7076" w:rsidRPr="00CA4ABC">
        <w:rPr>
          <w:rFonts w:cstheme="minorHAnsi"/>
          <w:color w:val="000000" w:themeColor="text1"/>
        </w:rPr>
        <w:t>. Despite this,</w:t>
      </w:r>
      <w:r w:rsidR="00237AFD" w:rsidRPr="00CA4ABC">
        <w:rPr>
          <w:rFonts w:cstheme="minorHAnsi"/>
          <w:color w:val="000000" w:themeColor="text1"/>
        </w:rPr>
        <w:t xml:space="preserve"> </w:t>
      </w:r>
      <w:r w:rsidRPr="00CA4ABC">
        <w:rPr>
          <w:rFonts w:cstheme="minorHAnsi"/>
          <w:color w:val="000000" w:themeColor="text1"/>
        </w:rPr>
        <w:t>you have always remained with me, in spirit, every step of the way</w:t>
      </w:r>
      <w:r w:rsidR="003A7076" w:rsidRPr="00CA4ABC">
        <w:rPr>
          <w:rFonts w:cstheme="minorHAnsi"/>
          <w:color w:val="000000" w:themeColor="text1"/>
        </w:rPr>
        <w:t xml:space="preserve">. </w:t>
      </w:r>
      <w:r w:rsidRPr="00CA4ABC">
        <w:rPr>
          <w:rFonts w:cstheme="minorHAnsi"/>
          <w:color w:val="000000" w:themeColor="text1"/>
        </w:rPr>
        <w:t xml:space="preserve">I hope I have made you proud. </w:t>
      </w:r>
    </w:p>
    <w:p w14:paraId="2A0F5613" w14:textId="77777777" w:rsidR="00501250" w:rsidRPr="00CA4ABC" w:rsidRDefault="00501250" w:rsidP="00501250">
      <w:pPr>
        <w:rPr>
          <w:rFonts w:cstheme="minorHAnsi"/>
          <w:color w:val="000000" w:themeColor="text1"/>
        </w:rPr>
      </w:pPr>
    </w:p>
    <w:p w14:paraId="466CDF39" w14:textId="6A66884C" w:rsidR="00501250" w:rsidRPr="00CA4ABC" w:rsidRDefault="00501250" w:rsidP="00697918">
      <w:pPr>
        <w:pStyle w:val="Heading2"/>
        <w:rPr>
          <w:rFonts w:asciiTheme="minorHAnsi" w:hAnsiTheme="minorHAnsi" w:cstheme="minorHAnsi"/>
          <w:b/>
          <w:bCs/>
          <w:color w:val="000000" w:themeColor="text1"/>
        </w:rPr>
      </w:pPr>
      <w:bookmarkStart w:id="3" w:name="_Toc135384227"/>
      <w:r w:rsidRPr="00CA4ABC">
        <w:rPr>
          <w:rFonts w:asciiTheme="minorHAnsi" w:hAnsiTheme="minorHAnsi" w:cstheme="minorHAnsi"/>
          <w:b/>
          <w:bCs/>
          <w:color w:val="000000" w:themeColor="text1"/>
        </w:rPr>
        <w:t>Acknowledgements</w:t>
      </w:r>
      <w:bookmarkEnd w:id="3"/>
    </w:p>
    <w:p w14:paraId="59BC5DE1" w14:textId="470E4231" w:rsidR="00501250" w:rsidRPr="00CA4ABC" w:rsidRDefault="00501250" w:rsidP="00501250">
      <w:pPr>
        <w:rPr>
          <w:rFonts w:cstheme="minorHAnsi"/>
        </w:rPr>
      </w:pPr>
      <w:r w:rsidRPr="00CA4ABC">
        <w:rPr>
          <w:rFonts w:cstheme="minorHAnsi"/>
        </w:rPr>
        <w:t xml:space="preserve">Firstly I would like to acknowledge my supervisors, Dr Liz Williams and Professor Bernard Corfe. Your expertise and knowledge </w:t>
      </w:r>
      <w:r w:rsidR="003A7076" w:rsidRPr="00CA4ABC">
        <w:rPr>
          <w:rFonts w:cstheme="minorHAnsi"/>
        </w:rPr>
        <w:t>are</w:t>
      </w:r>
      <w:r w:rsidRPr="00CA4ABC">
        <w:rPr>
          <w:rFonts w:cstheme="minorHAnsi"/>
        </w:rPr>
        <w:t xml:space="preserve"> second to none. Thank you for your guidance</w:t>
      </w:r>
      <w:r w:rsidR="003A7076" w:rsidRPr="00CA4ABC">
        <w:rPr>
          <w:rFonts w:cstheme="minorHAnsi"/>
        </w:rPr>
        <w:t xml:space="preserve"> and all </w:t>
      </w:r>
      <w:r w:rsidRPr="00CA4ABC">
        <w:rPr>
          <w:rFonts w:cstheme="minorHAnsi"/>
        </w:rPr>
        <w:t xml:space="preserve">the help and assistance you have given me, </w:t>
      </w:r>
      <w:r w:rsidR="003A7076" w:rsidRPr="00CA4ABC">
        <w:rPr>
          <w:rFonts w:cstheme="minorHAnsi"/>
        </w:rPr>
        <w:t>extending</w:t>
      </w:r>
      <w:r w:rsidRPr="00CA4ABC">
        <w:rPr>
          <w:rFonts w:cstheme="minorHAnsi"/>
        </w:rPr>
        <w:t xml:space="preserve"> beyond my </w:t>
      </w:r>
      <w:r w:rsidR="003A7076" w:rsidRPr="00CA4ABC">
        <w:rPr>
          <w:rFonts w:cstheme="minorHAnsi"/>
        </w:rPr>
        <w:t>3-year</w:t>
      </w:r>
      <w:r w:rsidRPr="00CA4ABC">
        <w:rPr>
          <w:rFonts w:cstheme="minorHAnsi"/>
        </w:rPr>
        <w:t xml:space="preserve"> PhD period. Thanks also to my co-supervisory team, Professor Emma Stevens and Professor Tom Hill</w:t>
      </w:r>
      <w:r w:rsidR="000703A5">
        <w:rPr>
          <w:rFonts w:cstheme="minorHAnsi"/>
        </w:rPr>
        <w:t>; your</w:t>
      </w:r>
      <w:r w:rsidRPr="00CA4ABC">
        <w:rPr>
          <w:rFonts w:cstheme="minorHAnsi"/>
        </w:rPr>
        <w:t xml:space="preserve"> input and ideas have always been a great help.</w:t>
      </w:r>
    </w:p>
    <w:p w14:paraId="2A6A6837" w14:textId="77777777" w:rsidR="00501250" w:rsidRPr="00CA4ABC" w:rsidRDefault="00501250" w:rsidP="00501250">
      <w:pPr>
        <w:rPr>
          <w:rFonts w:cstheme="minorHAnsi"/>
        </w:rPr>
      </w:pPr>
    </w:p>
    <w:p w14:paraId="4F2CD9E6" w14:textId="5056C773" w:rsidR="00501250" w:rsidRPr="00CA4ABC" w:rsidRDefault="00501250" w:rsidP="00501250">
      <w:pPr>
        <w:rPr>
          <w:rFonts w:cstheme="minorHAnsi"/>
        </w:rPr>
      </w:pPr>
      <w:r w:rsidRPr="00CA4ABC">
        <w:rPr>
          <w:rFonts w:cstheme="minorHAnsi"/>
        </w:rPr>
        <w:t xml:space="preserve">I would also like to thank my personal tutor, Shelia Francis, for supporting any further </w:t>
      </w:r>
      <w:r w:rsidR="008551AA">
        <w:rPr>
          <w:rFonts w:cstheme="minorHAnsi"/>
        </w:rPr>
        <w:t>academic and personal needs</w:t>
      </w:r>
      <w:r w:rsidR="003A7076" w:rsidRPr="00CA4ABC">
        <w:rPr>
          <w:rFonts w:cstheme="minorHAnsi"/>
        </w:rPr>
        <w:t>.</w:t>
      </w:r>
      <w:r w:rsidRPr="00CA4ABC">
        <w:rPr>
          <w:rFonts w:cstheme="minorHAnsi"/>
        </w:rPr>
        <w:t xml:space="preserve"> </w:t>
      </w:r>
      <w:r w:rsidR="003A7076" w:rsidRPr="00CA4ABC">
        <w:rPr>
          <w:rFonts w:cstheme="minorHAnsi"/>
        </w:rPr>
        <w:t>I appreciated your time and the</w:t>
      </w:r>
      <w:r w:rsidRPr="00CA4ABC">
        <w:rPr>
          <w:rFonts w:cstheme="minorHAnsi"/>
        </w:rPr>
        <w:t xml:space="preserve"> pragmatic</w:t>
      </w:r>
      <w:r w:rsidR="003A7076" w:rsidRPr="00CA4ABC">
        <w:rPr>
          <w:rFonts w:cstheme="minorHAnsi"/>
        </w:rPr>
        <w:t xml:space="preserve"> but</w:t>
      </w:r>
      <w:r w:rsidRPr="00CA4ABC">
        <w:rPr>
          <w:rFonts w:cstheme="minorHAnsi"/>
        </w:rPr>
        <w:t xml:space="preserve"> reassuring advice</w:t>
      </w:r>
      <w:r w:rsidR="003A7076" w:rsidRPr="00CA4ABC">
        <w:rPr>
          <w:rFonts w:cstheme="minorHAnsi"/>
        </w:rPr>
        <w:t xml:space="preserve"> you offered</w:t>
      </w:r>
      <w:r w:rsidR="00237AFD" w:rsidRPr="00CA4ABC">
        <w:rPr>
          <w:rFonts w:cstheme="minorHAnsi"/>
        </w:rPr>
        <w:t>.</w:t>
      </w:r>
    </w:p>
    <w:p w14:paraId="06B0372E" w14:textId="77777777" w:rsidR="00501250" w:rsidRPr="00CA4ABC" w:rsidRDefault="00501250" w:rsidP="00501250">
      <w:pPr>
        <w:rPr>
          <w:rFonts w:cstheme="minorHAnsi"/>
        </w:rPr>
      </w:pPr>
    </w:p>
    <w:p w14:paraId="3141A565" w14:textId="7AEF76D8" w:rsidR="00501250" w:rsidRPr="00CA4ABC" w:rsidRDefault="00501250" w:rsidP="00501250">
      <w:pPr>
        <w:rPr>
          <w:rFonts w:cstheme="minorHAnsi"/>
        </w:rPr>
      </w:pPr>
      <w:r w:rsidRPr="00CA4ABC">
        <w:rPr>
          <w:rFonts w:cstheme="minorHAnsi"/>
        </w:rPr>
        <w:t>A wholehearted thanks to all the</w:t>
      </w:r>
      <w:r w:rsidR="003A7076" w:rsidRPr="00CA4ABC">
        <w:rPr>
          <w:rFonts w:cstheme="minorHAnsi"/>
        </w:rPr>
        <w:t xml:space="preserve"> survey respondents and</w:t>
      </w:r>
      <w:r w:rsidRPr="00CA4ABC">
        <w:rPr>
          <w:rFonts w:cstheme="minorHAnsi"/>
        </w:rPr>
        <w:t xml:space="preserve"> participants who engaged in this research. Conducting this PhD </w:t>
      </w:r>
      <w:r w:rsidR="008551AA">
        <w:rPr>
          <w:rFonts w:cstheme="minorHAnsi"/>
        </w:rPr>
        <w:t>was only possible with</w:t>
      </w:r>
      <w:r w:rsidRPr="00CA4ABC">
        <w:rPr>
          <w:rFonts w:cstheme="minorHAnsi"/>
        </w:rPr>
        <w:t xml:space="preserve"> you</w:t>
      </w:r>
      <w:r w:rsidR="008551AA">
        <w:rPr>
          <w:rFonts w:cstheme="minorHAnsi"/>
        </w:rPr>
        <w:t>r assistance</w:t>
      </w:r>
      <w:r w:rsidRPr="00CA4ABC">
        <w:rPr>
          <w:rFonts w:cstheme="minorHAnsi"/>
        </w:rPr>
        <w:t>. It was a particular honour getting to know the feasibility trial participants</w:t>
      </w:r>
      <w:r w:rsidR="00237AFD" w:rsidRPr="00CA4ABC">
        <w:rPr>
          <w:rFonts w:cstheme="minorHAnsi"/>
        </w:rPr>
        <w:t>,</w:t>
      </w:r>
      <w:r w:rsidRPr="00CA4ABC">
        <w:rPr>
          <w:rFonts w:cstheme="minorHAnsi"/>
        </w:rPr>
        <w:t xml:space="preserve"> and hosting the workout classes always made me smile. </w:t>
      </w:r>
    </w:p>
    <w:p w14:paraId="3E72EAAF" w14:textId="77777777" w:rsidR="00501250" w:rsidRPr="00CA4ABC" w:rsidRDefault="00501250" w:rsidP="00501250">
      <w:pPr>
        <w:rPr>
          <w:rFonts w:cstheme="minorHAnsi"/>
        </w:rPr>
      </w:pPr>
    </w:p>
    <w:p w14:paraId="59A210FE" w14:textId="0F391582" w:rsidR="00501250" w:rsidRPr="00CA4ABC" w:rsidRDefault="00501250" w:rsidP="00501250">
      <w:pPr>
        <w:rPr>
          <w:rFonts w:cstheme="minorHAnsi"/>
        </w:rPr>
      </w:pPr>
      <w:r w:rsidRPr="00CA4ABC">
        <w:rPr>
          <w:rFonts w:cstheme="minorHAnsi"/>
        </w:rPr>
        <w:t xml:space="preserve">I would also like to thank Andrew Cox, Sports Sheffield and all the staff at Goodwin </w:t>
      </w:r>
      <w:r w:rsidR="003A7076" w:rsidRPr="00CA4ABC">
        <w:rPr>
          <w:rFonts w:cstheme="minorHAnsi"/>
        </w:rPr>
        <w:t>Sports</w:t>
      </w:r>
      <w:r w:rsidRPr="00CA4ABC">
        <w:rPr>
          <w:rFonts w:cstheme="minorHAnsi"/>
        </w:rPr>
        <w:t xml:space="preserve"> Centre for their willingness to help out and </w:t>
      </w:r>
      <w:r w:rsidR="008551AA">
        <w:rPr>
          <w:rFonts w:cstheme="minorHAnsi"/>
        </w:rPr>
        <w:t>use the</w:t>
      </w:r>
      <w:r w:rsidRPr="00CA4ABC">
        <w:rPr>
          <w:rFonts w:cstheme="minorHAnsi"/>
        </w:rPr>
        <w:t xml:space="preserve"> facilities for the feasibility trial.</w:t>
      </w:r>
    </w:p>
    <w:p w14:paraId="3972BCD0" w14:textId="77777777" w:rsidR="00501250" w:rsidRPr="00CA4ABC" w:rsidRDefault="00501250" w:rsidP="00501250">
      <w:pPr>
        <w:rPr>
          <w:rFonts w:cstheme="minorHAnsi"/>
        </w:rPr>
      </w:pPr>
    </w:p>
    <w:p w14:paraId="01C2378E" w14:textId="099C6651" w:rsidR="00501250" w:rsidRPr="00CA4ABC" w:rsidRDefault="00501250" w:rsidP="00501250">
      <w:pPr>
        <w:rPr>
          <w:rFonts w:cstheme="minorHAnsi"/>
        </w:rPr>
      </w:pPr>
      <w:r w:rsidRPr="00CA4ABC">
        <w:rPr>
          <w:rFonts w:cstheme="minorHAnsi"/>
        </w:rPr>
        <w:t xml:space="preserve">I </w:t>
      </w:r>
      <w:r w:rsidR="008551AA">
        <w:rPr>
          <w:rFonts w:cstheme="minorHAnsi"/>
        </w:rPr>
        <w:t>want</w:t>
      </w:r>
      <w:r w:rsidRPr="00CA4ABC">
        <w:rPr>
          <w:rFonts w:cstheme="minorHAnsi"/>
        </w:rPr>
        <w:t xml:space="preserve"> to acknowledge and thank CIMA, the MRC and Versus Arthritis UK for the funding to make this work possible</w:t>
      </w:r>
      <w:r w:rsidR="00237AFD" w:rsidRPr="00CA4ABC">
        <w:rPr>
          <w:rFonts w:cstheme="minorHAnsi"/>
        </w:rPr>
        <w:t>,</w:t>
      </w:r>
      <w:r w:rsidRPr="00CA4ABC">
        <w:rPr>
          <w:rFonts w:cstheme="minorHAnsi"/>
        </w:rPr>
        <w:t xml:space="preserve"> and I hope I have done the work justice. </w:t>
      </w:r>
    </w:p>
    <w:p w14:paraId="12D9FAB6" w14:textId="77777777" w:rsidR="00501250" w:rsidRPr="00CA4ABC" w:rsidRDefault="00501250" w:rsidP="00501250">
      <w:pPr>
        <w:rPr>
          <w:rFonts w:cstheme="minorHAnsi"/>
        </w:rPr>
      </w:pPr>
    </w:p>
    <w:p w14:paraId="4F73CD78" w14:textId="60675CAB" w:rsidR="00501250" w:rsidRPr="00CA4ABC" w:rsidRDefault="00501250" w:rsidP="00501250">
      <w:pPr>
        <w:rPr>
          <w:rFonts w:cstheme="minorHAnsi"/>
        </w:rPr>
      </w:pPr>
      <w:r w:rsidRPr="00CA4ABC">
        <w:rPr>
          <w:rFonts w:cstheme="minorHAnsi"/>
        </w:rPr>
        <w:t>Lastly, I would like to offer my sincerest thanks and gratitude to all my family</w:t>
      </w:r>
      <w:r w:rsidR="00237AFD" w:rsidRPr="00CA4ABC">
        <w:rPr>
          <w:rFonts w:cstheme="minorHAnsi"/>
        </w:rPr>
        <w:t>,</w:t>
      </w:r>
      <w:r w:rsidRPr="00CA4ABC">
        <w:rPr>
          <w:rFonts w:cstheme="minorHAnsi"/>
        </w:rPr>
        <w:t xml:space="preserve"> friends</w:t>
      </w:r>
      <w:r w:rsidR="00237AFD" w:rsidRPr="00CA4ABC">
        <w:rPr>
          <w:rFonts w:cstheme="minorHAnsi"/>
        </w:rPr>
        <w:t xml:space="preserve"> and colleagues</w:t>
      </w:r>
      <w:r w:rsidRPr="00CA4ABC">
        <w:rPr>
          <w:rFonts w:cstheme="minorHAnsi"/>
        </w:rPr>
        <w:t xml:space="preserve"> who supported me along the way.</w:t>
      </w:r>
    </w:p>
    <w:p w14:paraId="289E4BAA" w14:textId="77777777" w:rsidR="00501250" w:rsidRPr="00CA4ABC" w:rsidRDefault="00501250" w:rsidP="00501250">
      <w:pPr>
        <w:rPr>
          <w:rFonts w:cstheme="minorHAnsi"/>
        </w:rPr>
      </w:pPr>
    </w:p>
    <w:p w14:paraId="5BC96EC8" w14:textId="5FE6360A" w:rsidR="00501250" w:rsidRPr="00CA4ABC" w:rsidRDefault="00501250" w:rsidP="00501250">
      <w:pPr>
        <w:rPr>
          <w:rFonts w:cstheme="minorHAnsi"/>
        </w:rPr>
      </w:pPr>
      <w:r w:rsidRPr="00CA4ABC">
        <w:rPr>
          <w:rFonts w:cstheme="minorHAnsi"/>
        </w:rPr>
        <w:t xml:space="preserve">Thank you to </w:t>
      </w:r>
      <w:r w:rsidR="003A7076" w:rsidRPr="00CA4ABC">
        <w:rPr>
          <w:rFonts w:cstheme="minorHAnsi"/>
        </w:rPr>
        <w:t xml:space="preserve">my </w:t>
      </w:r>
      <w:r w:rsidRPr="00CA4ABC">
        <w:rPr>
          <w:rFonts w:cstheme="minorHAnsi"/>
        </w:rPr>
        <w:t>Grandparents</w:t>
      </w:r>
      <w:r w:rsidR="003A7076" w:rsidRPr="00CA4ABC">
        <w:rPr>
          <w:rFonts w:cstheme="minorHAnsi"/>
        </w:rPr>
        <w:t>,</w:t>
      </w:r>
      <w:r w:rsidRPr="00CA4ABC">
        <w:rPr>
          <w:rFonts w:cstheme="minorHAnsi"/>
        </w:rPr>
        <w:t xml:space="preserve"> who are the ultimate role models and my original inspiration for wanting to engage in ageing research. Being your granddaughter is my </w:t>
      </w:r>
      <w:r w:rsidR="00D30D52">
        <w:rPr>
          <w:rFonts w:cstheme="minorHAnsi"/>
        </w:rPr>
        <w:t xml:space="preserve">greatest </w:t>
      </w:r>
      <w:r w:rsidRPr="00CA4ABC">
        <w:rPr>
          <w:rFonts w:cstheme="minorHAnsi"/>
        </w:rPr>
        <w:t xml:space="preserve">honour. </w:t>
      </w:r>
    </w:p>
    <w:p w14:paraId="59ABC712" w14:textId="77777777" w:rsidR="00501250" w:rsidRPr="00CA4ABC" w:rsidRDefault="00501250" w:rsidP="00501250">
      <w:pPr>
        <w:rPr>
          <w:rFonts w:cstheme="minorHAnsi"/>
        </w:rPr>
      </w:pPr>
    </w:p>
    <w:p w14:paraId="2E00E444" w14:textId="1AA1A507" w:rsidR="00501250" w:rsidRPr="00CA4ABC" w:rsidRDefault="00501250" w:rsidP="00501250">
      <w:pPr>
        <w:rPr>
          <w:rFonts w:cstheme="minorHAnsi"/>
        </w:rPr>
      </w:pPr>
      <w:r w:rsidRPr="00CA4ABC">
        <w:rPr>
          <w:rFonts w:cstheme="minorHAnsi"/>
        </w:rPr>
        <w:t xml:space="preserve">Thank you to the Wookey family, the best adoptive family anyone could ask for. Your kindness and care </w:t>
      </w:r>
      <w:r w:rsidR="00237AFD" w:rsidRPr="00CA4ABC">
        <w:rPr>
          <w:rFonts w:cstheme="minorHAnsi"/>
        </w:rPr>
        <w:t>are</w:t>
      </w:r>
      <w:r w:rsidRPr="00CA4ABC">
        <w:rPr>
          <w:rFonts w:cstheme="minorHAnsi"/>
        </w:rPr>
        <w:t xml:space="preserve"> unwavering. </w:t>
      </w:r>
    </w:p>
    <w:p w14:paraId="7341DFAA" w14:textId="77777777" w:rsidR="00501250" w:rsidRPr="00CA4ABC" w:rsidRDefault="00501250" w:rsidP="00501250">
      <w:pPr>
        <w:rPr>
          <w:rFonts w:cstheme="minorHAnsi"/>
        </w:rPr>
      </w:pPr>
    </w:p>
    <w:p w14:paraId="412E6A3A" w14:textId="234EE5FB" w:rsidR="00501250" w:rsidRPr="00CA4ABC" w:rsidRDefault="00501250" w:rsidP="00501250">
      <w:pPr>
        <w:rPr>
          <w:rFonts w:cstheme="minorHAnsi"/>
        </w:rPr>
      </w:pPr>
      <w:r w:rsidRPr="00CA4ABC">
        <w:rPr>
          <w:rFonts w:cstheme="minorHAnsi"/>
        </w:rPr>
        <w:t>Thank you to Llywelyn for all your support, patience, reassurance and belief that I will get there. Thanks also to East Midlands railway for helping the relationship to stay intact, despite everything else that tried to get in the way.</w:t>
      </w:r>
    </w:p>
    <w:p w14:paraId="2CAE1B72" w14:textId="77777777" w:rsidR="00501250" w:rsidRPr="00CA4ABC" w:rsidRDefault="00501250" w:rsidP="00501250">
      <w:pPr>
        <w:rPr>
          <w:rFonts w:cstheme="minorHAnsi"/>
        </w:rPr>
      </w:pPr>
    </w:p>
    <w:p w14:paraId="2E5FBF3B" w14:textId="232D1C47" w:rsidR="00501250" w:rsidRPr="00CA4ABC" w:rsidRDefault="00501250" w:rsidP="00501250">
      <w:pPr>
        <w:rPr>
          <w:rFonts w:cstheme="minorHAnsi"/>
        </w:rPr>
      </w:pPr>
      <w:r w:rsidRPr="00CA4ABC">
        <w:rPr>
          <w:rFonts w:cstheme="minorHAnsi"/>
        </w:rPr>
        <w:t xml:space="preserve">Thank you to my brothers, James and Mark, and </w:t>
      </w:r>
      <w:r w:rsidR="003A7076" w:rsidRPr="00CA4ABC">
        <w:rPr>
          <w:rFonts w:cstheme="minorHAnsi"/>
        </w:rPr>
        <w:t>sisters-in-law</w:t>
      </w:r>
      <w:r w:rsidRPr="00CA4ABC">
        <w:rPr>
          <w:rFonts w:cstheme="minorHAnsi"/>
        </w:rPr>
        <w:t xml:space="preserve">, Alex and Ruby, for </w:t>
      </w:r>
      <w:r w:rsidR="00237AFD" w:rsidRPr="00CA4ABC">
        <w:rPr>
          <w:rFonts w:cstheme="minorHAnsi"/>
        </w:rPr>
        <w:t>ensuring</w:t>
      </w:r>
      <w:r w:rsidRPr="00CA4ABC">
        <w:rPr>
          <w:rFonts w:cstheme="minorHAnsi"/>
        </w:rPr>
        <w:t xml:space="preserve"> I always knew I was part of a team</w:t>
      </w:r>
      <w:r w:rsidR="00237AFD" w:rsidRPr="00CA4ABC">
        <w:rPr>
          <w:rFonts w:cstheme="minorHAnsi"/>
        </w:rPr>
        <w:t xml:space="preserve">. Thank you </w:t>
      </w:r>
      <w:r w:rsidRPr="00CA4ABC">
        <w:rPr>
          <w:rFonts w:cstheme="minorHAnsi"/>
        </w:rPr>
        <w:t xml:space="preserve">for looking out and protecting me through thick and thin. </w:t>
      </w:r>
    </w:p>
    <w:p w14:paraId="2A37F39B" w14:textId="77777777" w:rsidR="00501250" w:rsidRPr="00CA4ABC" w:rsidRDefault="00501250" w:rsidP="00501250">
      <w:pPr>
        <w:rPr>
          <w:rFonts w:cstheme="minorHAnsi"/>
        </w:rPr>
      </w:pPr>
    </w:p>
    <w:p w14:paraId="3F894B7D" w14:textId="39B65750" w:rsidR="00501250" w:rsidRPr="00CA4ABC" w:rsidRDefault="00501250" w:rsidP="00501250">
      <w:pPr>
        <w:rPr>
          <w:rFonts w:cstheme="minorHAnsi"/>
        </w:rPr>
      </w:pPr>
      <w:r w:rsidRPr="00CA4ABC">
        <w:rPr>
          <w:rFonts w:cstheme="minorHAnsi"/>
        </w:rPr>
        <w:t xml:space="preserve">Lastly, thank you to my beautiful nephew, Bertie, and the bump on the way, for </w:t>
      </w:r>
      <w:r w:rsidR="003A7076" w:rsidRPr="00CA4ABC">
        <w:rPr>
          <w:rFonts w:cstheme="minorHAnsi"/>
        </w:rPr>
        <w:t xml:space="preserve">inspiring me to </w:t>
      </w:r>
      <w:r w:rsidRPr="00CA4ABC">
        <w:rPr>
          <w:rFonts w:cstheme="minorHAnsi"/>
        </w:rPr>
        <w:t>be the best version of myself so that I can</w:t>
      </w:r>
      <w:r w:rsidR="003A7076" w:rsidRPr="00CA4ABC">
        <w:rPr>
          <w:rFonts w:cstheme="minorHAnsi"/>
        </w:rPr>
        <w:t xml:space="preserve"> also</w:t>
      </w:r>
      <w:r w:rsidRPr="00CA4ABC">
        <w:rPr>
          <w:rFonts w:cstheme="minorHAnsi"/>
        </w:rPr>
        <w:t xml:space="preserve"> be the best Auntie possible</w:t>
      </w:r>
      <w:r w:rsidR="003A7076" w:rsidRPr="00CA4ABC">
        <w:rPr>
          <w:rFonts w:cstheme="minorHAnsi"/>
        </w:rPr>
        <w:t>.</w:t>
      </w:r>
    </w:p>
    <w:p w14:paraId="0B5A1C68" w14:textId="74FA40AE" w:rsidR="00E05174" w:rsidRPr="00CA4ABC" w:rsidRDefault="00E05174" w:rsidP="004F7D19">
      <w:pPr>
        <w:pStyle w:val="Heading2"/>
        <w:spacing w:line="360" w:lineRule="auto"/>
        <w:rPr>
          <w:rFonts w:asciiTheme="minorHAnsi" w:hAnsiTheme="minorHAnsi" w:cstheme="minorHAnsi"/>
          <w:b/>
          <w:bCs/>
          <w:color w:val="000000" w:themeColor="text1"/>
          <w:sz w:val="24"/>
          <w:szCs w:val="24"/>
          <w:lang w:eastAsia="en-GB"/>
        </w:rPr>
      </w:pPr>
      <w:bookmarkStart w:id="4" w:name="_Toc135384228"/>
      <w:r w:rsidRPr="00CA4ABC">
        <w:rPr>
          <w:rFonts w:asciiTheme="minorHAnsi" w:hAnsiTheme="minorHAnsi" w:cstheme="minorHAnsi"/>
          <w:b/>
          <w:bCs/>
          <w:color w:val="000000" w:themeColor="text1"/>
          <w:sz w:val="24"/>
          <w:szCs w:val="24"/>
          <w:lang w:eastAsia="en-GB"/>
        </w:rPr>
        <w:lastRenderedPageBreak/>
        <w:t>Publication arising from this thesis</w:t>
      </w:r>
      <w:r w:rsidR="00697918">
        <w:rPr>
          <w:rFonts w:asciiTheme="minorHAnsi" w:hAnsiTheme="minorHAnsi" w:cstheme="minorHAnsi"/>
          <w:b/>
          <w:bCs/>
          <w:color w:val="000000" w:themeColor="text1"/>
          <w:sz w:val="24"/>
          <w:szCs w:val="24"/>
          <w:lang w:eastAsia="en-GB"/>
        </w:rPr>
        <w:t>.</w:t>
      </w:r>
      <w:bookmarkEnd w:id="4"/>
    </w:p>
    <w:p w14:paraId="79D06B64" w14:textId="545A64F8" w:rsidR="00E25E18" w:rsidRPr="00CA4ABC" w:rsidRDefault="00E25E18" w:rsidP="004F7D19">
      <w:pPr>
        <w:spacing w:line="360" w:lineRule="auto"/>
        <w:rPr>
          <w:rFonts w:cstheme="minorHAnsi"/>
          <w:color w:val="000000" w:themeColor="text1"/>
          <w:lang w:eastAsia="en-GB"/>
        </w:rPr>
      </w:pPr>
      <w:r w:rsidRPr="00CA4ABC">
        <w:rPr>
          <w:rFonts w:cstheme="minorHAnsi"/>
          <w:color w:val="000000" w:themeColor="text1"/>
          <w:shd w:val="clear" w:color="auto" w:fill="FFFFFF"/>
        </w:rPr>
        <w:t>Tuttiett ER, Ioannou E, Wijnhoven HA, Corfe BM, Williams EA. Adaptation and validation of a protein intake screening tool for a UK adult population. Journal of Nutritional Science. 2022;11:e100.</w:t>
      </w:r>
    </w:p>
    <w:p w14:paraId="4F89A7B3" w14:textId="6EF3638D" w:rsidR="00E05174" w:rsidRPr="00CA4ABC" w:rsidRDefault="00E05174" w:rsidP="00E05174">
      <w:pPr>
        <w:rPr>
          <w:rFonts w:cstheme="minorHAnsi"/>
          <w:b/>
          <w:bCs/>
          <w:lang w:eastAsia="en-GB"/>
        </w:rPr>
      </w:pPr>
    </w:p>
    <w:p w14:paraId="0A3F1D26" w14:textId="3F905091" w:rsidR="00E05174" w:rsidRPr="00CA4ABC" w:rsidRDefault="00E05174" w:rsidP="00E05174">
      <w:pPr>
        <w:pStyle w:val="Heading2"/>
        <w:rPr>
          <w:rFonts w:asciiTheme="minorHAnsi" w:hAnsiTheme="minorHAnsi" w:cstheme="minorHAnsi"/>
          <w:b/>
          <w:bCs/>
          <w:color w:val="000000" w:themeColor="text1"/>
          <w:sz w:val="24"/>
          <w:szCs w:val="24"/>
          <w:lang w:eastAsia="en-GB"/>
        </w:rPr>
      </w:pPr>
      <w:bookmarkStart w:id="5" w:name="_Toc135384229"/>
      <w:r w:rsidRPr="00CA4ABC">
        <w:rPr>
          <w:rFonts w:asciiTheme="minorHAnsi" w:hAnsiTheme="minorHAnsi" w:cstheme="minorHAnsi"/>
          <w:b/>
          <w:bCs/>
          <w:color w:val="000000" w:themeColor="text1"/>
          <w:sz w:val="24"/>
          <w:szCs w:val="24"/>
          <w:lang w:eastAsia="en-GB"/>
        </w:rPr>
        <w:t>Associated publications during the PhD registration period</w:t>
      </w:r>
      <w:r w:rsidR="00697918">
        <w:rPr>
          <w:rFonts w:asciiTheme="minorHAnsi" w:hAnsiTheme="minorHAnsi" w:cstheme="minorHAnsi"/>
          <w:b/>
          <w:bCs/>
          <w:color w:val="000000" w:themeColor="text1"/>
          <w:sz w:val="24"/>
          <w:szCs w:val="24"/>
          <w:lang w:eastAsia="en-GB"/>
        </w:rPr>
        <w:t>.</w:t>
      </w:r>
      <w:bookmarkEnd w:id="5"/>
    </w:p>
    <w:p w14:paraId="242D893E" w14:textId="346F2946" w:rsidR="00E05174" w:rsidRPr="00CA4ABC" w:rsidRDefault="00E05174">
      <w:pPr>
        <w:pStyle w:val="ListParagraph"/>
        <w:numPr>
          <w:ilvl w:val="0"/>
          <w:numId w:val="38"/>
        </w:numPr>
        <w:spacing w:line="360" w:lineRule="auto"/>
        <w:rPr>
          <w:rFonts w:cstheme="minorHAnsi"/>
          <w:color w:val="000000" w:themeColor="text1"/>
          <w:lang w:eastAsia="en-GB"/>
        </w:rPr>
      </w:pPr>
      <w:r w:rsidRPr="00CA4ABC">
        <w:rPr>
          <w:rFonts w:cstheme="minorHAnsi"/>
          <w:color w:val="000000" w:themeColor="text1"/>
          <w:shd w:val="clear" w:color="auto" w:fill="FFFFFF"/>
        </w:rPr>
        <w:t>Tuttiett ER, Corfe BM, Williams EA. Compari</w:t>
      </w:r>
      <w:r w:rsidR="00E25E18" w:rsidRPr="00CA4ABC">
        <w:rPr>
          <w:rFonts w:cstheme="minorHAnsi"/>
          <w:color w:val="000000" w:themeColor="text1"/>
          <w:shd w:val="clear" w:color="auto" w:fill="FFFFFF"/>
        </w:rPr>
        <w:t>son of dietary Intake in UK adults aged 50 to 75 Year during the 2020 UK COVID-19 lockdown compare to their 2019 intakes. JarLife.</w:t>
      </w:r>
    </w:p>
    <w:p w14:paraId="5DA02177" w14:textId="0526600E" w:rsidR="00E05174" w:rsidRPr="00CA4ABC" w:rsidRDefault="00E05174">
      <w:pPr>
        <w:pStyle w:val="ListParagraph"/>
        <w:numPr>
          <w:ilvl w:val="0"/>
          <w:numId w:val="38"/>
        </w:numPr>
        <w:spacing w:line="360" w:lineRule="auto"/>
        <w:rPr>
          <w:rFonts w:cstheme="minorHAnsi"/>
          <w:color w:val="000000" w:themeColor="text1"/>
          <w:shd w:val="clear" w:color="auto" w:fill="FFFFFF"/>
        </w:rPr>
      </w:pPr>
      <w:r w:rsidRPr="00CA4ABC">
        <w:rPr>
          <w:rFonts w:cstheme="minorHAnsi"/>
          <w:color w:val="000000" w:themeColor="text1"/>
          <w:shd w:val="clear" w:color="auto" w:fill="FFFFFF"/>
        </w:rPr>
        <w:t>Ni Lochlainn M, Cox NJ, Wilson T, Hayhoe RP, Ramsay SE, Granic A, Isanejad M, Roberts HC, Wilson D, Welch C, Hurst C. Nutrition and frailty: opportunities for prevention and treatment. Nutrients. 2021 Jul 9;13(7):2349.</w:t>
      </w:r>
    </w:p>
    <w:p w14:paraId="2C3FBD46" w14:textId="5C1446F1" w:rsidR="00E05174" w:rsidRPr="00CA4ABC" w:rsidRDefault="00E05174">
      <w:pPr>
        <w:pStyle w:val="ListParagraph"/>
        <w:numPr>
          <w:ilvl w:val="0"/>
          <w:numId w:val="38"/>
        </w:numPr>
        <w:spacing w:line="360" w:lineRule="auto"/>
        <w:rPr>
          <w:rFonts w:cstheme="minorHAnsi"/>
          <w:color w:val="000000" w:themeColor="text1"/>
          <w:lang w:eastAsia="en-GB"/>
        </w:rPr>
      </w:pPr>
      <w:r w:rsidRPr="00CA4ABC">
        <w:rPr>
          <w:rFonts w:cstheme="minorHAnsi"/>
          <w:color w:val="000000" w:themeColor="text1"/>
          <w:shd w:val="clear" w:color="auto" w:fill="FFFFFF"/>
        </w:rPr>
        <w:t>Ashton R, Ansdell P, Hume E, Maden-Wilkinson T, Ryan D, Tuttiett E, Faghy M. COVID-19 and the long-term cardio-respiratory and metabolic health complications. Reviews in cardiovascular medicine. 2022 Feb 9;23(2):53.</w:t>
      </w:r>
    </w:p>
    <w:p w14:paraId="78BB0656" w14:textId="77777777" w:rsidR="00E05174" w:rsidRPr="00CA4ABC" w:rsidRDefault="00E05174" w:rsidP="00E05174">
      <w:pPr>
        <w:rPr>
          <w:rFonts w:cstheme="minorHAnsi"/>
          <w:lang w:eastAsia="en-GB"/>
        </w:rPr>
      </w:pPr>
    </w:p>
    <w:p w14:paraId="7BFB9D09" w14:textId="77777777" w:rsidR="00E05174" w:rsidRPr="00CA4ABC" w:rsidRDefault="00E05174" w:rsidP="00E05174">
      <w:pPr>
        <w:pStyle w:val="Heading2"/>
        <w:spacing w:line="360" w:lineRule="auto"/>
        <w:rPr>
          <w:rFonts w:asciiTheme="minorHAnsi" w:eastAsia="Times New Roman" w:hAnsiTheme="minorHAnsi" w:cstheme="minorHAnsi"/>
          <w:b/>
          <w:bCs/>
          <w:color w:val="000000" w:themeColor="text1"/>
          <w:sz w:val="24"/>
          <w:szCs w:val="24"/>
          <w:lang w:eastAsia="en-GB"/>
        </w:rPr>
      </w:pPr>
      <w:bookmarkStart w:id="6" w:name="_Toc135384230"/>
      <w:r w:rsidRPr="00CA4ABC">
        <w:rPr>
          <w:rFonts w:asciiTheme="minorHAnsi" w:eastAsia="Times New Roman" w:hAnsiTheme="minorHAnsi" w:cstheme="minorHAnsi"/>
          <w:b/>
          <w:bCs/>
          <w:color w:val="000000" w:themeColor="text1"/>
          <w:sz w:val="24"/>
          <w:szCs w:val="24"/>
          <w:lang w:eastAsia="en-GB"/>
        </w:rPr>
        <w:t>Conference presentations</w:t>
      </w:r>
      <w:bookmarkEnd w:id="6"/>
      <w:r w:rsidRPr="00CA4ABC">
        <w:rPr>
          <w:rFonts w:asciiTheme="minorHAnsi" w:eastAsia="Times New Roman" w:hAnsiTheme="minorHAnsi" w:cstheme="minorHAnsi"/>
          <w:b/>
          <w:bCs/>
          <w:color w:val="000000" w:themeColor="text1"/>
          <w:sz w:val="24"/>
          <w:szCs w:val="24"/>
          <w:lang w:eastAsia="en-GB"/>
        </w:rPr>
        <w:t xml:space="preserve"> </w:t>
      </w:r>
    </w:p>
    <w:p w14:paraId="58AD55A3" w14:textId="77777777" w:rsidR="00E25E18" w:rsidRPr="00CA4ABC" w:rsidRDefault="00EA5F57" w:rsidP="00447A3A">
      <w:pPr>
        <w:pStyle w:val="Heading3"/>
        <w:rPr>
          <w:rFonts w:asciiTheme="minorHAnsi" w:eastAsia="Times New Roman" w:hAnsiTheme="minorHAnsi" w:cstheme="minorHAnsi"/>
          <w:color w:val="000000" w:themeColor="text1"/>
        </w:rPr>
      </w:pPr>
      <w:bookmarkStart w:id="7" w:name="_Toc135384231"/>
      <w:r w:rsidRPr="00CA4ABC">
        <w:rPr>
          <w:rFonts w:asciiTheme="minorHAnsi" w:eastAsia="Times New Roman" w:hAnsiTheme="minorHAnsi" w:cstheme="minorHAnsi"/>
          <w:color w:val="000000" w:themeColor="text1"/>
        </w:rPr>
        <w:t>Oral presentations</w:t>
      </w:r>
      <w:bookmarkEnd w:id="7"/>
      <w:r w:rsidRPr="00CA4ABC">
        <w:rPr>
          <w:rFonts w:asciiTheme="minorHAnsi" w:eastAsia="Times New Roman" w:hAnsiTheme="minorHAnsi" w:cstheme="minorHAnsi"/>
          <w:color w:val="000000" w:themeColor="text1"/>
        </w:rPr>
        <w:t xml:space="preserve"> </w:t>
      </w:r>
    </w:p>
    <w:p w14:paraId="6C9723A0" w14:textId="3F2A668F" w:rsidR="00C83763" w:rsidRPr="00CA4ABC" w:rsidRDefault="00EA5F57">
      <w:pPr>
        <w:pStyle w:val="ListParagraph"/>
        <w:numPr>
          <w:ilvl w:val="0"/>
          <w:numId w:val="30"/>
        </w:num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CIMA</w:t>
      </w:r>
      <w:r w:rsidR="00733506" w:rsidRPr="00CA4ABC">
        <w:rPr>
          <w:rFonts w:eastAsia="Times New Roman" w:cstheme="minorHAnsi"/>
          <w:color w:val="000000" w:themeColor="text1"/>
          <w:lang w:eastAsia="en-GB"/>
        </w:rPr>
        <w:t xml:space="preserve"> annual conference, 202</w:t>
      </w:r>
      <w:r w:rsidR="00DB0211" w:rsidRPr="00CA4ABC">
        <w:rPr>
          <w:rFonts w:eastAsia="Times New Roman" w:cstheme="minorHAnsi"/>
          <w:color w:val="000000" w:themeColor="text1"/>
          <w:lang w:eastAsia="en-GB"/>
        </w:rPr>
        <w:t>1</w:t>
      </w:r>
      <w:r w:rsidR="00C83763" w:rsidRPr="00CA4ABC">
        <w:rPr>
          <w:rFonts w:eastAsia="Times New Roman" w:cstheme="minorHAnsi"/>
          <w:color w:val="000000" w:themeColor="text1"/>
          <w:lang w:eastAsia="en-GB"/>
        </w:rPr>
        <w:t>.</w:t>
      </w:r>
      <w:r w:rsidR="00DB0211" w:rsidRPr="00CA4ABC">
        <w:rPr>
          <w:rFonts w:eastAsia="Times New Roman" w:cstheme="minorHAnsi"/>
          <w:color w:val="000000" w:themeColor="text1"/>
          <w:lang w:eastAsia="en-GB"/>
        </w:rPr>
        <w:t xml:space="preserve"> Rapid Screening for inadequate dietary protein intakes.</w:t>
      </w:r>
    </w:p>
    <w:p w14:paraId="086C9036" w14:textId="5134CDB2" w:rsidR="00EA5F57" w:rsidRPr="00CA4ABC" w:rsidRDefault="00C83763">
      <w:pPr>
        <w:pStyle w:val="ListParagraph"/>
        <w:numPr>
          <w:ilvl w:val="0"/>
          <w:numId w:val="30"/>
        </w:num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CIMA annual conference, </w:t>
      </w:r>
      <w:r w:rsidR="00733506" w:rsidRPr="00CA4ABC">
        <w:rPr>
          <w:rFonts w:eastAsia="Times New Roman" w:cstheme="minorHAnsi"/>
          <w:color w:val="000000" w:themeColor="text1"/>
          <w:lang w:eastAsia="en-GB"/>
        </w:rPr>
        <w:t>2022</w:t>
      </w:r>
      <w:r w:rsidRPr="00CA4ABC">
        <w:rPr>
          <w:rFonts w:eastAsia="Times New Roman" w:cstheme="minorHAnsi"/>
          <w:color w:val="000000" w:themeColor="text1"/>
          <w:lang w:eastAsia="en-GB"/>
        </w:rPr>
        <w:t>. Remote delivery of a resistance exercise and protein intervention to improvement muscle parameters in 40-65-year-olds: a feasibility study. The REMEND trial.</w:t>
      </w:r>
    </w:p>
    <w:p w14:paraId="4F5C2F6F" w14:textId="0987F981" w:rsidR="00EA5F57" w:rsidRPr="00CA4ABC" w:rsidRDefault="00733506">
      <w:pPr>
        <w:pStyle w:val="ListParagraph"/>
        <w:numPr>
          <w:ilvl w:val="0"/>
          <w:numId w:val="30"/>
        </w:num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University of Sheffield Medical school oral presentation day, 2022.</w:t>
      </w:r>
      <w:r w:rsidR="00C83763" w:rsidRPr="00CA4ABC">
        <w:rPr>
          <w:rFonts w:eastAsia="Times New Roman" w:cstheme="minorHAnsi"/>
          <w:color w:val="000000" w:themeColor="text1"/>
          <w:lang w:eastAsia="en-GB"/>
        </w:rPr>
        <w:t xml:space="preserve"> Remote delivery of a resistance exercise and protein intervention to improvement muscle parameters in 40-65-year-olds: a feasibility study. The REMEND trial.</w:t>
      </w:r>
    </w:p>
    <w:p w14:paraId="407B710D" w14:textId="2E31C94C" w:rsidR="004F7D19" w:rsidRPr="00CA4ABC" w:rsidRDefault="004F7D19" w:rsidP="004F7D19">
      <w:pPr>
        <w:spacing w:before="100" w:beforeAutospacing="1" w:after="100" w:afterAutospacing="1" w:line="360" w:lineRule="auto"/>
        <w:rPr>
          <w:rFonts w:eastAsia="Times New Roman" w:cstheme="minorHAnsi"/>
          <w:color w:val="000000" w:themeColor="text1"/>
          <w:lang w:eastAsia="en-GB"/>
        </w:rPr>
      </w:pPr>
    </w:p>
    <w:p w14:paraId="47043230" w14:textId="07064384" w:rsidR="004F7D19" w:rsidRPr="00CA4ABC" w:rsidRDefault="004F7D19" w:rsidP="004F7D19">
      <w:pPr>
        <w:spacing w:before="100" w:beforeAutospacing="1" w:after="100" w:afterAutospacing="1" w:line="360" w:lineRule="auto"/>
        <w:rPr>
          <w:rFonts w:eastAsia="Times New Roman" w:cstheme="minorHAnsi"/>
          <w:color w:val="000000" w:themeColor="text1"/>
          <w:lang w:eastAsia="en-GB"/>
        </w:rPr>
      </w:pPr>
    </w:p>
    <w:p w14:paraId="1658DDE5" w14:textId="77777777" w:rsidR="004F7D19" w:rsidRPr="00CA4ABC" w:rsidRDefault="004F7D19" w:rsidP="004F7D19">
      <w:pPr>
        <w:spacing w:before="100" w:beforeAutospacing="1" w:after="100" w:afterAutospacing="1" w:line="360" w:lineRule="auto"/>
        <w:rPr>
          <w:rFonts w:eastAsia="Times New Roman" w:cstheme="minorHAnsi"/>
          <w:color w:val="000000" w:themeColor="text1"/>
          <w:lang w:eastAsia="en-GB"/>
        </w:rPr>
      </w:pPr>
    </w:p>
    <w:p w14:paraId="2AD5A89A" w14:textId="5B9E8481" w:rsidR="00EA5F57" w:rsidRPr="00CA4ABC" w:rsidRDefault="00EA5F57" w:rsidP="006A797B">
      <w:pPr>
        <w:pStyle w:val="NormalWeb"/>
        <w:spacing w:line="360" w:lineRule="auto"/>
        <w:outlineLvl w:val="2"/>
        <w:rPr>
          <w:rFonts w:asciiTheme="minorHAnsi" w:hAnsiTheme="minorHAnsi" w:cstheme="minorHAnsi"/>
          <w:color w:val="000000" w:themeColor="text1"/>
        </w:rPr>
      </w:pPr>
      <w:bookmarkStart w:id="8" w:name="_Toc135384232"/>
      <w:r w:rsidRPr="00CA4ABC">
        <w:rPr>
          <w:rFonts w:asciiTheme="minorHAnsi" w:hAnsiTheme="minorHAnsi" w:cstheme="minorHAnsi"/>
          <w:color w:val="000000" w:themeColor="text1"/>
        </w:rPr>
        <w:lastRenderedPageBreak/>
        <w:t>Poster presentations</w:t>
      </w:r>
      <w:bookmarkEnd w:id="8"/>
    </w:p>
    <w:p w14:paraId="11FB1D1D" w14:textId="77777777" w:rsidR="00D97E5D" w:rsidRPr="00CA4ABC" w:rsidRDefault="00D97E5D">
      <w:pPr>
        <w:numPr>
          <w:ilvl w:val="0"/>
          <w:numId w:val="29"/>
        </w:numPr>
        <w:spacing w:before="100" w:beforeAutospacing="1" w:after="100" w:afterAutospacing="1" w:line="360" w:lineRule="auto"/>
        <w:rPr>
          <w:rFonts w:eastAsia="Times New Roman" w:cstheme="minorHAnsi"/>
          <w:color w:val="000000" w:themeColor="text1"/>
          <w:lang w:eastAsia="en-GB"/>
        </w:rPr>
      </w:pPr>
      <w:r w:rsidRPr="00CA4ABC">
        <w:rPr>
          <w:rFonts w:cstheme="minorHAnsi"/>
          <w:color w:val="222222"/>
          <w:shd w:val="clear" w:color="auto" w:fill="FFFFFF"/>
        </w:rPr>
        <w:t>Tuttiett E, Williams E, Corfe B, Stevenson E, Hill T. The effect of protein supplementation and its timing on energy intake and appetite in a middle-older aged adult population. Proceedings of the Nutrition Society. 2020;79(OCE2).</w:t>
      </w:r>
    </w:p>
    <w:p w14:paraId="63F6C4A4" w14:textId="77777777" w:rsidR="004F7D19" w:rsidRPr="00CA4ABC" w:rsidRDefault="00733506">
      <w:pPr>
        <w:numPr>
          <w:ilvl w:val="0"/>
          <w:numId w:val="29"/>
        </w:num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University of Sheffield, Medical School research day,</w:t>
      </w:r>
      <w:r w:rsidR="00EA5F57" w:rsidRPr="00CA4ABC">
        <w:rPr>
          <w:rFonts w:eastAsia="Times New Roman" w:cstheme="minorHAnsi"/>
          <w:color w:val="000000" w:themeColor="text1"/>
          <w:lang w:eastAsia="en-GB"/>
        </w:rPr>
        <w:t xml:space="preserve"> 2021</w:t>
      </w:r>
      <w:r w:rsidRPr="00CA4ABC">
        <w:rPr>
          <w:rFonts w:eastAsia="Times New Roman" w:cstheme="minorHAnsi"/>
          <w:color w:val="000000" w:themeColor="text1"/>
          <w:lang w:eastAsia="en-GB"/>
        </w:rPr>
        <w:t>.</w:t>
      </w:r>
      <w:r w:rsidR="00C83763" w:rsidRPr="00CA4ABC">
        <w:rPr>
          <w:rFonts w:eastAsia="Times New Roman" w:cstheme="minorHAnsi"/>
          <w:color w:val="000000" w:themeColor="text1"/>
          <w:lang w:eastAsia="en-GB"/>
        </w:rPr>
        <w:t xml:space="preserve"> Short-term protein supplementation does not alter energy intake, macronutrient intake or appetite in 50-75 year olds.</w:t>
      </w:r>
    </w:p>
    <w:p w14:paraId="16B06E66" w14:textId="77777777" w:rsidR="004F7D19" w:rsidRPr="00CA4ABC" w:rsidRDefault="00D97E5D">
      <w:pPr>
        <w:numPr>
          <w:ilvl w:val="0"/>
          <w:numId w:val="29"/>
        </w:numPr>
        <w:spacing w:before="100" w:beforeAutospacing="1" w:after="100" w:afterAutospacing="1" w:line="360" w:lineRule="auto"/>
        <w:rPr>
          <w:rFonts w:eastAsia="Times New Roman" w:cstheme="minorHAnsi"/>
          <w:color w:val="000000" w:themeColor="text1"/>
          <w:lang w:eastAsia="en-GB"/>
        </w:rPr>
      </w:pPr>
      <w:r w:rsidRPr="00CA4ABC">
        <w:rPr>
          <w:rFonts w:cstheme="minorHAnsi"/>
          <w:color w:val="000000" w:themeColor="text1"/>
        </w:rPr>
        <w:t>Tuttiett</w:t>
      </w:r>
      <w:r w:rsidR="004F7D19" w:rsidRPr="00CA4ABC">
        <w:rPr>
          <w:rFonts w:cstheme="minorHAnsi"/>
          <w:color w:val="000000" w:themeColor="text1"/>
        </w:rPr>
        <w:t xml:space="preserve"> ER</w:t>
      </w:r>
      <w:r w:rsidRPr="00CA4ABC">
        <w:rPr>
          <w:rFonts w:cstheme="minorHAnsi"/>
          <w:color w:val="000000" w:themeColor="text1"/>
        </w:rPr>
        <w:t>, Bernard M. Corfe</w:t>
      </w:r>
      <w:r w:rsidR="004F7D19" w:rsidRPr="00CA4ABC">
        <w:rPr>
          <w:rFonts w:cstheme="minorHAnsi"/>
          <w:color w:val="000000" w:themeColor="text1"/>
        </w:rPr>
        <w:t xml:space="preserve"> BM</w:t>
      </w:r>
      <w:r w:rsidRPr="00CA4ABC">
        <w:rPr>
          <w:rFonts w:cstheme="minorHAnsi"/>
          <w:color w:val="000000" w:themeColor="text1"/>
        </w:rPr>
        <w:t>, Williams</w:t>
      </w:r>
      <w:r w:rsidR="004F7D19" w:rsidRPr="00CA4ABC">
        <w:rPr>
          <w:rFonts w:cstheme="minorHAnsi"/>
          <w:color w:val="000000" w:themeColor="text1"/>
        </w:rPr>
        <w:t xml:space="preserve"> EA</w:t>
      </w:r>
      <w:r w:rsidRPr="00CA4ABC">
        <w:rPr>
          <w:rFonts w:cstheme="minorHAnsi"/>
          <w:color w:val="000000" w:themeColor="text1"/>
        </w:rPr>
        <w:t>.</w:t>
      </w:r>
      <w:r w:rsidRPr="00CA4ABC">
        <w:rPr>
          <w:rFonts w:cstheme="minorHAnsi"/>
          <w:color w:val="000000" w:themeColor="text1"/>
          <w:vertAlign w:val="superscript"/>
        </w:rPr>
        <w:t xml:space="preserve"> </w:t>
      </w:r>
      <w:r w:rsidRPr="00CA4ABC">
        <w:rPr>
          <w:rFonts w:eastAsia="Times New Roman" w:cstheme="minorHAnsi"/>
          <w:color w:val="000000" w:themeColor="text1"/>
        </w:rPr>
        <w:t>Intake in Adults Aged 50+ Years correlate with protein knowledge</w:t>
      </w:r>
      <w:r w:rsidR="004F7D19" w:rsidRPr="00CA4ABC">
        <w:rPr>
          <w:rFonts w:eastAsia="Times New Roman" w:cstheme="minorHAnsi"/>
          <w:color w:val="000000" w:themeColor="text1"/>
        </w:rPr>
        <w:t xml:space="preserve">.  </w:t>
      </w:r>
      <w:r w:rsidR="004F7D19" w:rsidRPr="00CA4ABC">
        <w:rPr>
          <w:rFonts w:cstheme="minorHAnsi"/>
          <w:color w:val="000000" w:themeColor="text1"/>
        </w:rPr>
        <w:t>12th International Conference on Frailty &amp; Sarcopenia Research (ICFSR) April 20–22, 2022, Boston, USA</w:t>
      </w:r>
      <w:r w:rsidR="00C83763" w:rsidRPr="00CA4ABC">
        <w:rPr>
          <w:rFonts w:eastAsia="Times New Roman" w:cstheme="minorHAnsi"/>
          <w:color w:val="000000" w:themeColor="text1"/>
          <w:lang w:eastAsia="en-GB"/>
        </w:rPr>
        <w:t xml:space="preserve"> </w:t>
      </w:r>
      <w:r w:rsidRPr="00CA4ABC">
        <w:rPr>
          <w:rFonts w:cstheme="minorHAnsi"/>
          <w:color w:val="000000" w:themeColor="text1"/>
        </w:rPr>
        <w:t>The Journal of Frailty &amp; Aging. 2022; 11(1</w:t>
      </w:r>
      <w:r w:rsidR="004F7D19" w:rsidRPr="00CA4ABC">
        <w:rPr>
          <w:rFonts w:cstheme="minorHAnsi"/>
          <w:color w:val="000000" w:themeColor="text1"/>
        </w:rPr>
        <w:t>): 46-82.</w:t>
      </w:r>
    </w:p>
    <w:p w14:paraId="2D0DEB01" w14:textId="64B1DE77" w:rsidR="00D97E5D" w:rsidRPr="00CA4ABC" w:rsidRDefault="00D97E5D">
      <w:pPr>
        <w:numPr>
          <w:ilvl w:val="0"/>
          <w:numId w:val="29"/>
        </w:numPr>
        <w:spacing w:before="100" w:beforeAutospacing="1" w:after="100" w:afterAutospacing="1" w:line="360" w:lineRule="auto"/>
        <w:rPr>
          <w:rFonts w:eastAsia="Times New Roman" w:cstheme="minorHAnsi"/>
          <w:color w:val="000000" w:themeColor="text1"/>
          <w:lang w:eastAsia="en-GB"/>
        </w:rPr>
      </w:pPr>
      <w:r w:rsidRPr="00CA4ABC">
        <w:rPr>
          <w:rFonts w:cstheme="minorHAnsi"/>
          <w:color w:val="222222"/>
          <w:shd w:val="clear" w:color="auto" w:fill="FFFFFF"/>
        </w:rPr>
        <w:t>Tuttiett ER, Corfe BM, Williams EA. Remote delivery of a resistance exercise and protein intervention to improve muscle parameters in 40–65-year-olds: a feasibility study. The REMEND trial. Proceedings of the Nutrition Society. 2022;81(OCE5):E188.</w:t>
      </w:r>
    </w:p>
    <w:p w14:paraId="4907F2DD" w14:textId="77777777" w:rsidR="00D97E5D" w:rsidRPr="00CA4ABC" w:rsidRDefault="00D97E5D" w:rsidP="004053D7">
      <w:pPr>
        <w:pStyle w:val="Heading2"/>
        <w:spacing w:line="360" w:lineRule="auto"/>
        <w:rPr>
          <w:rFonts w:asciiTheme="minorHAnsi" w:hAnsiTheme="minorHAnsi" w:cstheme="minorHAnsi"/>
          <w:b/>
          <w:bCs/>
          <w:color w:val="000000" w:themeColor="text1"/>
          <w:sz w:val="24"/>
          <w:szCs w:val="24"/>
        </w:rPr>
        <w:sectPr w:rsidR="00D97E5D" w:rsidRPr="00CA4ABC" w:rsidSect="00EF1855">
          <w:pgSz w:w="11900" w:h="16840"/>
          <w:pgMar w:top="1440" w:right="1440" w:bottom="1440" w:left="1440" w:header="708" w:footer="708" w:gutter="0"/>
          <w:cols w:space="708"/>
          <w:docGrid w:linePitch="360"/>
        </w:sectPr>
      </w:pPr>
    </w:p>
    <w:p w14:paraId="323346F2" w14:textId="62F39861" w:rsidR="00DD3D70" w:rsidRPr="00CA4ABC" w:rsidRDefault="00DD3D70" w:rsidP="004053D7">
      <w:pPr>
        <w:pStyle w:val="Heading2"/>
        <w:spacing w:line="360" w:lineRule="auto"/>
        <w:rPr>
          <w:rFonts w:asciiTheme="minorHAnsi" w:hAnsiTheme="minorHAnsi" w:cstheme="minorHAnsi"/>
          <w:b/>
          <w:bCs/>
          <w:color w:val="000000" w:themeColor="text1"/>
          <w:sz w:val="24"/>
          <w:szCs w:val="24"/>
        </w:rPr>
      </w:pPr>
      <w:bookmarkStart w:id="9" w:name="_Toc135384233"/>
      <w:r w:rsidRPr="00CA4ABC">
        <w:rPr>
          <w:rFonts w:asciiTheme="minorHAnsi" w:hAnsiTheme="minorHAnsi" w:cstheme="minorHAnsi"/>
          <w:b/>
          <w:bCs/>
          <w:color w:val="000000" w:themeColor="text1"/>
          <w:sz w:val="24"/>
          <w:szCs w:val="24"/>
        </w:rPr>
        <w:lastRenderedPageBreak/>
        <w:t>List of Abbreviations</w:t>
      </w:r>
      <w:bookmarkEnd w:id="9"/>
    </w:p>
    <w:p w14:paraId="74356D08" w14:textId="3E58BE73" w:rsidR="00DD3D70" w:rsidRPr="00CA4ABC" w:rsidRDefault="00DD3D70" w:rsidP="004053D7">
      <w:pPr>
        <w:rPr>
          <w:rFonts w:cstheme="minorHAnsi"/>
          <w:color w:val="000000" w:themeColor="text1"/>
        </w:rPr>
      </w:pPr>
      <w:r w:rsidRPr="00CA4ABC">
        <w:rPr>
          <w:rFonts w:cstheme="minorHAnsi"/>
          <w:color w:val="000000" w:themeColor="text1"/>
        </w:rPr>
        <w:t>1-RM:</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1-repetition maximum force</w:t>
      </w:r>
    </w:p>
    <w:p w14:paraId="40A4B1CF" w14:textId="5140CF2C" w:rsidR="00DD3D70" w:rsidRPr="00CA4ABC" w:rsidRDefault="00DD3D70" w:rsidP="004053D7">
      <w:pPr>
        <w:rPr>
          <w:rFonts w:cstheme="minorHAnsi"/>
          <w:color w:val="000000" w:themeColor="text1"/>
        </w:rPr>
      </w:pPr>
      <w:r w:rsidRPr="00CA4ABC">
        <w:rPr>
          <w:rFonts w:cstheme="minorHAnsi"/>
          <w:color w:val="000000" w:themeColor="text1"/>
        </w:rPr>
        <w:t xml:space="preserve">4E-BP1: </w:t>
      </w:r>
      <w:r w:rsidR="00E82E94" w:rsidRPr="00CA4ABC">
        <w:rPr>
          <w:rFonts w:cstheme="minorHAnsi"/>
          <w:color w:val="000000" w:themeColor="text1"/>
        </w:rPr>
        <w:tab/>
      </w:r>
      <w:r w:rsidR="001809E2" w:rsidRPr="00CA4ABC">
        <w:rPr>
          <w:rFonts w:cstheme="minorHAnsi"/>
          <w:color w:val="000000" w:themeColor="text1"/>
        </w:rPr>
        <w:t>E</w:t>
      </w:r>
      <w:r w:rsidRPr="00CA4ABC">
        <w:rPr>
          <w:rFonts w:cstheme="minorHAnsi"/>
          <w:color w:val="000000" w:themeColor="text1"/>
        </w:rPr>
        <w:t>ukaryotic initiation factor 4E binding protein</w:t>
      </w:r>
    </w:p>
    <w:p w14:paraId="09462D3E" w14:textId="259C3427"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μg: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001809E2" w:rsidRPr="00CA4ABC">
        <w:rPr>
          <w:rFonts w:asciiTheme="minorHAnsi" w:hAnsiTheme="minorHAnsi" w:cstheme="minorHAnsi"/>
          <w:color w:val="000000" w:themeColor="text1"/>
        </w:rPr>
        <w:t>M</w:t>
      </w:r>
      <w:r w:rsidRPr="00CA4ABC">
        <w:rPr>
          <w:rFonts w:asciiTheme="minorHAnsi" w:hAnsiTheme="minorHAnsi" w:cstheme="minorHAnsi"/>
          <w:color w:val="000000" w:themeColor="text1"/>
        </w:rPr>
        <w:t>icrogram</w:t>
      </w:r>
    </w:p>
    <w:p w14:paraId="64424B3C" w14:textId="57C65C07"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AA: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001809E2" w:rsidRPr="00CA4ABC">
        <w:rPr>
          <w:rFonts w:asciiTheme="minorHAnsi" w:hAnsiTheme="minorHAnsi" w:cstheme="minorHAnsi"/>
          <w:color w:val="000000" w:themeColor="text1"/>
        </w:rPr>
        <w:t>A</w:t>
      </w:r>
      <w:r w:rsidRPr="00CA4ABC">
        <w:rPr>
          <w:rFonts w:asciiTheme="minorHAnsi" w:hAnsiTheme="minorHAnsi" w:cstheme="minorHAnsi"/>
          <w:color w:val="000000" w:themeColor="text1"/>
        </w:rPr>
        <w:t>mino acid</w:t>
      </w:r>
    </w:p>
    <w:p w14:paraId="5E4D20F9" w14:textId="7F10559E"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ACSM: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Pr="00CA4ABC">
        <w:rPr>
          <w:rFonts w:asciiTheme="minorHAnsi" w:hAnsiTheme="minorHAnsi" w:cstheme="minorHAnsi"/>
          <w:color w:val="000000" w:themeColor="text1"/>
        </w:rPr>
        <w:t>American College of Sports Medicine</w:t>
      </w:r>
    </w:p>
    <w:p w14:paraId="4FF6EB0A" w14:textId="3C1E64D7"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ACBS:</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Pr="00CA4ABC">
        <w:rPr>
          <w:rFonts w:asciiTheme="minorHAnsi" w:hAnsiTheme="minorHAnsi" w:cstheme="minorHAnsi"/>
          <w:color w:val="000000" w:themeColor="text1"/>
        </w:rPr>
        <w:t>Advisory Committee on Borderline Substances</w:t>
      </w:r>
    </w:p>
    <w:p w14:paraId="4EA3BEC4" w14:textId="6803A666"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ALM: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Pr="00CA4ABC">
        <w:rPr>
          <w:rFonts w:asciiTheme="minorHAnsi" w:hAnsiTheme="minorHAnsi" w:cstheme="minorHAnsi"/>
          <w:color w:val="000000" w:themeColor="text1"/>
        </w:rPr>
        <w:t>Appendicular lean mass</w:t>
      </w:r>
    </w:p>
    <w:p w14:paraId="7ADA40C3" w14:textId="6F1380C7"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ASMM: </w:t>
      </w:r>
      <w:r w:rsidR="00E82E94" w:rsidRPr="00CA4ABC">
        <w:rPr>
          <w:rFonts w:asciiTheme="minorHAnsi" w:hAnsiTheme="minorHAnsi" w:cstheme="minorHAnsi"/>
          <w:color w:val="000000" w:themeColor="text1"/>
        </w:rPr>
        <w:tab/>
      </w:r>
      <w:r w:rsidRPr="00CA4ABC">
        <w:rPr>
          <w:rFonts w:asciiTheme="minorHAnsi" w:hAnsiTheme="minorHAnsi" w:cstheme="minorHAnsi"/>
          <w:color w:val="000000" w:themeColor="text1"/>
        </w:rPr>
        <w:t xml:space="preserve">Appendicular skeletal muscle mass </w:t>
      </w:r>
    </w:p>
    <w:p w14:paraId="21F377B2" w14:textId="6C9BF2A5"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ATP: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001809E2" w:rsidRPr="00CA4ABC">
        <w:rPr>
          <w:rFonts w:asciiTheme="minorHAnsi" w:hAnsiTheme="minorHAnsi" w:cstheme="minorHAnsi"/>
          <w:color w:val="000000" w:themeColor="text1"/>
        </w:rPr>
        <w:t>A</w:t>
      </w:r>
      <w:r w:rsidRPr="00CA4ABC">
        <w:rPr>
          <w:rFonts w:asciiTheme="minorHAnsi" w:hAnsiTheme="minorHAnsi" w:cstheme="minorHAnsi"/>
          <w:color w:val="000000" w:themeColor="text1"/>
        </w:rPr>
        <w:t xml:space="preserve">denosine triphosphate </w:t>
      </w:r>
    </w:p>
    <w:p w14:paraId="1443AF13" w14:textId="1EF2AB1F"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AUC: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001809E2" w:rsidRPr="00CA4ABC">
        <w:rPr>
          <w:rFonts w:asciiTheme="minorHAnsi" w:hAnsiTheme="minorHAnsi" w:cstheme="minorHAnsi"/>
          <w:color w:val="000000" w:themeColor="text1"/>
        </w:rPr>
        <w:t>A</w:t>
      </w:r>
      <w:r w:rsidRPr="00CA4ABC">
        <w:rPr>
          <w:rFonts w:asciiTheme="minorHAnsi" w:hAnsiTheme="minorHAnsi" w:cstheme="minorHAnsi"/>
          <w:color w:val="000000" w:themeColor="text1"/>
        </w:rPr>
        <w:t xml:space="preserve">rea under </w:t>
      </w:r>
      <w:r w:rsidR="00D3021C" w:rsidRPr="00CA4ABC">
        <w:rPr>
          <w:rFonts w:asciiTheme="minorHAnsi" w:hAnsiTheme="minorHAnsi" w:cstheme="minorHAnsi"/>
          <w:color w:val="000000" w:themeColor="text1"/>
        </w:rPr>
        <w:t xml:space="preserve">the </w:t>
      </w:r>
      <w:r w:rsidRPr="00CA4ABC">
        <w:rPr>
          <w:rFonts w:asciiTheme="minorHAnsi" w:hAnsiTheme="minorHAnsi" w:cstheme="minorHAnsi"/>
          <w:color w:val="000000" w:themeColor="text1"/>
        </w:rPr>
        <w:t>curve</w:t>
      </w:r>
    </w:p>
    <w:p w14:paraId="03A0235A" w14:textId="4A69C1E0"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BIA: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Pr="00CA4ABC">
        <w:rPr>
          <w:rFonts w:asciiTheme="minorHAnsi" w:hAnsiTheme="minorHAnsi" w:cstheme="minorHAnsi"/>
          <w:color w:val="000000" w:themeColor="text1"/>
        </w:rPr>
        <w:t>Bioelectrical Impedance analysis</w:t>
      </w:r>
    </w:p>
    <w:p w14:paraId="3178F70F" w14:textId="5EEEF0ED" w:rsidR="00DD3D70" w:rsidRPr="00CA4ABC" w:rsidRDefault="00DD3D70" w:rsidP="004053D7">
      <w:pPr>
        <w:pStyle w:val="NormalWeb"/>
        <w:spacing w:before="0" w:beforeAutospacing="0" w:after="0" w:afterAutospacing="0"/>
        <w:rPr>
          <w:rFonts w:asciiTheme="minorHAnsi" w:hAnsiTheme="minorHAnsi" w:cstheme="minorHAnsi"/>
          <w:color w:val="000000" w:themeColor="text1"/>
        </w:rPr>
      </w:pPr>
      <w:r w:rsidRPr="00CA4ABC">
        <w:rPr>
          <w:rFonts w:asciiTheme="minorHAnsi" w:hAnsiTheme="minorHAnsi" w:cstheme="minorHAnsi"/>
          <w:color w:val="000000" w:themeColor="text1"/>
        </w:rPr>
        <w:t xml:space="preserve">BM: </w:t>
      </w:r>
      <w:r w:rsidR="00E82E94" w:rsidRPr="00CA4ABC">
        <w:rPr>
          <w:rFonts w:asciiTheme="minorHAnsi" w:hAnsiTheme="minorHAnsi" w:cstheme="minorHAnsi"/>
          <w:color w:val="000000" w:themeColor="text1"/>
        </w:rPr>
        <w:tab/>
      </w:r>
      <w:r w:rsidR="00E82E94" w:rsidRPr="00CA4ABC">
        <w:rPr>
          <w:rFonts w:asciiTheme="minorHAnsi" w:hAnsiTheme="minorHAnsi" w:cstheme="minorHAnsi"/>
          <w:color w:val="000000" w:themeColor="text1"/>
        </w:rPr>
        <w:tab/>
      </w:r>
      <w:r w:rsidRPr="00CA4ABC">
        <w:rPr>
          <w:rFonts w:asciiTheme="minorHAnsi" w:hAnsiTheme="minorHAnsi" w:cstheme="minorHAnsi"/>
          <w:color w:val="000000" w:themeColor="text1"/>
        </w:rPr>
        <w:t>Body Mass</w:t>
      </w:r>
    </w:p>
    <w:p w14:paraId="08AAB93E" w14:textId="2CAB2738" w:rsidR="00DD3D70" w:rsidRPr="00CA4ABC" w:rsidRDefault="00DD3D70" w:rsidP="004053D7">
      <w:pPr>
        <w:rPr>
          <w:rFonts w:cstheme="minorHAnsi"/>
          <w:color w:val="000000" w:themeColor="text1"/>
        </w:rPr>
      </w:pPr>
      <w:r w:rsidRPr="00CA4ABC">
        <w:rPr>
          <w:rFonts w:cstheme="minorHAnsi"/>
          <w:color w:val="000000" w:themeColor="text1"/>
        </w:rPr>
        <w:t xml:space="preserve">BMI: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Body Mass Index</w:t>
      </w:r>
    </w:p>
    <w:p w14:paraId="18913B3E" w14:textId="1F5D0B0F" w:rsidR="00DD3D70" w:rsidRPr="00CA4ABC" w:rsidRDefault="00DD3D70" w:rsidP="004053D7">
      <w:pPr>
        <w:rPr>
          <w:rFonts w:cstheme="minorHAnsi"/>
          <w:color w:val="000000" w:themeColor="text1"/>
        </w:rPr>
      </w:pPr>
      <w:r w:rsidRPr="00CA4ABC">
        <w:rPr>
          <w:rFonts w:cstheme="minorHAnsi"/>
          <w:color w:val="000000" w:themeColor="text1"/>
        </w:rPr>
        <w:t xml:space="preserve">BMR: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Basal Metabolic Rates</w:t>
      </w:r>
    </w:p>
    <w:p w14:paraId="169A8A73" w14:textId="3DEB8480" w:rsidR="00DD3D70" w:rsidRPr="00CA4ABC" w:rsidRDefault="00DD3D70" w:rsidP="004053D7">
      <w:pPr>
        <w:rPr>
          <w:rFonts w:cstheme="minorHAnsi"/>
          <w:color w:val="000000" w:themeColor="text1"/>
        </w:rPr>
      </w:pPr>
      <w:r w:rsidRPr="00CA4ABC">
        <w:rPr>
          <w:rFonts w:cstheme="minorHAnsi"/>
          <w:color w:val="000000" w:themeColor="text1"/>
        </w:rPr>
        <w:t>CERT:</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Consensus on Exercise Reporting Template</w:t>
      </w:r>
    </w:p>
    <w:p w14:paraId="41BE17D9" w14:textId="3281ACCD" w:rsidR="00DD3D70" w:rsidRPr="00CA4ABC" w:rsidRDefault="00DD3D70" w:rsidP="00E82E94">
      <w:pPr>
        <w:ind w:left="1440" w:hanging="1440"/>
        <w:rPr>
          <w:rFonts w:cstheme="minorHAnsi"/>
          <w:color w:val="000000" w:themeColor="text1"/>
        </w:rPr>
      </w:pPr>
      <w:r w:rsidRPr="00CA4ABC">
        <w:rPr>
          <w:rFonts w:cstheme="minorHAnsi"/>
          <w:color w:val="000000" w:themeColor="text1"/>
        </w:rPr>
        <w:t>CIMA:</w:t>
      </w:r>
      <w:r w:rsidR="00A81345" w:rsidRPr="00CA4ABC">
        <w:rPr>
          <w:rFonts w:cstheme="minorHAnsi"/>
          <w:color w:val="000000" w:themeColor="text1"/>
        </w:rPr>
        <w:t xml:space="preserve"> </w:t>
      </w:r>
      <w:r w:rsidR="00E82E94" w:rsidRPr="00CA4ABC">
        <w:rPr>
          <w:rFonts w:cstheme="minorHAnsi"/>
          <w:color w:val="000000" w:themeColor="text1"/>
        </w:rPr>
        <w:tab/>
      </w:r>
      <w:r w:rsidR="00A81345" w:rsidRPr="00CA4ABC">
        <w:rPr>
          <w:rFonts w:cstheme="minorHAnsi"/>
          <w:color w:val="000000" w:themeColor="text1"/>
        </w:rPr>
        <w:t xml:space="preserve">The Medical Research Council Versus Arthritis Centre for Integrated Research into Musculoskeletal Ageing. </w:t>
      </w:r>
    </w:p>
    <w:p w14:paraId="34A5B0E8" w14:textId="33CEF18A" w:rsidR="00DD3D70" w:rsidRPr="00CA4ABC" w:rsidRDefault="00DD3D70" w:rsidP="004053D7">
      <w:pPr>
        <w:rPr>
          <w:rFonts w:cstheme="minorHAnsi"/>
          <w:color w:val="000000" w:themeColor="text1"/>
        </w:rPr>
      </w:pPr>
      <w:r w:rsidRPr="00CA4ABC">
        <w:rPr>
          <w:rFonts w:cstheme="minorHAnsi"/>
          <w:color w:val="000000" w:themeColor="text1"/>
        </w:rPr>
        <w:t xml:space="preserve">CONSORT: </w:t>
      </w:r>
      <w:r w:rsidR="00E82E94" w:rsidRPr="00CA4ABC">
        <w:rPr>
          <w:rFonts w:cstheme="minorHAnsi"/>
          <w:color w:val="000000" w:themeColor="text1"/>
        </w:rPr>
        <w:tab/>
      </w:r>
      <w:r w:rsidRPr="00CA4ABC">
        <w:rPr>
          <w:rFonts w:cstheme="minorHAnsi"/>
          <w:color w:val="000000" w:themeColor="text1"/>
        </w:rPr>
        <w:t>Consolidated Standards of Reporting Trials</w:t>
      </w:r>
    </w:p>
    <w:p w14:paraId="53807C49" w14:textId="350903AC" w:rsidR="00DD3D70" w:rsidRPr="00CA4ABC" w:rsidRDefault="00DD3D70" w:rsidP="004053D7">
      <w:pPr>
        <w:rPr>
          <w:rFonts w:cstheme="minorHAnsi"/>
          <w:color w:val="000000" w:themeColor="text1"/>
        </w:rPr>
      </w:pPr>
      <w:r w:rsidRPr="00CA4ABC">
        <w:rPr>
          <w:rFonts w:cstheme="minorHAnsi"/>
          <w:color w:val="000000" w:themeColor="text1"/>
        </w:rPr>
        <w:t xml:space="preserve">CT: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 xml:space="preserve">Computed Tomography </w:t>
      </w:r>
    </w:p>
    <w:p w14:paraId="032CEBB8" w14:textId="3BDE2051" w:rsidR="00DD3D70" w:rsidRPr="00CA4ABC" w:rsidRDefault="00DD3D70" w:rsidP="004053D7">
      <w:pPr>
        <w:rPr>
          <w:rFonts w:cstheme="minorHAnsi"/>
          <w:color w:val="000000" w:themeColor="text1"/>
        </w:rPr>
      </w:pPr>
      <w:r w:rsidRPr="00CA4ABC">
        <w:rPr>
          <w:rFonts w:cstheme="minorHAnsi"/>
          <w:color w:val="000000" w:themeColor="text1"/>
        </w:rPr>
        <w:t>D</w:t>
      </w:r>
      <w:r w:rsidRPr="00CA4ABC">
        <w:rPr>
          <w:rFonts w:cstheme="minorHAnsi"/>
          <w:color w:val="000000" w:themeColor="text1"/>
          <w:vertAlign w:val="subscript"/>
        </w:rPr>
        <w:t>2</w:t>
      </w:r>
      <w:r w:rsidRPr="00CA4ABC">
        <w:rPr>
          <w:rFonts w:cstheme="minorHAnsi"/>
          <w:color w:val="000000" w:themeColor="text1"/>
        </w:rPr>
        <w:t xml:space="preserve">O: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Deuterated water</w:t>
      </w:r>
    </w:p>
    <w:p w14:paraId="6D5B943C" w14:textId="071C32C0" w:rsidR="00DD3D70" w:rsidRPr="00CA4ABC" w:rsidRDefault="00DD3D70" w:rsidP="004053D7">
      <w:pPr>
        <w:rPr>
          <w:rFonts w:cstheme="minorHAnsi"/>
          <w:color w:val="000000" w:themeColor="text1"/>
        </w:rPr>
      </w:pPr>
      <w:r w:rsidRPr="00CA4ABC">
        <w:rPr>
          <w:rFonts w:cstheme="minorHAnsi"/>
          <w:color w:val="000000" w:themeColor="text1"/>
        </w:rPr>
        <w:t xml:space="preserve">DHP: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Digital Health Products</w:t>
      </w:r>
    </w:p>
    <w:p w14:paraId="6D52A9F2" w14:textId="55CD925F" w:rsidR="00DD3D70" w:rsidRPr="00CA4ABC" w:rsidRDefault="00DD3D70" w:rsidP="004053D7">
      <w:pPr>
        <w:rPr>
          <w:rFonts w:cstheme="minorHAnsi"/>
          <w:color w:val="000000" w:themeColor="text1"/>
        </w:rPr>
      </w:pPr>
      <w:r w:rsidRPr="00CA4ABC">
        <w:rPr>
          <w:rFonts w:cstheme="minorHAnsi"/>
          <w:color w:val="000000" w:themeColor="text1"/>
        </w:rPr>
        <w:t xml:space="preserve">DIAAS: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 xml:space="preserve">Digestible Indispensable Amino Acid Score </w:t>
      </w:r>
    </w:p>
    <w:p w14:paraId="174EAC44" w14:textId="70D8DB14" w:rsidR="00DD3D70" w:rsidRPr="00CA4ABC" w:rsidRDefault="00DD3D70" w:rsidP="004053D7">
      <w:pPr>
        <w:rPr>
          <w:rFonts w:cstheme="minorHAnsi"/>
          <w:color w:val="000000" w:themeColor="text1"/>
        </w:rPr>
      </w:pPr>
      <w:r w:rsidRPr="00CA4ABC">
        <w:rPr>
          <w:rFonts w:cstheme="minorHAnsi"/>
          <w:color w:val="000000" w:themeColor="text1"/>
        </w:rPr>
        <w:t xml:space="preserve">DOMS: </w:t>
      </w:r>
      <w:r w:rsidR="00E82E94" w:rsidRPr="00CA4ABC">
        <w:rPr>
          <w:rFonts w:cstheme="minorHAnsi"/>
          <w:color w:val="000000" w:themeColor="text1"/>
        </w:rPr>
        <w:tab/>
      </w:r>
      <w:r w:rsidR="001809E2" w:rsidRPr="00CA4ABC">
        <w:rPr>
          <w:rFonts w:cstheme="minorHAnsi"/>
          <w:color w:val="000000" w:themeColor="text1"/>
        </w:rPr>
        <w:t>D</w:t>
      </w:r>
      <w:r w:rsidRPr="00CA4ABC">
        <w:rPr>
          <w:rFonts w:cstheme="minorHAnsi"/>
          <w:color w:val="000000" w:themeColor="text1"/>
        </w:rPr>
        <w:t xml:space="preserve">elayed onset muscle soreness.  </w:t>
      </w:r>
    </w:p>
    <w:p w14:paraId="40337037" w14:textId="68DDE1C9" w:rsidR="00DD3D70" w:rsidRPr="00CA4ABC" w:rsidRDefault="00DD3D70" w:rsidP="004053D7">
      <w:pPr>
        <w:rPr>
          <w:rFonts w:cstheme="minorHAnsi"/>
          <w:color w:val="000000" w:themeColor="text1"/>
        </w:rPr>
      </w:pPr>
      <w:r w:rsidRPr="00CA4ABC">
        <w:rPr>
          <w:rFonts w:cstheme="minorHAnsi"/>
          <w:color w:val="000000" w:themeColor="text1"/>
        </w:rPr>
        <w:t xml:space="preserve">DXA: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D</w:t>
      </w:r>
      <w:r w:rsidRPr="00CA4ABC">
        <w:rPr>
          <w:rFonts w:cstheme="minorHAnsi"/>
          <w:color w:val="000000" w:themeColor="text1"/>
        </w:rPr>
        <w:t>ual energy X-ray absorptiometry</w:t>
      </w:r>
    </w:p>
    <w:p w14:paraId="1064BAB6" w14:textId="63FCF044" w:rsidR="00DD3D70" w:rsidRPr="00CA4ABC" w:rsidRDefault="00DD3D70" w:rsidP="004053D7">
      <w:pPr>
        <w:rPr>
          <w:rFonts w:cstheme="minorHAnsi"/>
          <w:color w:val="000000" w:themeColor="text1"/>
        </w:rPr>
      </w:pPr>
      <w:r w:rsidRPr="00CA4ABC">
        <w:rPr>
          <w:rFonts w:cstheme="minorHAnsi"/>
          <w:color w:val="000000" w:themeColor="text1"/>
        </w:rPr>
        <w:t xml:space="preserve">EAA: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E</w:t>
      </w:r>
      <w:r w:rsidRPr="00CA4ABC">
        <w:rPr>
          <w:rFonts w:cstheme="minorHAnsi"/>
          <w:color w:val="000000" w:themeColor="text1"/>
        </w:rPr>
        <w:t>ssential amino acids</w:t>
      </w:r>
    </w:p>
    <w:p w14:paraId="035B8B99" w14:textId="2FE0F459" w:rsidR="00DD3D70" w:rsidRPr="00CA4ABC" w:rsidRDefault="00DD3D70" w:rsidP="004053D7">
      <w:pPr>
        <w:rPr>
          <w:rFonts w:cstheme="minorHAnsi"/>
          <w:color w:val="000000" w:themeColor="text1"/>
        </w:rPr>
      </w:pPr>
      <w:r w:rsidRPr="00CA4ABC">
        <w:rPr>
          <w:rFonts w:cstheme="minorHAnsi"/>
          <w:color w:val="000000" w:themeColor="text1"/>
        </w:rPr>
        <w:t xml:space="preserve">EAR: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E</w:t>
      </w:r>
      <w:r w:rsidRPr="00CA4ABC">
        <w:rPr>
          <w:rFonts w:cstheme="minorHAnsi"/>
          <w:color w:val="000000" w:themeColor="text1"/>
        </w:rPr>
        <w:t>stimated average requirement.</w:t>
      </w:r>
    </w:p>
    <w:p w14:paraId="6A0717E3" w14:textId="0A13A05B" w:rsidR="00DD3D70" w:rsidRPr="00CA4ABC" w:rsidRDefault="00DD3D70" w:rsidP="004053D7">
      <w:pPr>
        <w:rPr>
          <w:rFonts w:cstheme="minorHAnsi"/>
          <w:color w:val="000000" w:themeColor="text1"/>
        </w:rPr>
      </w:pPr>
      <w:r w:rsidRPr="00CA4ABC">
        <w:rPr>
          <w:rFonts w:cstheme="minorHAnsi"/>
          <w:color w:val="000000" w:themeColor="text1"/>
        </w:rPr>
        <w:t xml:space="preserve">ECM: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E</w:t>
      </w:r>
      <w:r w:rsidRPr="00CA4ABC">
        <w:rPr>
          <w:rFonts w:cstheme="minorHAnsi"/>
          <w:color w:val="000000" w:themeColor="text1"/>
        </w:rPr>
        <w:t>xtracellular matrix</w:t>
      </w:r>
    </w:p>
    <w:p w14:paraId="2D2C5F38" w14:textId="2DFB7A48" w:rsidR="00DD3D70" w:rsidRPr="00CA4ABC" w:rsidRDefault="00DD3D70" w:rsidP="004053D7">
      <w:pPr>
        <w:rPr>
          <w:rFonts w:cstheme="minorHAnsi"/>
          <w:color w:val="000000" w:themeColor="text1"/>
        </w:rPr>
      </w:pPr>
      <w:r w:rsidRPr="00CA4ABC">
        <w:rPr>
          <w:rFonts w:cstheme="minorHAnsi"/>
          <w:color w:val="000000" w:themeColor="text1"/>
        </w:rPr>
        <w:t>ESPEN</w:t>
      </w:r>
      <w:r w:rsidR="001809E2" w:rsidRPr="00CA4ABC">
        <w:rPr>
          <w:rFonts w:cstheme="minorHAnsi"/>
          <w:color w:val="000000" w:themeColor="text1"/>
        </w:rPr>
        <w:t xml:space="preserve">: </w:t>
      </w:r>
      <w:r w:rsidR="00E82E94" w:rsidRPr="00CA4ABC">
        <w:rPr>
          <w:rFonts w:cstheme="minorHAnsi"/>
          <w:color w:val="000000" w:themeColor="text1"/>
        </w:rPr>
        <w:tab/>
      </w:r>
      <w:r w:rsidR="001809E2" w:rsidRPr="00CA4ABC">
        <w:rPr>
          <w:rFonts w:cstheme="minorHAnsi"/>
          <w:color w:val="000000" w:themeColor="text1"/>
        </w:rPr>
        <w:t>The European Society for Clinical Nutrition and Metabolism.</w:t>
      </w:r>
    </w:p>
    <w:p w14:paraId="1A4DB592" w14:textId="3DBF71F9" w:rsidR="00DD3D70" w:rsidRPr="00CA4ABC" w:rsidRDefault="00DD3D70" w:rsidP="004053D7">
      <w:pPr>
        <w:rPr>
          <w:rFonts w:cstheme="minorHAnsi"/>
          <w:color w:val="000000" w:themeColor="text1"/>
        </w:rPr>
      </w:pPr>
      <w:r w:rsidRPr="00CA4ABC">
        <w:rPr>
          <w:rFonts w:cstheme="minorHAnsi"/>
          <w:color w:val="000000" w:themeColor="text1"/>
        </w:rPr>
        <w:t xml:space="preserve">FFQ: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F</w:t>
      </w:r>
      <w:r w:rsidRPr="00CA4ABC">
        <w:rPr>
          <w:rFonts w:cstheme="minorHAnsi"/>
          <w:color w:val="000000" w:themeColor="text1"/>
        </w:rPr>
        <w:t>ood frequency questionnaire</w:t>
      </w:r>
    </w:p>
    <w:p w14:paraId="323B6DCB" w14:textId="105B4400" w:rsidR="00DD3D70" w:rsidRPr="00CA4ABC" w:rsidRDefault="00DD3D70" w:rsidP="004053D7">
      <w:pPr>
        <w:rPr>
          <w:rFonts w:cstheme="minorHAnsi"/>
          <w:color w:val="000000" w:themeColor="text1"/>
        </w:rPr>
      </w:pPr>
      <w:r w:rsidRPr="00CA4ABC">
        <w:rPr>
          <w:rFonts w:cstheme="minorHAnsi"/>
          <w:color w:val="000000" w:themeColor="text1"/>
        </w:rPr>
        <w:t xml:space="preserve">FSR: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Fractional synthesis rates</w:t>
      </w:r>
    </w:p>
    <w:p w14:paraId="2CEFD0BA" w14:textId="17461AAE" w:rsidR="00DD3D70" w:rsidRPr="00CA4ABC" w:rsidRDefault="00DD3D70" w:rsidP="004053D7">
      <w:pPr>
        <w:rPr>
          <w:rFonts w:cstheme="minorHAnsi"/>
          <w:color w:val="000000" w:themeColor="text1"/>
        </w:rPr>
      </w:pPr>
      <w:r w:rsidRPr="00CA4ABC">
        <w:rPr>
          <w:rFonts w:cstheme="minorHAnsi"/>
          <w:color w:val="000000" w:themeColor="text1"/>
        </w:rPr>
        <w:t>GNKQ</w:t>
      </w:r>
      <w:r w:rsidR="001809E2" w:rsidRPr="00CA4ABC">
        <w:rPr>
          <w:rFonts w:cstheme="minorHAnsi"/>
          <w:color w:val="000000" w:themeColor="text1"/>
        </w:rPr>
        <w:t>:</w:t>
      </w:r>
      <w:r w:rsidRPr="00CA4ABC">
        <w:rPr>
          <w:rFonts w:cstheme="minorHAnsi"/>
          <w:color w:val="000000" w:themeColor="text1"/>
        </w:rPr>
        <w:t xml:space="preserve">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General Nutrition Knowledge Questionnaire</w:t>
      </w:r>
    </w:p>
    <w:p w14:paraId="07272A18" w14:textId="777A54B5" w:rsidR="00DD3D70" w:rsidRPr="00CA4ABC" w:rsidRDefault="00DD3D70" w:rsidP="004053D7">
      <w:pPr>
        <w:rPr>
          <w:rFonts w:cstheme="minorHAnsi"/>
          <w:color w:val="000000" w:themeColor="text1"/>
        </w:rPr>
      </w:pPr>
      <w:r w:rsidRPr="00CA4ABC">
        <w:rPr>
          <w:rFonts w:cstheme="minorHAnsi"/>
          <w:color w:val="000000" w:themeColor="text1"/>
        </w:rPr>
        <w:t xml:space="preserve">GNKQ-R: </w:t>
      </w:r>
      <w:r w:rsidR="00E82E94" w:rsidRPr="00CA4ABC">
        <w:rPr>
          <w:rFonts w:cstheme="minorHAnsi"/>
          <w:color w:val="000000" w:themeColor="text1"/>
        </w:rPr>
        <w:tab/>
      </w:r>
      <w:r w:rsidRPr="00CA4ABC">
        <w:rPr>
          <w:rFonts w:cstheme="minorHAnsi"/>
          <w:color w:val="000000" w:themeColor="text1"/>
        </w:rPr>
        <w:t>Revised General Nutrition Knowledge Questionnaire</w:t>
      </w:r>
    </w:p>
    <w:p w14:paraId="048688E1" w14:textId="36D3B22C" w:rsidR="00DD3D70" w:rsidRPr="00CA4ABC" w:rsidRDefault="00DD3D70" w:rsidP="004053D7">
      <w:pPr>
        <w:rPr>
          <w:rFonts w:cstheme="minorHAnsi"/>
          <w:color w:val="000000" w:themeColor="text1"/>
        </w:rPr>
      </w:pPr>
      <w:r w:rsidRPr="00CA4ABC">
        <w:rPr>
          <w:rFonts w:cstheme="minorHAnsi"/>
          <w:color w:val="000000" w:themeColor="text1"/>
        </w:rPr>
        <w:t xml:space="preserve">HCP: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 xml:space="preserve">Health care professional </w:t>
      </w:r>
    </w:p>
    <w:p w14:paraId="383DCF05" w14:textId="74E60A63" w:rsidR="00DD3D70" w:rsidRPr="00CA4ABC" w:rsidRDefault="00DD3D70" w:rsidP="004053D7">
      <w:pPr>
        <w:rPr>
          <w:rFonts w:cstheme="minorHAnsi"/>
          <w:color w:val="000000" w:themeColor="text1"/>
        </w:rPr>
      </w:pPr>
      <w:r w:rsidRPr="00CA4ABC">
        <w:rPr>
          <w:rFonts w:cstheme="minorHAnsi"/>
          <w:color w:val="000000" w:themeColor="text1"/>
        </w:rPr>
        <w:t xml:space="preserve">HLE: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Healthy Life Expectancy</w:t>
      </w:r>
    </w:p>
    <w:p w14:paraId="363BBDE5" w14:textId="28952B26" w:rsidR="00DD3D70" w:rsidRPr="00CA4ABC" w:rsidRDefault="00DD3D70" w:rsidP="004053D7">
      <w:pPr>
        <w:rPr>
          <w:rFonts w:cstheme="minorHAnsi"/>
          <w:color w:val="000000" w:themeColor="text1"/>
        </w:rPr>
      </w:pPr>
      <w:r w:rsidRPr="00CA4ABC">
        <w:rPr>
          <w:rFonts w:cstheme="minorHAnsi"/>
          <w:color w:val="000000" w:themeColor="text1"/>
        </w:rPr>
        <w:t xml:space="preserve">IAA: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 xml:space="preserve">Indispensable amino acid </w:t>
      </w:r>
    </w:p>
    <w:p w14:paraId="2CF0D42F" w14:textId="40375D98" w:rsidR="00DD3D70" w:rsidRPr="00CA4ABC" w:rsidRDefault="00DD3D70" w:rsidP="004053D7">
      <w:pPr>
        <w:rPr>
          <w:rFonts w:cstheme="minorHAnsi"/>
          <w:color w:val="000000" w:themeColor="text1"/>
        </w:rPr>
      </w:pPr>
      <w:r w:rsidRPr="00CA4ABC">
        <w:rPr>
          <w:rFonts w:cstheme="minorHAnsi"/>
          <w:color w:val="000000" w:themeColor="text1"/>
        </w:rPr>
        <w:t xml:space="preserve">IAAO: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Indicator amino acid oxidation</w:t>
      </w:r>
    </w:p>
    <w:p w14:paraId="2E08C852" w14:textId="6E219D77" w:rsidR="00DD3D70" w:rsidRPr="00CA4ABC" w:rsidRDefault="00DD3D70" w:rsidP="004053D7">
      <w:pPr>
        <w:rPr>
          <w:rFonts w:cstheme="minorHAnsi"/>
          <w:color w:val="000000" w:themeColor="text1"/>
        </w:rPr>
      </w:pPr>
      <w:r w:rsidRPr="00CA4ABC">
        <w:rPr>
          <w:rFonts w:cstheme="minorHAnsi"/>
          <w:color w:val="000000" w:themeColor="text1"/>
        </w:rPr>
        <w:t xml:space="preserve">Kg: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K</w:t>
      </w:r>
      <w:r w:rsidRPr="00CA4ABC">
        <w:rPr>
          <w:rFonts w:cstheme="minorHAnsi"/>
          <w:color w:val="000000" w:themeColor="text1"/>
        </w:rPr>
        <w:t>ilogram</w:t>
      </w:r>
    </w:p>
    <w:p w14:paraId="21F9C2F0" w14:textId="01172F08" w:rsidR="00DD3D70" w:rsidRPr="00CA4ABC" w:rsidRDefault="00DD3D70" w:rsidP="004053D7">
      <w:pPr>
        <w:rPr>
          <w:rFonts w:cstheme="minorHAnsi"/>
          <w:color w:val="000000" w:themeColor="text1"/>
        </w:rPr>
      </w:pPr>
      <w:r w:rsidRPr="00CA4ABC">
        <w:rPr>
          <w:rFonts w:cstheme="minorHAnsi"/>
          <w:color w:val="000000" w:themeColor="text1"/>
        </w:rPr>
        <w:t xml:space="preserve">kJ: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K</w:t>
      </w:r>
      <w:r w:rsidRPr="00CA4ABC">
        <w:rPr>
          <w:rFonts w:cstheme="minorHAnsi"/>
          <w:color w:val="000000" w:themeColor="text1"/>
        </w:rPr>
        <w:t>ilojoules</w:t>
      </w:r>
    </w:p>
    <w:p w14:paraId="05B8402A" w14:textId="09B73054" w:rsidR="00DD3D70" w:rsidRPr="00CA4ABC" w:rsidRDefault="00DD3D70" w:rsidP="004053D7">
      <w:pPr>
        <w:rPr>
          <w:rFonts w:cstheme="minorHAnsi"/>
          <w:color w:val="000000" w:themeColor="text1"/>
        </w:rPr>
      </w:pPr>
      <w:r w:rsidRPr="00CA4ABC">
        <w:rPr>
          <w:rFonts w:cstheme="minorHAnsi"/>
          <w:color w:val="000000" w:themeColor="text1"/>
        </w:rPr>
        <w:t xml:space="preserve">MHC: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Myosin heavy chain</w:t>
      </w:r>
    </w:p>
    <w:p w14:paraId="0A42A63A" w14:textId="657CBFEC" w:rsidR="00DD3D70" w:rsidRPr="00CA4ABC" w:rsidRDefault="00DD3D70" w:rsidP="004053D7">
      <w:pPr>
        <w:rPr>
          <w:rFonts w:cstheme="minorHAnsi"/>
          <w:color w:val="000000" w:themeColor="text1"/>
        </w:rPr>
      </w:pPr>
      <w:r w:rsidRPr="00CA4ABC">
        <w:rPr>
          <w:rFonts w:cstheme="minorHAnsi"/>
          <w:color w:val="000000" w:themeColor="text1"/>
        </w:rPr>
        <w:t xml:space="preserve">MPB: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M</w:t>
      </w:r>
      <w:r w:rsidRPr="00CA4ABC">
        <w:rPr>
          <w:rFonts w:cstheme="minorHAnsi"/>
          <w:color w:val="000000" w:themeColor="text1"/>
        </w:rPr>
        <w:t>uscle protein breakdown</w:t>
      </w:r>
    </w:p>
    <w:p w14:paraId="39EFBD56" w14:textId="71C211A7" w:rsidR="00DD3D70" w:rsidRPr="00CA4ABC" w:rsidRDefault="00DD3D70" w:rsidP="004053D7">
      <w:pPr>
        <w:rPr>
          <w:rFonts w:cstheme="minorHAnsi"/>
          <w:color w:val="000000" w:themeColor="text1"/>
        </w:rPr>
      </w:pPr>
      <w:r w:rsidRPr="00CA4ABC">
        <w:rPr>
          <w:rFonts w:cstheme="minorHAnsi"/>
          <w:color w:val="000000" w:themeColor="text1"/>
        </w:rPr>
        <w:t xml:space="preserve">MPS: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M</w:t>
      </w:r>
      <w:r w:rsidRPr="00CA4ABC">
        <w:rPr>
          <w:rFonts w:cstheme="minorHAnsi"/>
          <w:color w:val="000000" w:themeColor="text1"/>
        </w:rPr>
        <w:t>uscle protein synthesis</w:t>
      </w:r>
    </w:p>
    <w:p w14:paraId="3D3F63E9" w14:textId="5FC3F250" w:rsidR="00DD3D70" w:rsidRPr="00CA4ABC" w:rsidRDefault="00DD3D70" w:rsidP="004053D7">
      <w:pPr>
        <w:rPr>
          <w:rFonts w:cstheme="minorHAnsi"/>
          <w:color w:val="000000" w:themeColor="text1"/>
        </w:rPr>
      </w:pPr>
      <w:r w:rsidRPr="00CA4ABC">
        <w:rPr>
          <w:rFonts w:cstheme="minorHAnsi"/>
          <w:color w:val="000000" w:themeColor="text1"/>
        </w:rPr>
        <w:t xml:space="preserve">MRI: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Magnetic Resonance Imaging</w:t>
      </w:r>
    </w:p>
    <w:p w14:paraId="43E8A90D" w14:textId="4B2FE8BE" w:rsidR="00DD3D70" w:rsidRPr="00CA4ABC" w:rsidRDefault="00DD3D70" w:rsidP="004053D7">
      <w:pPr>
        <w:rPr>
          <w:rFonts w:cstheme="minorHAnsi"/>
          <w:color w:val="000000" w:themeColor="text1"/>
        </w:rPr>
      </w:pPr>
      <w:r w:rsidRPr="00CA4ABC">
        <w:rPr>
          <w:rFonts w:cstheme="minorHAnsi"/>
          <w:color w:val="000000" w:themeColor="text1"/>
        </w:rPr>
        <w:t>mRNA</w:t>
      </w:r>
      <w:r w:rsidR="00E82E94" w:rsidRPr="00CA4ABC">
        <w:rPr>
          <w:rFonts w:cstheme="minorHAnsi"/>
          <w:color w:val="000000" w:themeColor="text1"/>
        </w:rPr>
        <w:t>:</w:t>
      </w:r>
      <w:r w:rsidR="00E82E94" w:rsidRPr="00CA4ABC">
        <w:rPr>
          <w:rFonts w:cstheme="minorHAnsi"/>
          <w:color w:val="000000" w:themeColor="text1"/>
        </w:rPr>
        <w:tab/>
      </w:r>
      <w:r w:rsidR="00E82E94" w:rsidRPr="00CA4ABC">
        <w:rPr>
          <w:rFonts w:cstheme="minorHAnsi"/>
          <w:color w:val="000000" w:themeColor="text1"/>
        </w:rPr>
        <w:tab/>
        <w:t>M</w:t>
      </w:r>
      <w:r w:rsidRPr="00CA4ABC">
        <w:rPr>
          <w:rFonts w:cstheme="minorHAnsi"/>
          <w:color w:val="000000" w:themeColor="text1"/>
        </w:rPr>
        <w:t>essenger ribonucleic acid</w:t>
      </w:r>
    </w:p>
    <w:p w14:paraId="4FAA3588" w14:textId="1D24A0B9" w:rsidR="00DD3D70" w:rsidRPr="00CA4ABC" w:rsidRDefault="00DD3D70" w:rsidP="004053D7">
      <w:pPr>
        <w:rPr>
          <w:rFonts w:cstheme="minorHAnsi"/>
          <w:color w:val="000000" w:themeColor="text1"/>
        </w:rPr>
      </w:pPr>
      <w:r w:rsidRPr="00CA4ABC">
        <w:rPr>
          <w:rFonts w:cstheme="minorHAnsi"/>
          <w:color w:val="000000" w:themeColor="text1"/>
        </w:rPr>
        <w:t xml:space="preserve">MRC: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Medical Research Council</w:t>
      </w:r>
    </w:p>
    <w:p w14:paraId="4FD48C21" w14:textId="46F06E07" w:rsidR="00DD3D70" w:rsidRPr="00CA4ABC" w:rsidRDefault="00DD3D70" w:rsidP="004053D7">
      <w:pPr>
        <w:rPr>
          <w:rFonts w:cstheme="minorHAnsi"/>
          <w:color w:val="000000" w:themeColor="text1"/>
        </w:rPr>
      </w:pPr>
      <w:r w:rsidRPr="00CA4ABC">
        <w:rPr>
          <w:rFonts w:cstheme="minorHAnsi"/>
          <w:color w:val="000000" w:themeColor="text1"/>
        </w:rPr>
        <w:t xml:space="preserve">MRS: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Magnetic Resonance Spectroscopy</w:t>
      </w:r>
    </w:p>
    <w:p w14:paraId="2810B325" w14:textId="4584CA8F" w:rsidR="00DD3D70" w:rsidRPr="00CA4ABC" w:rsidRDefault="00DD3D70" w:rsidP="004053D7">
      <w:pPr>
        <w:rPr>
          <w:rFonts w:eastAsia="Times New Roman" w:cstheme="minorHAnsi"/>
          <w:color w:val="000000" w:themeColor="text1"/>
          <w:spacing w:val="4"/>
          <w:shd w:val="clear" w:color="auto" w:fill="FFFFFF"/>
          <w:lang w:eastAsia="en-GB"/>
        </w:rPr>
      </w:pPr>
      <w:r w:rsidRPr="00CA4ABC">
        <w:rPr>
          <w:rFonts w:cstheme="minorHAnsi"/>
          <w:color w:val="000000" w:themeColor="text1"/>
        </w:rPr>
        <w:t xml:space="preserve">mTOR: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eastAsia="Times New Roman" w:cstheme="minorHAnsi"/>
          <w:color w:val="000000" w:themeColor="text1"/>
          <w:spacing w:val="4"/>
          <w:shd w:val="clear" w:color="auto" w:fill="FFFFFF"/>
          <w:lang w:eastAsia="en-GB"/>
        </w:rPr>
        <w:t>M</w:t>
      </w:r>
      <w:r w:rsidRPr="00CA4ABC">
        <w:rPr>
          <w:rFonts w:eastAsia="Times New Roman" w:cstheme="minorHAnsi"/>
          <w:color w:val="000000" w:themeColor="text1"/>
          <w:spacing w:val="4"/>
          <w:shd w:val="clear" w:color="auto" w:fill="FFFFFF"/>
          <w:lang w:eastAsia="en-GB"/>
        </w:rPr>
        <w:t>echanistic target of rapamycin</w:t>
      </w:r>
    </w:p>
    <w:p w14:paraId="7D844BD0" w14:textId="744470C3" w:rsidR="00DD3D70" w:rsidRPr="00CA4ABC" w:rsidRDefault="00DD3D70" w:rsidP="004053D7">
      <w:pPr>
        <w:rPr>
          <w:rFonts w:cstheme="minorHAnsi"/>
          <w:color w:val="000000" w:themeColor="text1"/>
        </w:rPr>
      </w:pPr>
      <w:r w:rsidRPr="00CA4ABC">
        <w:rPr>
          <w:rFonts w:cstheme="minorHAnsi"/>
          <w:color w:val="000000" w:themeColor="text1"/>
        </w:rPr>
        <w:lastRenderedPageBreak/>
        <w:t xml:space="preserve">NDNS: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 xml:space="preserve">National Diet and Nutrition Survey </w:t>
      </w:r>
    </w:p>
    <w:p w14:paraId="575D715B" w14:textId="1F7AAEFB" w:rsidR="00DD3D70" w:rsidRPr="00CA4ABC" w:rsidRDefault="00DD3D70" w:rsidP="004053D7">
      <w:pPr>
        <w:rPr>
          <w:rFonts w:cstheme="minorHAnsi"/>
          <w:color w:val="000000" w:themeColor="text1"/>
        </w:rPr>
      </w:pPr>
      <w:r w:rsidRPr="00CA4ABC">
        <w:rPr>
          <w:rFonts w:cstheme="minorHAnsi"/>
          <w:color w:val="000000" w:themeColor="text1"/>
        </w:rPr>
        <w:t xml:space="preserve">NHS: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National Health Service</w:t>
      </w:r>
    </w:p>
    <w:p w14:paraId="506623C7" w14:textId="1503C5CC" w:rsidR="001809E2" w:rsidRPr="00CA4ABC" w:rsidRDefault="001809E2" w:rsidP="004053D7">
      <w:pPr>
        <w:rPr>
          <w:rFonts w:cstheme="minorHAnsi"/>
          <w:color w:val="000000" w:themeColor="text1"/>
        </w:rPr>
      </w:pPr>
      <w:r w:rsidRPr="00CA4ABC">
        <w:rPr>
          <w:rFonts w:cstheme="minorHAnsi"/>
          <w:color w:val="000000" w:themeColor="text1"/>
        </w:rPr>
        <w:t xml:space="preserve">NPV: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shd w:val="clear" w:color="auto" w:fill="FFFFFF"/>
        </w:rPr>
        <w:t>Negative predictive value</w:t>
      </w:r>
    </w:p>
    <w:p w14:paraId="4A735B03" w14:textId="240DDCBB" w:rsidR="00DD3D70" w:rsidRPr="00CA4ABC" w:rsidRDefault="00DD3D70" w:rsidP="004053D7">
      <w:pPr>
        <w:rPr>
          <w:rFonts w:eastAsia="Times New Roman" w:cstheme="minorHAnsi"/>
          <w:color w:val="000000" w:themeColor="text1"/>
          <w:spacing w:val="4"/>
          <w:shd w:val="clear" w:color="auto" w:fill="FFFFFF"/>
          <w:lang w:eastAsia="en-GB"/>
        </w:rPr>
      </w:pPr>
      <w:r w:rsidRPr="00CA4ABC">
        <w:rPr>
          <w:rFonts w:eastAsia="Times New Roman" w:cstheme="minorHAnsi"/>
          <w:color w:val="000000" w:themeColor="text1"/>
          <w:spacing w:val="4"/>
          <w:shd w:val="clear" w:color="auto" w:fill="FFFFFF"/>
          <w:lang w:eastAsia="en-GB"/>
        </w:rPr>
        <w:t xml:space="preserve">p70S6K: </w:t>
      </w:r>
      <w:r w:rsidR="00E82E94" w:rsidRPr="00CA4ABC">
        <w:rPr>
          <w:rFonts w:eastAsia="Times New Roman" w:cstheme="minorHAnsi"/>
          <w:color w:val="000000" w:themeColor="text1"/>
          <w:spacing w:val="4"/>
          <w:shd w:val="clear" w:color="auto" w:fill="FFFFFF"/>
          <w:lang w:eastAsia="en-GB"/>
        </w:rPr>
        <w:tab/>
      </w:r>
      <w:r w:rsidR="001809E2" w:rsidRPr="00CA4ABC">
        <w:rPr>
          <w:rFonts w:eastAsia="Times New Roman" w:cstheme="minorHAnsi"/>
          <w:color w:val="000000" w:themeColor="text1"/>
          <w:spacing w:val="4"/>
          <w:shd w:val="clear" w:color="auto" w:fill="FFFFFF"/>
          <w:lang w:eastAsia="en-GB"/>
        </w:rPr>
        <w:t>P</w:t>
      </w:r>
      <w:r w:rsidRPr="00CA4ABC">
        <w:rPr>
          <w:rFonts w:eastAsia="Times New Roman" w:cstheme="minorHAnsi"/>
          <w:color w:val="000000" w:themeColor="text1"/>
          <w:spacing w:val="4"/>
          <w:shd w:val="clear" w:color="auto" w:fill="FFFFFF"/>
          <w:lang w:eastAsia="en-GB"/>
        </w:rPr>
        <w:t>hosphor-70 kDa S6 protein kinase</w:t>
      </w:r>
    </w:p>
    <w:p w14:paraId="7F15C2C5" w14:textId="370C8C61" w:rsidR="001809E2" w:rsidRPr="00CA4ABC" w:rsidRDefault="001809E2" w:rsidP="004053D7">
      <w:pPr>
        <w:rPr>
          <w:rFonts w:eastAsia="Times New Roman" w:cstheme="minorHAnsi"/>
          <w:color w:val="000000" w:themeColor="text1"/>
          <w:spacing w:val="4"/>
          <w:shd w:val="clear" w:color="auto" w:fill="FFFFFF"/>
          <w:lang w:eastAsia="en-GB"/>
        </w:rPr>
      </w:pPr>
      <w:r w:rsidRPr="00CA4ABC">
        <w:rPr>
          <w:rFonts w:eastAsia="Times New Roman" w:cstheme="minorHAnsi"/>
          <w:color w:val="000000" w:themeColor="text1"/>
          <w:spacing w:val="4"/>
          <w:shd w:val="clear" w:color="auto" w:fill="FFFFFF"/>
          <w:lang w:eastAsia="en-GB"/>
        </w:rPr>
        <w:t xml:space="preserve">PPV: </w:t>
      </w:r>
      <w:r w:rsidR="00E82E94" w:rsidRPr="00CA4ABC">
        <w:rPr>
          <w:rFonts w:eastAsia="Times New Roman" w:cstheme="minorHAnsi"/>
          <w:color w:val="000000" w:themeColor="text1"/>
          <w:spacing w:val="4"/>
          <w:shd w:val="clear" w:color="auto" w:fill="FFFFFF"/>
          <w:lang w:eastAsia="en-GB"/>
        </w:rPr>
        <w:tab/>
      </w:r>
      <w:r w:rsidR="00E82E94" w:rsidRPr="00CA4ABC">
        <w:rPr>
          <w:rFonts w:eastAsia="Times New Roman" w:cstheme="minorHAnsi"/>
          <w:color w:val="000000" w:themeColor="text1"/>
          <w:spacing w:val="4"/>
          <w:shd w:val="clear" w:color="auto" w:fill="FFFFFF"/>
          <w:lang w:eastAsia="en-GB"/>
        </w:rPr>
        <w:tab/>
      </w:r>
      <w:r w:rsidRPr="00CA4ABC">
        <w:rPr>
          <w:rFonts w:cstheme="minorHAnsi"/>
          <w:color w:val="000000" w:themeColor="text1"/>
          <w:shd w:val="clear" w:color="auto" w:fill="FFFFFF"/>
        </w:rPr>
        <w:t>Positive predictive value</w:t>
      </w:r>
    </w:p>
    <w:p w14:paraId="46776D2A" w14:textId="0DA0BB96" w:rsidR="00DD3D70" w:rsidRPr="00CA4ABC" w:rsidRDefault="00DD3D70" w:rsidP="004053D7">
      <w:pPr>
        <w:rPr>
          <w:rFonts w:eastAsia="Times New Roman" w:cstheme="minorHAnsi"/>
          <w:color w:val="000000" w:themeColor="text1"/>
          <w:spacing w:val="4"/>
          <w:shd w:val="clear" w:color="auto" w:fill="FFFFFF"/>
          <w:lang w:eastAsia="en-GB"/>
        </w:rPr>
      </w:pPr>
      <w:r w:rsidRPr="00CA4ABC">
        <w:rPr>
          <w:rFonts w:eastAsia="Times New Roman" w:cstheme="minorHAnsi"/>
          <w:color w:val="000000" w:themeColor="text1"/>
          <w:spacing w:val="4"/>
          <w:shd w:val="clear" w:color="auto" w:fill="FFFFFF"/>
          <w:lang w:eastAsia="en-GB"/>
        </w:rPr>
        <w:t xml:space="preserve">RAPA: </w:t>
      </w:r>
      <w:r w:rsidR="00E82E94" w:rsidRPr="00CA4ABC">
        <w:rPr>
          <w:rFonts w:eastAsia="Times New Roman" w:cstheme="minorHAnsi"/>
          <w:color w:val="000000" w:themeColor="text1"/>
          <w:spacing w:val="4"/>
          <w:shd w:val="clear" w:color="auto" w:fill="FFFFFF"/>
          <w:lang w:eastAsia="en-GB"/>
        </w:rPr>
        <w:tab/>
      </w:r>
      <w:r w:rsidR="00E82E94" w:rsidRPr="00CA4ABC">
        <w:rPr>
          <w:rFonts w:eastAsia="Times New Roman" w:cstheme="minorHAnsi"/>
          <w:color w:val="000000" w:themeColor="text1"/>
          <w:spacing w:val="4"/>
          <w:shd w:val="clear" w:color="auto" w:fill="FFFFFF"/>
          <w:lang w:eastAsia="en-GB"/>
        </w:rPr>
        <w:tab/>
      </w:r>
      <w:r w:rsidRPr="00CA4ABC">
        <w:rPr>
          <w:rFonts w:eastAsia="Times New Roman" w:cstheme="minorHAnsi"/>
          <w:color w:val="000000" w:themeColor="text1"/>
          <w:lang w:eastAsia="en-GB"/>
        </w:rPr>
        <w:t xml:space="preserve">Rapid Assessment of Physical </w:t>
      </w:r>
      <w:r w:rsidR="00D3021C" w:rsidRPr="00CA4ABC">
        <w:rPr>
          <w:rFonts w:eastAsia="Times New Roman" w:cstheme="minorHAnsi"/>
          <w:color w:val="000000" w:themeColor="text1"/>
          <w:lang w:eastAsia="en-GB"/>
        </w:rPr>
        <w:t>Activity</w:t>
      </w:r>
    </w:p>
    <w:p w14:paraId="6EA3AD63" w14:textId="7880E089" w:rsidR="00DD3D70" w:rsidRPr="00CA4ABC" w:rsidRDefault="00DD3D70" w:rsidP="004053D7">
      <w:pPr>
        <w:rPr>
          <w:rFonts w:eastAsia="Times New Roman" w:cstheme="minorHAnsi"/>
          <w:color w:val="000000" w:themeColor="text1"/>
          <w:spacing w:val="4"/>
          <w:shd w:val="clear" w:color="auto" w:fill="FFFFFF"/>
          <w:lang w:eastAsia="en-GB"/>
        </w:rPr>
      </w:pPr>
      <w:r w:rsidRPr="00CA4ABC">
        <w:rPr>
          <w:rFonts w:eastAsia="Times New Roman" w:cstheme="minorHAnsi"/>
          <w:color w:val="000000" w:themeColor="text1"/>
          <w:spacing w:val="4"/>
          <w:shd w:val="clear" w:color="auto" w:fill="FFFFFF"/>
          <w:lang w:eastAsia="en-GB"/>
        </w:rPr>
        <w:t xml:space="preserve">RCT: </w:t>
      </w:r>
      <w:r w:rsidR="00E82E94" w:rsidRPr="00CA4ABC">
        <w:rPr>
          <w:rFonts w:eastAsia="Times New Roman" w:cstheme="minorHAnsi"/>
          <w:color w:val="000000" w:themeColor="text1"/>
          <w:spacing w:val="4"/>
          <w:shd w:val="clear" w:color="auto" w:fill="FFFFFF"/>
          <w:lang w:eastAsia="en-GB"/>
        </w:rPr>
        <w:tab/>
      </w:r>
      <w:r w:rsidR="00E82E94" w:rsidRPr="00CA4ABC">
        <w:rPr>
          <w:rFonts w:eastAsia="Times New Roman" w:cstheme="minorHAnsi"/>
          <w:color w:val="000000" w:themeColor="text1"/>
          <w:spacing w:val="4"/>
          <w:shd w:val="clear" w:color="auto" w:fill="FFFFFF"/>
          <w:lang w:eastAsia="en-GB"/>
        </w:rPr>
        <w:tab/>
      </w:r>
      <w:r w:rsidR="001809E2" w:rsidRPr="00CA4ABC">
        <w:rPr>
          <w:rFonts w:eastAsia="Times New Roman" w:cstheme="minorHAnsi"/>
          <w:color w:val="000000" w:themeColor="text1"/>
          <w:spacing w:val="4"/>
          <w:shd w:val="clear" w:color="auto" w:fill="FFFFFF"/>
          <w:lang w:eastAsia="en-GB"/>
        </w:rPr>
        <w:t>R</w:t>
      </w:r>
      <w:r w:rsidRPr="00CA4ABC">
        <w:rPr>
          <w:rFonts w:eastAsia="Times New Roman" w:cstheme="minorHAnsi"/>
          <w:color w:val="000000" w:themeColor="text1"/>
          <w:spacing w:val="4"/>
          <w:shd w:val="clear" w:color="auto" w:fill="FFFFFF"/>
          <w:lang w:eastAsia="en-GB"/>
        </w:rPr>
        <w:t>andomised control trial</w:t>
      </w:r>
    </w:p>
    <w:p w14:paraId="183F9399" w14:textId="5416A079" w:rsidR="00DD3D70" w:rsidRPr="00CA4ABC" w:rsidRDefault="00DD3D70" w:rsidP="004053D7">
      <w:pPr>
        <w:rPr>
          <w:rFonts w:eastAsia="Times New Roman" w:cstheme="minorHAnsi"/>
          <w:color w:val="000000" w:themeColor="text1"/>
          <w:spacing w:val="4"/>
          <w:shd w:val="clear" w:color="auto" w:fill="FFFFFF"/>
          <w:lang w:eastAsia="en-GB"/>
        </w:rPr>
      </w:pPr>
      <w:r w:rsidRPr="00CA4ABC">
        <w:rPr>
          <w:rFonts w:eastAsia="Times New Roman" w:cstheme="minorHAnsi"/>
          <w:color w:val="000000" w:themeColor="text1"/>
          <w:spacing w:val="4"/>
          <w:shd w:val="clear" w:color="auto" w:fill="FFFFFF"/>
          <w:lang w:eastAsia="en-GB"/>
        </w:rPr>
        <w:t xml:space="preserve">RDA: </w:t>
      </w:r>
      <w:r w:rsidR="00E82E94" w:rsidRPr="00CA4ABC">
        <w:rPr>
          <w:rFonts w:eastAsia="Times New Roman" w:cstheme="minorHAnsi"/>
          <w:color w:val="000000" w:themeColor="text1"/>
          <w:spacing w:val="4"/>
          <w:shd w:val="clear" w:color="auto" w:fill="FFFFFF"/>
          <w:lang w:eastAsia="en-GB"/>
        </w:rPr>
        <w:tab/>
      </w:r>
      <w:r w:rsidR="00E82E94" w:rsidRPr="00CA4ABC">
        <w:rPr>
          <w:rFonts w:eastAsia="Times New Roman" w:cstheme="minorHAnsi"/>
          <w:color w:val="000000" w:themeColor="text1"/>
          <w:spacing w:val="4"/>
          <w:shd w:val="clear" w:color="auto" w:fill="FFFFFF"/>
          <w:lang w:eastAsia="en-GB"/>
        </w:rPr>
        <w:tab/>
      </w:r>
      <w:r w:rsidR="001809E2" w:rsidRPr="00CA4ABC">
        <w:rPr>
          <w:rFonts w:eastAsia="Times New Roman" w:cstheme="minorHAnsi"/>
          <w:color w:val="000000" w:themeColor="text1"/>
          <w:spacing w:val="4"/>
          <w:shd w:val="clear" w:color="auto" w:fill="FFFFFF"/>
          <w:lang w:eastAsia="en-GB"/>
        </w:rPr>
        <w:t>R</w:t>
      </w:r>
      <w:r w:rsidRPr="00CA4ABC">
        <w:rPr>
          <w:rFonts w:eastAsia="Times New Roman" w:cstheme="minorHAnsi"/>
          <w:color w:val="000000" w:themeColor="text1"/>
          <w:spacing w:val="4"/>
          <w:shd w:val="clear" w:color="auto" w:fill="FFFFFF"/>
          <w:lang w:eastAsia="en-GB"/>
        </w:rPr>
        <w:t>ecommended daily allowance</w:t>
      </w:r>
    </w:p>
    <w:p w14:paraId="5A0E05F5" w14:textId="2CB13A53" w:rsidR="00DD3D70" w:rsidRPr="00CA4ABC" w:rsidRDefault="00DD3D70" w:rsidP="004053D7">
      <w:pPr>
        <w:rPr>
          <w:rFonts w:eastAsia="Times New Roman" w:cstheme="minorHAnsi"/>
          <w:color w:val="000000" w:themeColor="text1"/>
          <w:lang w:eastAsia="en-GB"/>
        </w:rPr>
      </w:pPr>
      <w:r w:rsidRPr="00CA4ABC">
        <w:rPr>
          <w:rFonts w:eastAsia="Times New Roman" w:cstheme="minorHAnsi"/>
          <w:color w:val="000000" w:themeColor="text1"/>
          <w:spacing w:val="4"/>
          <w:shd w:val="clear" w:color="auto" w:fill="FFFFFF"/>
          <w:lang w:eastAsia="en-GB"/>
        </w:rPr>
        <w:t xml:space="preserve">RNI: </w:t>
      </w:r>
      <w:r w:rsidR="00E82E94" w:rsidRPr="00CA4ABC">
        <w:rPr>
          <w:rFonts w:eastAsia="Times New Roman" w:cstheme="minorHAnsi"/>
          <w:color w:val="000000" w:themeColor="text1"/>
          <w:spacing w:val="4"/>
          <w:shd w:val="clear" w:color="auto" w:fill="FFFFFF"/>
          <w:lang w:eastAsia="en-GB"/>
        </w:rPr>
        <w:tab/>
      </w:r>
      <w:r w:rsidR="00E82E94" w:rsidRPr="00CA4ABC">
        <w:rPr>
          <w:rFonts w:eastAsia="Times New Roman" w:cstheme="minorHAnsi"/>
          <w:color w:val="000000" w:themeColor="text1"/>
          <w:spacing w:val="4"/>
          <w:shd w:val="clear" w:color="auto" w:fill="FFFFFF"/>
          <w:lang w:eastAsia="en-GB"/>
        </w:rPr>
        <w:tab/>
      </w:r>
      <w:r w:rsidR="001809E2" w:rsidRPr="00CA4ABC">
        <w:rPr>
          <w:rFonts w:eastAsia="Times New Roman" w:cstheme="minorHAnsi"/>
          <w:color w:val="000000" w:themeColor="text1"/>
          <w:spacing w:val="4"/>
          <w:shd w:val="clear" w:color="auto" w:fill="FFFFFF"/>
          <w:lang w:eastAsia="en-GB"/>
        </w:rPr>
        <w:t>R</w:t>
      </w:r>
      <w:r w:rsidRPr="00CA4ABC">
        <w:rPr>
          <w:rFonts w:eastAsia="Times New Roman" w:cstheme="minorHAnsi"/>
          <w:color w:val="000000" w:themeColor="text1"/>
          <w:spacing w:val="4"/>
          <w:shd w:val="clear" w:color="auto" w:fill="FFFFFF"/>
          <w:lang w:eastAsia="en-GB"/>
        </w:rPr>
        <w:t>eference nutrient intake</w:t>
      </w:r>
    </w:p>
    <w:p w14:paraId="67077CBD" w14:textId="6554346F" w:rsidR="00DD3D70" w:rsidRPr="00CA4ABC" w:rsidRDefault="00DD3D70" w:rsidP="004053D7">
      <w:pPr>
        <w:rPr>
          <w:rFonts w:cstheme="minorHAnsi"/>
          <w:color w:val="000000" w:themeColor="text1"/>
        </w:rPr>
      </w:pPr>
      <w:r w:rsidRPr="00CA4ABC">
        <w:rPr>
          <w:rFonts w:cstheme="minorHAnsi"/>
          <w:color w:val="000000" w:themeColor="text1"/>
        </w:rPr>
        <w:t xml:space="preserve">ROS: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R</w:t>
      </w:r>
      <w:r w:rsidRPr="00CA4ABC">
        <w:rPr>
          <w:rFonts w:cstheme="minorHAnsi"/>
          <w:color w:val="000000" w:themeColor="text1"/>
        </w:rPr>
        <w:t>eactive oxygen species</w:t>
      </w:r>
    </w:p>
    <w:p w14:paraId="25495EB7" w14:textId="5EBFAE3E" w:rsidR="00DD3D70" w:rsidRPr="00CA4ABC" w:rsidRDefault="00DD3D70" w:rsidP="004053D7">
      <w:pPr>
        <w:rPr>
          <w:rFonts w:cstheme="minorHAnsi"/>
          <w:color w:val="000000" w:themeColor="text1"/>
        </w:rPr>
      </w:pPr>
      <w:r w:rsidRPr="00CA4ABC">
        <w:rPr>
          <w:rFonts w:cstheme="minorHAnsi"/>
          <w:color w:val="000000" w:themeColor="text1"/>
        </w:rPr>
        <w:t xml:space="preserve">RPE: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R</w:t>
      </w:r>
      <w:r w:rsidRPr="00CA4ABC">
        <w:rPr>
          <w:rFonts w:cstheme="minorHAnsi"/>
          <w:color w:val="000000" w:themeColor="text1"/>
        </w:rPr>
        <w:t>ating of perceived exertion</w:t>
      </w:r>
    </w:p>
    <w:p w14:paraId="0AC35638" w14:textId="40585D7C" w:rsidR="00DD3D70" w:rsidRPr="00CA4ABC" w:rsidRDefault="00DD3D70" w:rsidP="004053D7">
      <w:pPr>
        <w:rPr>
          <w:rFonts w:cstheme="minorHAnsi"/>
          <w:color w:val="000000" w:themeColor="text1"/>
        </w:rPr>
      </w:pPr>
      <w:r w:rsidRPr="00CA4ABC">
        <w:rPr>
          <w:rFonts w:cstheme="minorHAnsi"/>
          <w:color w:val="000000" w:themeColor="text1"/>
        </w:rPr>
        <w:t xml:space="preserve">SACN: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Scientific Advisory Committee on Nutrition</w:t>
      </w:r>
    </w:p>
    <w:p w14:paraId="19073424" w14:textId="567031E6" w:rsidR="003016D4" w:rsidRPr="00CA4ABC" w:rsidRDefault="003016D4" w:rsidP="004053D7">
      <w:pPr>
        <w:rPr>
          <w:rFonts w:cstheme="minorHAnsi"/>
          <w:color w:val="000000" w:themeColor="text1"/>
        </w:rPr>
      </w:pPr>
      <w:r w:rsidRPr="00CA4ABC">
        <w:rPr>
          <w:rFonts w:cstheme="minorHAnsi"/>
          <w:color w:val="000000" w:themeColor="text1"/>
        </w:rPr>
        <w:t xml:space="preserve">SF-36: </w:t>
      </w:r>
      <w:r w:rsidRPr="00CA4ABC">
        <w:rPr>
          <w:rFonts w:cstheme="minorHAnsi"/>
          <w:color w:val="000000" w:themeColor="text1"/>
        </w:rPr>
        <w:tab/>
      </w:r>
      <w:r w:rsidRPr="00CA4ABC">
        <w:rPr>
          <w:rFonts w:cstheme="minorHAnsi"/>
          <w:color w:val="000000" w:themeColor="text1"/>
        </w:rPr>
        <w:tab/>
        <w:t>36-Item Short Form Health Survey</w:t>
      </w:r>
    </w:p>
    <w:p w14:paraId="02CF5D9E" w14:textId="19130D10" w:rsidR="00DD3D70" w:rsidRPr="00CA4ABC" w:rsidRDefault="00DD3D70" w:rsidP="004053D7">
      <w:pPr>
        <w:rPr>
          <w:rFonts w:cstheme="minorHAnsi"/>
          <w:color w:val="000000" w:themeColor="text1"/>
        </w:rPr>
      </w:pPr>
      <w:r w:rsidRPr="00CA4ABC">
        <w:rPr>
          <w:rFonts w:cstheme="minorHAnsi"/>
          <w:color w:val="000000" w:themeColor="text1"/>
        </w:rPr>
        <w:t xml:space="preserve">SMI: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Skeletal muscle index</w:t>
      </w:r>
    </w:p>
    <w:p w14:paraId="68471D82" w14:textId="202EA5B0" w:rsidR="00DD3D70" w:rsidRPr="00CA4ABC" w:rsidRDefault="00DD3D70" w:rsidP="004053D7">
      <w:pPr>
        <w:rPr>
          <w:rFonts w:cstheme="minorHAnsi"/>
          <w:color w:val="000000" w:themeColor="text1"/>
        </w:rPr>
      </w:pPr>
      <w:r w:rsidRPr="00CA4ABC">
        <w:rPr>
          <w:rFonts w:cstheme="minorHAnsi"/>
          <w:color w:val="000000" w:themeColor="text1"/>
        </w:rPr>
        <w:t xml:space="preserve">SMM: </w:t>
      </w:r>
      <w:r w:rsidR="00E82E94" w:rsidRPr="00CA4ABC">
        <w:rPr>
          <w:rFonts w:cstheme="minorHAnsi"/>
          <w:color w:val="000000" w:themeColor="text1"/>
        </w:rPr>
        <w:tab/>
      </w:r>
      <w:r w:rsidR="00E82E94" w:rsidRPr="00CA4ABC">
        <w:rPr>
          <w:rFonts w:cstheme="minorHAnsi"/>
          <w:color w:val="000000" w:themeColor="text1"/>
        </w:rPr>
        <w:tab/>
      </w:r>
      <w:r w:rsidR="001809E2" w:rsidRPr="00CA4ABC">
        <w:rPr>
          <w:rFonts w:cstheme="minorHAnsi"/>
          <w:color w:val="000000" w:themeColor="text1"/>
        </w:rPr>
        <w:t>S</w:t>
      </w:r>
      <w:r w:rsidRPr="00CA4ABC">
        <w:rPr>
          <w:rFonts w:cstheme="minorHAnsi"/>
          <w:color w:val="000000" w:themeColor="text1"/>
        </w:rPr>
        <w:t>keletal muscle mass.</w:t>
      </w:r>
    </w:p>
    <w:p w14:paraId="0B43FD64" w14:textId="18A3294D" w:rsidR="00DD3D70" w:rsidRPr="00CA4ABC" w:rsidRDefault="00DD3D70" w:rsidP="004053D7">
      <w:pPr>
        <w:rPr>
          <w:rFonts w:cstheme="minorHAnsi"/>
          <w:color w:val="000000" w:themeColor="text1"/>
        </w:rPr>
      </w:pPr>
      <w:r w:rsidRPr="00CA4ABC">
        <w:rPr>
          <w:rFonts w:cstheme="minorHAnsi"/>
          <w:color w:val="000000" w:themeColor="text1"/>
        </w:rPr>
        <w:t xml:space="preserve">SPPB: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Short Physical Performance Battery</w:t>
      </w:r>
    </w:p>
    <w:p w14:paraId="4A5CA4CB" w14:textId="7382231B" w:rsidR="00DD3D70" w:rsidRPr="00CA4ABC" w:rsidRDefault="00DD3D70" w:rsidP="004053D7">
      <w:pPr>
        <w:rPr>
          <w:rFonts w:cstheme="minorHAnsi"/>
          <w:color w:val="000000" w:themeColor="text1"/>
        </w:rPr>
      </w:pPr>
      <w:r w:rsidRPr="00CA4ABC">
        <w:rPr>
          <w:rFonts w:cstheme="minorHAnsi"/>
          <w:color w:val="000000" w:themeColor="text1"/>
        </w:rPr>
        <w:t xml:space="preserve">TUG: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Timed-Up and Go test</w:t>
      </w:r>
    </w:p>
    <w:p w14:paraId="5F2AD3D0" w14:textId="58E8C8F9" w:rsidR="00DD3D70" w:rsidRPr="00CA4ABC" w:rsidRDefault="00DD3D70" w:rsidP="004053D7">
      <w:pPr>
        <w:rPr>
          <w:rFonts w:cstheme="minorHAnsi"/>
          <w:color w:val="000000" w:themeColor="text1"/>
        </w:rPr>
      </w:pPr>
      <w:r w:rsidRPr="00CA4ABC">
        <w:rPr>
          <w:rFonts w:cstheme="minorHAnsi"/>
          <w:color w:val="000000" w:themeColor="text1"/>
        </w:rPr>
        <w:t xml:space="preserve">UK: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United Kingdom</w:t>
      </w:r>
    </w:p>
    <w:p w14:paraId="090CCB20" w14:textId="522291F6" w:rsidR="00DD3D70" w:rsidRPr="00CA4ABC" w:rsidRDefault="00DD3D70" w:rsidP="004053D7">
      <w:pPr>
        <w:rPr>
          <w:rFonts w:cstheme="minorHAnsi"/>
          <w:color w:val="000000" w:themeColor="text1"/>
        </w:rPr>
      </w:pPr>
      <w:r w:rsidRPr="00CA4ABC">
        <w:rPr>
          <w:rFonts w:cstheme="minorHAnsi"/>
          <w:color w:val="000000" w:themeColor="text1"/>
        </w:rPr>
        <w:t xml:space="preserve">VAS: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Visual Analogue Scale</w:t>
      </w:r>
    </w:p>
    <w:p w14:paraId="5FCB4A0A" w14:textId="210D1075" w:rsidR="004053D7" w:rsidRPr="00CA4ABC" w:rsidRDefault="00DD3D70" w:rsidP="006A797B">
      <w:pPr>
        <w:rPr>
          <w:rFonts w:cstheme="minorHAnsi"/>
          <w:color w:val="000000" w:themeColor="text1"/>
        </w:rPr>
        <w:sectPr w:rsidR="004053D7" w:rsidRPr="00CA4ABC" w:rsidSect="00EF1855">
          <w:pgSz w:w="11900" w:h="16840"/>
          <w:pgMar w:top="1440" w:right="1440" w:bottom="1440" w:left="1440" w:header="708" w:footer="708" w:gutter="0"/>
          <w:cols w:space="708"/>
          <w:docGrid w:linePitch="360"/>
        </w:sectPr>
      </w:pPr>
      <w:r w:rsidRPr="00CA4ABC">
        <w:rPr>
          <w:rFonts w:cstheme="minorHAnsi"/>
          <w:color w:val="000000" w:themeColor="text1"/>
        </w:rPr>
        <w:t xml:space="preserve">WHO: </w:t>
      </w:r>
      <w:r w:rsidR="00E82E94" w:rsidRPr="00CA4ABC">
        <w:rPr>
          <w:rFonts w:cstheme="minorHAnsi"/>
          <w:color w:val="000000" w:themeColor="text1"/>
        </w:rPr>
        <w:tab/>
      </w:r>
      <w:r w:rsidR="00E82E94" w:rsidRPr="00CA4ABC">
        <w:rPr>
          <w:rFonts w:cstheme="minorHAnsi"/>
          <w:color w:val="000000" w:themeColor="text1"/>
        </w:rPr>
        <w:tab/>
      </w:r>
      <w:r w:rsidRPr="00CA4ABC">
        <w:rPr>
          <w:rFonts w:cstheme="minorHAnsi"/>
          <w:color w:val="000000" w:themeColor="text1"/>
        </w:rPr>
        <w:t>World Health Organisation</w:t>
      </w:r>
    </w:p>
    <w:p w14:paraId="757A6DAD" w14:textId="2D886467" w:rsidR="00297538" w:rsidRDefault="00297538" w:rsidP="008F175A">
      <w:pPr>
        <w:pStyle w:val="TableofFigures"/>
        <w:tabs>
          <w:tab w:val="right" w:leader="dot" w:pos="9010"/>
        </w:tabs>
        <w:spacing w:line="360" w:lineRule="auto"/>
        <w:rPr>
          <w:rFonts w:cstheme="minorHAnsi"/>
          <w:b/>
          <w:bCs/>
          <w:color w:val="000000" w:themeColor="text1"/>
        </w:rPr>
      </w:pPr>
      <w:r>
        <w:rPr>
          <w:rFonts w:cstheme="minorHAnsi"/>
          <w:b/>
          <w:bCs/>
          <w:color w:val="000000" w:themeColor="text1"/>
        </w:rPr>
        <w:lastRenderedPageBreak/>
        <w:t>List of Figures:</w:t>
      </w:r>
    </w:p>
    <w:p w14:paraId="6863D0E4" w14:textId="4CC599F6" w:rsidR="008F175A" w:rsidRDefault="008F175A" w:rsidP="008F175A">
      <w:pPr>
        <w:pStyle w:val="TableofFigures"/>
        <w:tabs>
          <w:tab w:val="right" w:leader="dot" w:pos="9010"/>
        </w:tabs>
        <w:spacing w:line="360" w:lineRule="auto"/>
        <w:rPr>
          <w:rFonts w:eastAsiaTheme="minorEastAsia"/>
          <w:noProof/>
          <w:lang w:eastAsia="en-GB"/>
        </w:rPr>
      </w:pPr>
      <w:r>
        <w:rPr>
          <w:rFonts w:cstheme="minorHAnsi"/>
          <w:b/>
          <w:bCs/>
          <w:color w:val="000000" w:themeColor="text1"/>
        </w:rPr>
        <w:fldChar w:fldCharType="begin"/>
      </w:r>
      <w:r>
        <w:rPr>
          <w:rFonts w:cstheme="minorHAnsi"/>
          <w:b/>
          <w:bCs/>
          <w:color w:val="000000" w:themeColor="text1"/>
        </w:rPr>
        <w:instrText xml:space="preserve"> TOC \h \z \c "Figure" </w:instrText>
      </w:r>
      <w:r>
        <w:rPr>
          <w:rFonts w:cstheme="minorHAnsi"/>
          <w:b/>
          <w:bCs/>
          <w:color w:val="000000" w:themeColor="text1"/>
        </w:rPr>
        <w:fldChar w:fldCharType="separate"/>
      </w:r>
      <w:hyperlink w:anchor="_Toc127978461" w:history="1">
        <w:r w:rsidRPr="000F4F8F">
          <w:rPr>
            <w:rStyle w:val="Hyperlink"/>
            <w:rFonts w:cstheme="minorHAnsi"/>
            <w:noProof/>
          </w:rPr>
          <w:t>Figure 1. A schematic view of changes in muscle protein synthesis (MPS) and muscle protein breakdown (MPB) and how a meal (i.e. amino acid provision) can influence this relationship. Diagram extracted and reproduced from (Burd et al., 2009, with permission (19)).</w:t>
        </w:r>
        <w:r>
          <w:rPr>
            <w:noProof/>
            <w:webHidden/>
          </w:rPr>
          <w:tab/>
        </w:r>
        <w:r>
          <w:rPr>
            <w:noProof/>
            <w:webHidden/>
          </w:rPr>
          <w:fldChar w:fldCharType="begin"/>
        </w:r>
        <w:r>
          <w:rPr>
            <w:noProof/>
            <w:webHidden/>
          </w:rPr>
          <w:instrText xml:space="preserve"> PAGEREF _Toc127978461 \h </w:instrText>
        </w:r>
        <w:r>
          <w:rPr>
            <w:noProof/>
            <w:webHidden/>
          </w:rPr>
        </w:r>
        <w:r>
          <w:rPr>
            <w:noProof/>
            <w:webHidden/>
          </w:rPr>
          <w:fldChar w:fldCharType="separate"/>
        </w:r>
        <w:r>
          <w:rPr>
            <w:noProof/>
            <w:webHidden/>
          </w:rPr>
          <w:t>19</w:t>
        </w:r>
        <w:r>
          <w:rPr>
            <w:noProof/>
            <w:webHidden/>
          </w:rPr>
          <w:fldChar w:fldCharType="end"/>
        </w:r>
      </w:hyperlink>
    </w:p>
    <w:p w14:paraId="58519BB6" w14:textId="296AC247" w:rsidR="008F175A" w:rsidRDefault="00EB542D" w:rsidP="008F175A">
      <w:pPr>
        <w:pStyle w:val="TableofFigures"/>
        <w:tabs>
          <w:tab w:val="right" w:leader="dot" w:pos="9010"/>
        </w:tabs>
        <w:spacing w:line="360" w:lineRule="auto"/>
        <w:rPr>
          <w:rFonts w:eastAsiaTheme="minorEastAsia"/>
          <w:noProof/>
          <w:lang w:eastAsia="en-GB"/>
        </w:rPr>
      </w:pPr>
      <w:hyperlink w:anchor="_Toc127978462" w:history="1">
        <w:r w:rsidR="008F175A" w:rsidRPr="000F4F8F">
          <w:rPr>
            <w:rStyle w:val="Hyperlink"/>
            <w:rFonts w:cstheme="minorHAnsi"/>
            <w:noProof/>
          </w:rPr>
          <w:t>Figure 2. The activation of the mTOR pathway, to promote MPS by anabolic factors including the amino acid leucine. (Image taken from Pimentel, Zemdegs 2009, with permission from the journal (26))</w:t>
        </w:r>
        <w:r w:rsidR="008F175A">
          <w:rPr>
            <w:noProof/>
            <w:webHidden/>
          </w:rPr>
          <w:tab/>
        </w:r>
        <w:r w:rsidR="008F175A">
          <w:rPr>
            <w:noProof/>
            <w:webHidden/>
          </w:rPr>
          <w:fldChar w:fldCharType="begin"/>
        </w:r>
        <w:r w:rsidR="008F175A">
          <w:rPr>
            <w:noProof/>
            <w:webHidden/>
          </w:rPr>
          <w:instrText xml:space="preserve"> PAGEREF _Toc127978462 \h </w:instrText>
        </w:r>
        <w:r w:rsidR="008F175A">
          <w:rPr>
            <w:noProof/>
            <w:webHidden/>
          </w:rPr>
        </w:r>
        <w:r w:rsidR="008F175A">
          <w:rPr>
            <w:noProof/>
            <w:webHidden/>
          </w:rPr>
          <w:fldChar w:fldCharType="separate"/>
        </w:r>
        <w:r w:rsidR="008F175A">
          <w:rPr>
            <w:noProof/>
            <w:webHidden/>
          </w:rPr>
          <w:t>20</w:t>
        </w:r>
        <w:r w:rsidR="008F175A">
          <w:rPr>
            <w:noProof/>
            <w:webHidden/>
          </w:rPr>
          <w:fldChar w:fldCharType="end"/>
        </w:r>
      </w:hyperlink>
    </w:p>
    <w:p w14:paraId="4DCF69A3" w14:textId="6E0E21FE" w:rsidR="008F175A" w:rsidRDefault="00EB542D" w:rsidP="008F175A">
      <w:pPr>
        <w:pStyle w:val="TableofFigures"/>
        <w:tabs>
          <w:tab w:val="right" w:leader="dot" w:pos="9010"/>
        </w:tabs>
        <w:spacing w:line="360" w:lineRule="auto"/>
        <w:rPr>
          <w:rFonts w:eastAsiaTheme="minorEastAsia"/>
          <w:noProof/>
          <w:lang w:eastAsia="en-GB"/>
        </w:rPr>
      </w:pPr>
      <w:hyperlink w:anchor="_Toc127978463" w:history="1">
        <w:r w:rsidR="008F175A" w:rsidRPr="000F4F8F">
          <w:rPr>
            <w:rStyle w:val="Hyperlink"/>
            <w:rFonts w:cstheme="minorHAnsi"/>
            <w:noProof/>
          </w:rPr>
          <w:t>Figure 3. The structure of skeletal muscle, demonstrating the different levels which form is complex composition.  Taken from Gotti et al., 2020, Elsevier Ltd (42), open access, permission not required for non-commercial use.)</w:t>
        </w:r>
        <w:r w:rsidR="008F175A">
          <w:rPr>
            <w:noProof/>
            <w:webHidden/>
          </w:rPr>
          <w:tab/>
        </w:r>
        <w:r w:rsidR="008F175A">
          <w:rPr>
            <w:noProof/>
            <w:webHidden/>
          </w:rPr>
          <w:fldChar w:fldCharType="begin"/>
        </w:r>
        <w:r w:rsidR="008F175A">
          <w:rPr>
            <w:noProof/>
            <w:webHidden/>
          </w:rPr>
          <w:instrText xml:space="preserve"> PAGEREF _Toc127978463 \h </w:instrText>
        </w:r>
        <w:r w:rsidR="008F175A">
          <w:rPr>
            <w:noProof/>
            <w:webHidden/>
          </w:rPr>
        </w:r>
        <w:r w:rsidR="008F175A">
          <w:rPr>
            <w:noProof/>
            <w:webHidden/>
          </w:rPr>
          <w:fldChar w:fldCharType="separate"/>
        </w:r>
        <w:r w:rsidR="008F175A">
          <w:rPr>
            <w:noProof/>
            <w:webHidden/>
          </w:rPr>
          <w:t>26</w:t>
        </w:r>
        <w:r w:rsidR="008F175A">
          <w:rPr>
            <w:noProof/>
            <w:webHidden/>
          </w:rPr>
          <w:fldChar w:fldCharType="end"/>
        </w:r>
      </w:hyperlink>
    </w:p>
    <w:p w14:paraId="291467DC" w14:textId="35118AD3" w:rsidR="008F175A" w:rsidRDefault="00EB542D" w:rsidP="008F175A">
      <w:pPr>
        <w:pStyle w:val="TableofFigures"/>
        <w:tabs>
          <w:tab w:val="right" w:leader="dot" w:pos="9010"/>
        </w:tabs>
        <w:spacing w:line="360" w:lineRule="auto"/>
        <w:rPr>
          <w:rFonts w:eastAsiaTheme="minorEastAsia"/>
          <w:noProof/>
          <w:lang w:eastAsia="en-GB"/>
        </w:rPr>
      </w:pPr>
      <w:hyperlink w:anchor="_Toc127978464" w:history="1">
        <w:r w:rsidR="008F175A" w:rsidRPr="000F4F8F">
          <w:rPr>
            <w:rStyle w:val="Hyperlink"/>
            <w:rFonts w:cstheme="minorHAnsi"/>
            <w:noProof/>
          </w:rPr>
          <w:t>Figure 4. An overview of factors which contribute to ageing muscle phenotype. Taken from Milijkovic et al., 2015 (43), open access, and permission not required for non-commercial use.</w:t>
        </w:r>
        <w:r w:rsidR="008F175A">
          <w:rPr>
            <w:noProof/>
            <w:webHidden/>
          </w:rPr>
          <w:tab/>
        </w:r>
        <w:r w:rsidR="008F175A">
          <w:rPr>
            <w:noProof/>
            <w:webHidden/>
          </w:rPr>
          <w:fldChar w:fldCharType="begin"/>
        </w:r>
        <w:r w:rsidR="008F175A">
          <w:rPr>
            <w:noProof/>
            <w:webHidden/>
          </w:rPr>
          <w:instrText xml:space="preserve"> PAGEREF _Toc127978464 \h </w:instrText>
        </w:r>
        <w:r w:rsidR="008F175A">
          <w:rPr>
            <w:noProof/>
            <w:webHidden/>
          </w:rPr>
        </w:r>
        <w:r w:rsidR="008F175A">
          <w:rPr>
            <w:noProof/>
            <w:webHidden/>
          </w:rPr>
          <w:fldChar w:fldCharType="separate"/>
        </w:r>
        <w:r w:rsidR="008F175A">
          <w:rPr>
            <w:noProof/>
            <w:webHidden/>
          </w:rPr>
          <w:t>27</w:t>
        </w:r>
        <w:r w:rsidR="008F175A">
          <w:rPr>
            <w:noProof/>
            <w:webHidden/>
          </w:rPr>
          <w:fldChar w:fldCharType="end"/>
        </w:r>
      </w:hyperlink>
    </w:p>
    <w:p w14:paraId="0EE12E01" w14:textId="1B72E4B1" w:rsidR="008F175A" w:rsidRDefault="00EB542D" w:rsidP="008F175A">
      <w:pPr>
        <w:pStyle w:val="TableofFigures"/>
        <w:tabs>
          <w:tab w:val="right" w:leader="dot" w:pos="9010"/>
        </w:tabs>
        <w:spacing w:line="360" w:lineRule="auto"/>
        <w:rPr>
          <w:rFonts w:eastAsiaTheme="minorEastAsia"/>
          <w:noProof/>
          <w:lang w:eastAsia="en-GB"/>
        </w:rPr>
      </w:pPr>
      <w:hyperlink w:anchor="_Toc127978465" w:history="1">
        <w:r w:rsidR="008F175A" w:rsidRPr="000F4F8F">
          <w:rPr>
            <w:rStyle w:val="Hyperlink"/>
            <w:rFonts w:cstheme="minorHAnsi"/>
            <w:noProof/>
          </w:rPr>
          <w:t>Figure 5. Factors which influence muscle health and consequentially sarcopenia onset. Image is taken from Ziaaldini et al., 2017 (79) with permission.</w:t>
        </w:r>
        <w:r w:rsidR="008F175A">
          <w:rPr>
            <w:noProof/>
            <w:webHidden/>
          </w:rPr>
          <w:tab/>
        </w:r>
        <w:r w:rsidR="008F175A">
          <w:rPr>
            <w:noProof/>
            <w:webHidden/>
          </w:rPr>
          <w:fldChar w:fldCharType="begin"/>
        </w:r>
        <w:r w:rsidR="008F175A">
          <w:rPr>
            <w:noProof/>
            <w:webHidden/>
          </w:rPr>
          <w:instrText xml:space="preserve"> PAGEREF _Toc127978465 \h </w:instrText>
        </w:r>
        <w:r w:rsidR="008F175A">
          <w:rPr>
            <w:noProof/>
            <w:webHidden/>
          </w:rPr>
        </w:r>
        <w:r w:rsidR="008F175A">
          <w:rPr>
            <w:noProof/>
            <w:webHidden/>
          </w:rPr>
          <w:fldChar w:fldCharType="separate"/>
        </w:r>
        <w:r w:rsidR="008F175A">
          <w:rPr>
            <w:noProof/>
            <w:webHidden/>
          </w:rPr>
          <w:t>34</w:t>
        </w:r>
        <w:r w:rsidR="008F175A">
          <w:rPr>
            <w:noProof/>
            <w:webHidden/>
          </w:rPr>
          <w:fldChar w:fldCharType="end"/>
        </w:r>
      </w:hyperlink>
    </w:p>
    <w:p w14:paraId="6FAE8FFC" w14:textId="32DF537F" w:rsidR="008F175A" w:rsidRDefault="00EB542D" w:rsidP="008F175A">
      <w:pPr>
        <w:pStyle w:val="TableofFigures"/>
        <w:tabs>
          <w:tab w:val="right" w:leader="dot" w:pos="9010"/>
        </w:tabs>
        <w:spacing w:line="360" w:lineRule="auto"/>
        <w:rPr>
          <w:rFonts w:eastAsiaTheme="minorEastAsia"/>
          <w:noProof/>
          <w:lang w:eastAsia="en-GB"/>
        </w:rPr>
      </w:pPr>
      <w:hyperlink w:anchor="_Toc127978466" w:history="1">
        <w:r w:rsidR="008F175A" w:rsidRPr="000F4F8F">
          <w:rPr>
            <w:rStyle w:val="Hyperlink"/>
            <w:rFonts w:cstheme="minorHAnsi"/>
            <w:noProof/>
          </w:rPr>
          <w:t>Figure 6. Demonstration of the percentage of individuals classed as active, fairly active and inactive across adult age categories. Taken from the NHS website, in the public domain (116).</w:t>
        </w:r>
        <w:r w:rsidR="008F175A">
          <w:rPr>
            <w:noProof/>
            <w:webHidden/>
          </w:rPr>
          <w:tab/>
        </w:r>
        <w:r w:rsidR="008F175A">
          <w:rPr>
            <w:noProof/>
            <w:webHidden/>
          </w:rPr>
          <w:fldChar w:fldCharType="begin"/>
        </w:r>
        <w:r w:rsidR="008F175A">
          <w:rPr>
            <w:noProof/>
            <w:webHidden/>
          </w:rPr>
          <w:instrText xml:space="preserve"> PAGEREF _Toc127978466 \h </w:instrText>
        </w:r>
        <w:r w:rsidR="008F175A">
          <w:rPr>
            <w:noProof/>
            <w:webHidden/>
          </w:rPr>
        </w:r>
        <w:r w:rsidR="008F175A">
          <w:rPr>
            <w:noProof/>
            <w:webHidden/>
          </w:rPr>
          <w:fldChar w:fldCharType="separate"/>
        </w:r>
        <w:r w:rsidR="008F175A">
          <w:rPr>
            <w:noProof/>
            <w:webHidden/>
          </w:rPr>
          <w:t>41</w:t>
        </w:r>
        <w:r w:rsidR="008F175A">
          <w:rPr>
            <w:noProof/>
            <w:webHidden/>
          </w:rPr>
          <w:fldChar w:fldCharType="end"/>
        </w:r>
      </w:hyperlink>
    </w:p>
    <w:p w14:paraId="16D6BC86" w14:textId="6E3721E7" w:rsidR="008F175A" w:rsidRDefault="00EB542D" w:rsidP="008F175A">
      <w:pPr>
        <w:pStyle w:val="TableofFigures"/>
        <w:tabs>
          <w:tab w:val="right" w:leader="dot" w:pos="9010"/>
        </w:tabs>
        <w:spacing w:line="360" w:lineRule="auto"/>
        <w:rPr>
          <w:rFonts w:eastAsiaTheme="minorEastAsia"/>
          <w:noProof/>
          <w:lang w:eastAsia="en-GB"/>
        </w:rPr>
      </w:pPr>
      <w:hyperlink w:anchor="_Toc127978467" w:history="1">
        <w:r w:rsidR="008F175A" w:rsidRPr="000F4F8F">
          <w:rPr>
            <w:rStyle w:val="Hyperlink"/>
            <w:rFonts w:cstheme="minorHAnsi"/>
            <w:noProof/>
          </w:rPr>
          <w:t>Figure 7. Gantt chart to show study tasks, study objectives and data collection time periods in relation to the PhD timeline and face-to-face restrictions being in place.</w:t>
        </w:r>
        <w:r w:rsidR="008F175A">
          <w:rPr>
            <w:noProof/>
            <w:webHidden/>
          </w:rPr>
          <w:tab/>
        </w:r>
        <w:r w:rsidR="008F175A">
          <w:rPr>
            <w:noProof/>
            <w:webHidden/>
          </w:rPr>
          <w:fldChar w:fldCharType="begin"/>
        </w:r>
        <w:r w:rsidR="008F175A">
          <w:rPr>
            <w:noProof/>
            <w:webHidden/>
          </w:rPr>
          <w:instrText xml:space="preserve"> PAGEREF _Toc127978467 \h </w:instrText>
        </w:r>
        <w:r w:rsidR="008F175A">
          <w:rPr>
            <w:noProof/>
            <w:webHidden/>
          </w:rPr>
        </w:r>
        <w:r w:rsidR="008F175A">
          <w:rPr>
            <w:noProof/>
            <w:webHidden/>
          </w:rPr>
          <w:fldChar w:fldCharType="separate"/>
        </w:r>
        <w:r w:rsidR="008F175A">
          <w:rPr>
            <w:noProof/>
            <w:webHidden/>
          </w:rPr>
          <w:t>57</w:t>
        </w:r>
        <w:r w:rsidR="008F175A">
          <w:rPr>
            <w:noProof/>
            <w:webHidden/>
          </w:rPr>
          <w:fldChar w:fldCharType="end"/>
        </w:r>
      </w:hyperlink>
    </w:p>
    <w:p w14:paraId="470B0B77" w14:textId="1B31C9AD" w:rsidR="008F175A" w:rsidRDefault="00EB542D" w:rsidP="008F175A">
      <w:pPr>
        <w:pStyle w:val="TableofFigures"/>
        <w:tabs>
          <w:tab w:val="right" w:leader="dot" w:pos="9010"/>
        </w:tabs>
        <w:spacing w:line="360" w:lineRule="auto"/>
        <w:rPr>
          <w:rFonts w:eastAsiaTheme="minorEastAsia"/>
          <w:noProof/>
          <w:lang w:eastAsia="en-GB"/>
        </w:rPr>
      </w:pPr>
      <w:hyperlink w:anchor="_Toc127978468" w:history="1">
        <w:r w:rsidR="008F175A" w:rsidRPr="000F4F8F">
          <w:rPr>
            <w:rStyle w:val="Hyperlink"/>
            <w:noProof/>
          </w:rPr>
          <w:t>Figure 8</w:t>
        </w:r>
        <w:r w:rsidR="008F175A" w:rsidRPr="000F4F8F">
          <w:rPr>
            <w:rStyle w:val="Hyperlink"/>
            <w:rFonts w:cstheme="minorHAnsi"/>
            <w:noProof/>
          </w:rPr>
          <w:t>. An overview of participant workflow for all three parts of the SheffProUk study.</w:t>
        </w:r>
        <w:r w:rsidR="008F175A">
          <w:rPr>
            <w:noProof/>
            <w:webHidden/>
          </w:rPr>
          <w:tab/>
        </w:r>
        <w:r w:rsidR="008F175A">
          <w:rPr>
            <w:noProof/>
            <w:webHidden/>
          </w:rPr>
          <w:fldChar w:fldCharType="begin"/>
        </w:r>
        <w:r w:rsidR="008F175A">
          <w:rPr>
            <w:noProof/>
            <w:webHidden/>
          </w:rPr>
          <w:instrText xml:space="preserve"> PAGEREF _Toc127978468 \h </w:instrText>
        </w:r>
        <w:r w:rsidR="008F175A">
          <w:rPr>
            <w:noProof/>
            <w:webHidden/>
          </w:rPr>
        </w:r>
        <w:r w:rsidR="008F175A">
          <w:rPr>
            <w:noProof/>
            <w:webHidden/>
          </w:rPr>
          <w:fldChar w:fldCharType="separate"/>
        </w:r>
        <w:r w:rsidR="008F175A">
          <w:rPr>
            <w:noProof/>
            <w:webHidden/>
          </w:rPr>
          <w:t>77</w:t>
        </w:r>
        <w:r w:rsidR="008F175A">
          <w:rPr>
            <w:noProof/>
            <w:webHidden/>
          </w:rPr>
          <w:fldChar w:fldCharType="end"/>
        </w:r>
      </w:hyperlink>
    </w:p>
    <w:p w14:paraId="0DC3A335" w14:textId="7E8CBDF9" w:rsidR="008F175A" w:rsidRDefault="00EB542D" w:rsidP="008F175A">
      <w:pPr>
        <w:pStyle w:val="TableofFigures"/>
        <w:tabs>
          <w:tab w:val="right" w:leader="dot" w:pos="9010"/>
        </w:tabs>
        <w:spacing w:line="360" w:lineRule="auto"/>
        <w:rPr>
          <w:rFonts w:eastAsiaTheme="minorEastAsia"/>
          <w:noProof/>
          <w:lang w:eastAsia="en-GB"/>
        </w:rPr>
      </w:pPr>
      <w:hyperlink w:anchor="_Toc127978469" w:history="1">
        <w:r w:rsidR="008F175A" w:rsidRPr="000F4F8F">
          <w:rPr>
            <w:rStyle w:val="Hyperlink"/>
            <w:noProof/>
          </w:rPr>
          <w:t>Figure 9</w:t>
        </w:r>
        <w:r w:rsidR="008F175A" w:rsidRPr="000F4F8F">
          <w:rPr>
            <w:rStyle w:val="Hyperlink"/>
            <w:rFonts w:cstheme="minorHAnsi"/>
            <w:noProof/>
          </w:rPr>
          <w:t>. Flow diagram to show dropout rates across the stages of the SheffProUK study.</w:t>
        </w:r>
        <w:r w:rsidR="008F175A">
          <w:rPr>
            <w:noProof/>
            <w:webHidden/>
          </w:rPr>
          <w:tab/>
        </w:r>
        <w:r w:rsidR="008F175A">
          <w:rPr>
            <w:noProof/>
            <w:webHidden/>
          </w:rPr>
          <w:fldChar w:fldCharType="begin"/>
        </w:r>
        <w:r w:rsidR="008F175A">
          <w:rPr>
            <w:noProof/>
            <w:webHidden/>
          </w:rPr>
          <w:instrText xml:space="preserve"> PAGEREF _Toc127978469 \h </w:instrText>
        </w:r>
        <w:r w:rsidR="008F175A">
          <w:rPr>
            <w:noProof/>
            <w:webHidden/>
          </w:rPr>
        </w:r>
        <w:r w:rsidR="008F175A">
          <w:rPr>
            <w:noProof/>
            <w:webHidden/>
          </w:rPr>
          <w:fldChar w:fldCharType="separate"/>
        </w:r>
        <w:r w:rsidR="008F175A">
          <w:rPr>
            <w:noProof/>
            <w:webHidden/>
          </w:rPr>
          <w:t>81</w:t>
        </w:r>
        <w:r w:rsidR="008F175A">
          <w:rPr>
            <w:noProof/>
            <w:webHidden/>
          </w:rPr>
          <w:fldChar w:fldCharType="end"/>
        </w:r>
      </w:hyperlink>
    </w:p>
    <w:p w14:paraId="2558ECF7" w14:textId="43108E4A" w:rsidR="008F175A" w:rsidRDefault="00EB542D" w:rsidP="008F175A">
      <w:pPr>
        <w:pStyle w:val="TableofFigures"/>
        <w:tabs>
          <w:tab w:val="right" w:leader="dot" w:pos="9010"/>
        </w:tabs>
        <w:spacing w:line="360" w:lineRule="auto"/>
        <w:rPr>
          <w:rFonts w:eastAsiaTheme="minorEastAsia"/>
          <w:noProof/>
          <w:lang w:eastAsia="en-GB"/>
        </w:rPr>
      </w:pPr>
      <w:hyperlink w:anchor="_Toc127978470" w:history="1">
        <w:r w:rsidR="008F175A" w:rsidRPr="000F4F8F">
          <w:rPr>
            <w:rStyle w:val="Hyperlink"/>
            <w:noProof/>
          </w:rPr>
          <w:t xml:space="preserve">Figure 10. </w:t>
        </w:r>
        <w:r w:rsidR="008F175A" w:rsidRPr="000F4F8F">
          <w:rPr>
            <w:rStyle w:val="Hyperlink"/>
            <w:rFonts w:cstheme="minorHAnsi"/>
            <w:noProof/>
          </w:rPr>
          <w:t>The number of participants who fall into each age category.</w:t>
        </w:r>
        <w:r w:rsidR="008F175A">
          <w:rPr>
            <w:noProof/>
            <w:webHidden/>
          </w:rPr>
          <w:tab/>
        </w:r>
        <w:r w:rsidR="008F175A">
          <w:rPr>
            <w:noProof/>
            <w:webHidden/>
          </w:rPr>
          <w:fldChar w:fldCharType="begin"/>
        </w:r>
        <w:r w:rsidR="008F175A">
          <w:rPr>
            <w:noProof/>
            <w:webHidden/>
          </w:rPr>
          <w:instrText xml:space="preserve"> PAGEREF _Toc127978470 \h </w:instrText>
        </w:r>
        <w:r w:rsidR="008F175A">
          <w:rPr>
            <w:noProof/>
            <w:webHidden/>
          </w:rPr>
        </w:r>
        <w:r w:rsidR="008F175A">
          <w:rPr>
            <w:noProof/>
            <w:webHidden/>
          </w:rPr>
          <w:fldChar w:fldCharType="separate"/>
        </w:r>
        <w:r w:rsidR="008F175A">
          <w:rPr>
            <w:noProof/>
            <w:webHidden/>
          </w:rPr>
          <w:t>82</w:t>
        </w:r>
        <w:r w:rsidR="008F175A">
          <w:rPr>
            <w:noProof/>
            <w:webHidden/>
          </w:rPr>
          <w:fldChar w:fldCharType="end"/>
        </w:r>
      </w:hyperlink>
    </w:p>
    <w:p w14:paraId="5F8788DC" w14:textId="3259C52E" w:rsidR="008F175A" w:rsidRDefault="00EB542D" w:rsidP="008F175A">
      <w:pPr>
        <w:pStyle w:val="TableofFigures"/>
        <w:tabs>
          <w:tab w:val="right" w:leader="dot" w:pos="9010"/>
        </w:tabs>
        <w:spacing w:line="360" w:lineRule="auto"/>
        <w:rPr>
          <w:rFonts w:eastAsiaTheme="minorEastAsia"/>
          <w:noProof/>
          <w:lang w:eastAsia="en-GB"/>
        </w:rPr>
      </w:pPr>
      <w:hyperlink w:anchor="_Toc127978471" w:history="1">
        <w:r w:rsidR="008F175A" w:rsidRPr="000F4F8F">
          <w:rPr>
            <w:rStyle w:val="Hyperlink"/>
            <w:noProof/>
          </w:rPr>
          <w:t>Figure 11</w:t>
        </w:r>
        <w:r w:rsidR="008F175A" w:rsidRPr="000F4F8F">
          <w:rPr>
            <w:rStyle w:val="Hyperlink"/>
            <w:rFonts w:cstheme="minorHAnsi"/>
            <w:noProof/>
          </w:rPr>
          <w:t>. ROC at cut-off point 0.75g.kg BM/d.</w:t>
        </w:r>
        <w:r w:rsidR="008F175A">
          <w:rPr>
            <w:noProof/>
            <w:webHidden/>
          </w:rPr>
          <w:tab/>
        </w:r>
        <w:r w:rsidR="008F175A">
          <w:rPr>
            <w:noProof/>
            <w:webHidden/>
          </w:rPr>
          <w:fldChar w:fldCharType="begin"/>
        </w:r>
        <w:r w:rsidR="008F175A">
          <w:rPr>
            <w:noProof/>
            <w:webHidden/>
          </w:rPr>
          <w:instrText xml:space="preserve"> PAGEREF _Toc127978471 \h </w:instrText>
        </w:r>
        <w:r w:rsidR="008F175A">
          <w:rPr>
            <w:noProof/>
            <w:webHidden/>
          </w:rPr>
        </w:r>
        <w:r w:rsidR="008F175A">
          <w:rPr>
            <w:noProof/>
            <w:webHidden/>
          </w:rPr>
          <w:fldChar w:fldCharType="separate"/>
        </w:r>
        <w:r w:rsidR="008F175A">
          <w:rPr>
            <w:noProof/>
            <w:webHidden/>
          </w:rPr>
          <w:t>86</w:t>
        </w:r>
        <w:r w:rsidR="008F175A">
          <w:rPr>
            <w:noProof/>
            <w:webHidden/>
          </w:rPr>
          <w:fldChar w:fldCharType="end"/>
        </w:r>
      </w:hyperlink>
    </w:p>
    <w:p w14:paraId="6D9A448C" w14:textId="0F0B5249" w:rsidR="008F175A" w:rsidRDefault="00EB542D" w:rsidP="008F175A">
      <w:pPr>
        <w:pStyle w:val="TableofFigures"/>
        <w:tabs>
          <w:tab w:val="right" w:leader="dot" w:pos="9010"/>
        </w:tabs>
        <w:spacing w:line="360" w:lineRule="auto"/>
        <w:rPr>
          <w:rFonts w:eastAsiaTheme="minorEastAsia"/>
          <w:noProof/>
          <w:lang w:eastAsia="en-GB"/>
        </w:rPr>
      </w:pPr>
      <w:hyperlink w:anchor="_Toc127978472" w:history="1">
        <w:r w:rsidR="008F175A" w:rsidRPr="000F4F8F">
          <w:rPr>
            <w:rStyle w:val="Hyperlink"/>
            <w:rFonts w:cstheme="minorHAnsi"/>
            <w:noProof/>
          </w:rPr>
          <w:t>Figure 12. ROC at cut-off 1g/kg BM/d.</w:t>
        </w:r>
        <w:r w:rsidR="008F175A">
          <w:rPr>
            <w:noProof/>
            <w:webHidden/>
          </w:rPr>
          <w:tab/>
        </w:r>
        <w:r w:rsidR="008F175A">
          <w:rPr>
            <w:noProof/>
            <w:webHidden/>
          </w:rPr>
          <w:fldChar w:fldCharType="begin"/>
        </w:r>
        <w:r w:rsidR="008F175A">
          <w:rPr>
            <w:noProof/>
            <w:webHidden/>
          </w:rPr>
          <w:instrText xml:space="preserve"> PAGEREF _Toc127978472 \h </w:instrText>
        </w:r>
        <w:r w:rsidR="008F175A">
          <w:rPr>
            <w:noProof/>
            <w:webHidden/>
          </w:rPr>
        </w:r>
        <w:r w:rsidR="008F175A">
          <w:rPr>
            <w:noProof/>
            <w:webHidden/>
          </w:rPr>
          <w:fldChar w:fldCharType="separate"/>
        </w:r>
        <w:r w:rsidR="008F175A">
          <w:rPr>
            <w:noProof/>
            <w:webHidden/>
          </w:rPr>
          <w:t>87</w:t>
        </w:r>
        <w:r w:rsidR="008F175A">
          <w:rPr>
            <w:noProof/>
            <w:webHidden/>
          </w:rPr>
          <w:fldChar w:fldCharType="end"/>
        </w:r>
      </w:hyperlink>
    </w:p>
    <w:p w14:paraId="5244ACE3" w14:textId="4A0FE990" w:rsidR="008F175A" w:rsidRDefault="00EB542D" w:rsidP="008F175A">
      <w:pPr>
        <w:pStyle w:val="TableofFigures"/>
        <w:tabs>
          <w:tab w:val="right" w:leader="dot" w:pos="9010"/>
        </w:tabs>
        <w:spacing w:line="360" w:lineRule="auto"/>
        <w:rPr>
          <w:rFonts w:eastAsiaTheme="minorEastAsia"/>
          <w:noProof/>
          <w:lang w:eastAsia="en-GB"/>
        </w:rPr>
      </w:pPr>
      <w:hyperlink w:anchor="_Toc127978473" w:history="1">
        <w:r w:rsidR="008F175A" w:rsidRPr="000F4F8F">
          <w:rPr>
            <w:rStyle w:val="Hyperlink"/>
            <w:rFonts w:cstheme="minorHAnsi"/>
            <w:noProof/>
          </w:rPr>
          <w:t>Figure 13. ROC at cut-off 1.2g/kg BM.</w:t>
        </w:r>
        <w:r w:rsidR="008F175A">
          <w:rPr>
            <w:noProof/>
            <w:webHidden/>
          </w:rPr>
          <w:tab/>
        </w:r>
        <w:r w:rsidR="008F175A">
          <w:rPr>
            <w:noProof/>
            <w:webHidden/>
          </w:rPr>
          <w:fldChar w:fldCharType="begin"/>
        </w:r>
        <w:r w:rsidR="008F175A">
          <w:rPr>
            <w:noProof/>
            <w:webHidden/>
          </w:rPr>
          <w:instrText xml:space="preserve"> PAGEREF _Toc127978473 \h </w:instrText>
        </w:r>
        <w:r w:rsidR="008F175A">
          <w:rPr>
            <w:noProof/>
            <w:webHidden/>
          </w:rPr>
        </w:r>
        <w:r w:rsidR="008F175A">
          <w:rPr>
            <w:noProof/>
            <w:webHidden/>
          </w:rPr>
          <w:fldChar w:fldCharType="separate"/>
        </w:r>
        <w:r w:rsidR="008F175A">
          <w:rPr>
            <w:noProof/>
            <w:webHidden/>
          </w:rPr>
          <w:t>87</w:t>
        </w:r>
        <w:r w:rsidR="008F175A">
          <w:rPr>
            <w:noProof/>
            <w:webHidden/>
          </w:rPr>
          <w:fldChar w:fldCharType="end"/>
        </w:r>
      </w:hyperlink>
    </w:p>
    <w:p w14:paraId="2FA96E63" w14:textId="72742ACA" w:rsidR="008F175A" w:rsidRDefault="00EB542D" w:rsidP="008F175A">
      <w:pPr>
        <w:pStyle w:val="TableofFigures"/>
        <w:tabs>
          <w:tab w:val="right" w:leader="dot" w:pos="9010"/>
        </w:tabs>
        <w:spacing w:line="360" w:lineRule="auto"/>
        <w:rPr>
          <w:rFonts w:eastAsiaTheme="minorEastAsia"/>
          <w:noProof/>
          <w:lang w:eastAsia="en-GB"/>
        </w:rPr>
      </w:pPr>
      <w:hyperlink w:anchor="_Toc127978474" w:history="1">
        <w:r w:rsidR="008F175A" w:rsidRPr="000F4F8F">
          <w:rPr>
            <w:rStyle w:val="Hyperlink"/>
            <w:rFonts w:cstheme="minorHAnsi"/>
            <w:noProof/>
          </w:rPr>
          <w:t>Figure 14. Normality checks using histograms for protein intakes across all participants included in the analysis (n=306).</w:t>
        </w:r>
        <w:r w:rsidR="008F175A">
          <w:rPr>
            <w:noProof/>
            <w:webHidden/>
          </w:rPr>
          <w:tab/>
        </w:r>
        <w:r w:rsidR="008F175A">
          <w:rPr>
            <w:noProof/>
            <w:webHidden/>
          </w:rPr>
          <w:fldChar w:fldCharType="begin"/>
        </w:r>
        <w:r w:rsidR="008F175A">
          <w:rPr>
            <w:noProof/>
            <w:webHidden/>
          </w:rPr>
          <w:instrText xml:space="preserve"> PAGEREF _Toc127978474 \h </w:instrText>
        </w:r>
        <w:r w:rsidR="008F175A">
          <w:rPr>
            <w:noProof/>
            <w:webHidden/>
          </w:rPr>
        </w:r>
        <w:r w:rsidR="008F175A">
          <w:rPr>
            <w:noProof/>
            <w:webHidden/>
          </w:rPr>
          <w:fldChar w:fldCharType="separate"/>
        </w:r>
        <w:r w:rsidR="008F175A">
          <w:rPr>
            <w:noProof/>
            <w:webHidden/>
          </w:rPr>
          <w:t>101</w:t>
        </w:r>
        <w:r w:rsidR="008F175A">
          <w:rPr>
            <w:noProof/>
            <w:webHidden/>
          </w:rPr>
          <w:fldChar w:fldCharType="end"/>
        </w:r>
      </w:hyperlink>
    </w:p>
    <w:p w14:paraId="11FC915A" w14:textId="69B07108" w:rsidR="008F175A" w:rsidRDefault="00EB542D" w:rsidP="008F175A">
      <w:pPr>
        <w:pStyle w:val="TableofFigures"/>
        <w:tabs>
          <w:tab w:val="right" w:leader="dot" w:pos="9010"/>
        </w:tabs>
        <w:spacing w:line="360" w:lineRule="auto"/>
        <w:rPr>
          <w:rFonts w:eastAsiaTheme="minorEastAsia"/>
          <w:noProof/>
          <w:lang w:eastAsia="en-GB"/>
        </w:rPr>
      </w:pPr>
      <w:hyperlink w:anchor="_Toc127978475" w:history="1">
        <w:r w:rsidR="008F175A" w:rsidRPr="000F4F8F">
          <w:rPr>
            <w:rStyle w:val="Hyperlink"/>
            <w:rFonts w:cstheme="minorHAnsi"/>
            <w:noProof/>
          </w:rPr>
          <w:t>Figure 15. Normality checks using histograms for protein knowledge scores (out of 24) across all participants in the analysis (n=306).</w:t>
        </w:r>
        <w:r w:rsidR="008F175A">
          <w:rPr>
            <w:noProof/>
            <w:webHidden/>
          </w:rPr>
          <w:tab/>
        </w:r>
        <w:r w:rsidR="008F175A">
          <w:rPr>
            <w:noProof/>
            <w:webHidden/>
          </w:rPr>
          <w:fldChar w:fldCharType="begin"/>
        </w:r>
        <w:r w:rsidR="008F175A">
          <w:rPr>
            <w:noProof/>
            <w:webHidden/>
          </w:rPr>
          <w:instrText xml:space="preserve"> PAGEREF _Toc127978475 \h </w:instrText>
        </w:r>
        <w:r w:rsidR="008F175A">
          <w:rPr>
            <w:noProof/>
            <w:webHidden/>
          </w:rPr>
        </w:r>
        <w:r w:rsidR="008F175A">
          <w:rPr>
            <w:noProof/>
            <w:webHidden/>
          </w:rPr>
          <w:fldChar w:fldCharType="separate"/>
        </w:r>
        <w:r w:rsidR="008F175A">
          <w:rPr>
            <w:noProof/>
            <w:webHidden/>
          </w:rPr>
          <w:t>101</w:t>
        </w:r>
        <w:r w:rsidR="008F175A">
          <w:rPr>
            <w:noProof/>
            <w:webHidden/>
          </w:rPr>
          <w:fldChar w:fldCharType="end"/>
        </w:r>
      </w:hyperlink>
    </w:p>
    <w:p w14:paraId="2160E4D1" w14:textId="10D678D5" w:rsidR="008F175A" w:rsidRDefault="00EB542D" w:rsidP="008F175A">
      <w:pPr>
        <w:pStyle w:val="TableofFigures"/>
        <w:tabs>
          <w:tab w:val="right" w:leader="dot" w:pos="9010"/>
        </w:tabs>
        <w:spacing w:line="360" w:lineRule="auto"/>
        <w:rPr>
          <w:rFonts w:eastAsiaTheme="minorEastAsia"/>
          <w:noProof/>
          <w:lang w:eastAsia="en-GB"/>
        </w:rPr>
      </w:pPr>
      <w:hyperlink w:anchor="_Toc127978476" w:history="1">
        <w:r w:rsidR="008F175A" w:rsidRPr="000F4F8F">
          <w:rPr>
            <w:rStyle w:val="Hyperlink"/>
            <w:rFonts w:cstheme="minorHAnsi"/>
            <w:noProof/>
          </w:rPr>
          <w:t>Figure 16. Percentage correct, incorrect or not sure for each individual question used to calculate protein knowledge scores (excluding question 3).</w:t>
        </w:r>
        <w:r w:rsidR="008F175A">
          <w:rPr>
            <w:noProof/>
            <w:webHidden/>
          </w:rPr>
          <w:tab/>
        </w:r>
        <w:r w:rsidR="008F175A">
          <w:rPr>
            <w:noProof/>
            <w:webHidden/>
          </w:rPr>
          <w:fldChar w:fldCharType="begin"/>
        </w:r>
        <w:r w:rsidR="008F175A">
          <w:rPr>
            <w:noProof/>
            <w:webHidden/>
          </w:rPr>
          <w:instrText xml:space="preserve"> PAGEREF _Toc127978476 \h </w:instrText>
        </w:r>
        <w:r w:rsidR="008F175A">
          <w:rPr>
            <w:noProof/>
            <w:webHidden/>
          </w:rPr>
        </w:r>
        <w:r w:rsidR="008F175A">
          <w:rPr>
            <w:noProof/>
            <w:webHidden/>
          </w:rPr>
          <w:fldChar w:fldCharType="separate"/>
        </w:r>
        <w:r w:rsidR="008F175A">
          <w:rPr>
            <w:noProof/>
            <w:webHidden/>
          </w:rPr>
          <w:t>103</w:t>
        </w:r>
        <w:r w:rsidR="008F175A">
          <w:rPr>
            <w:noProof/>
            <w:webHidden/>
          </w:rPr>
          <w:fldChar w:fldCharType="end"/>
        </w:r>
      </w:hyperlink>
    </w:p>
    <w:p w14:paraId="1D36E578" w14:textId="07B0E2B6" w:rsidR="008F175A" w:rsidRDefault="00EB542D" w:rsidP="008F175A">
      <w:pPr>
        <w:pStyle w:val="TableofFigures"/>
        <w:tabs>
          <w:tab w:val="right" w:leader="dot" w:pos="9010"/>
        </w:tabs>
        <w:spacing w:line="360" w:lineRule="auto"/>
        <w:rPr>
          <w:rFonts w:eastAsiaTheme="minorEastAsia"/>
          <w:noProof/>
          <w:lang w:eastAsia="en-GB"/>
        </w:rPr>
      </w:pPr>
      <w:hyperlink w:anchor="_Toc127978477" w:history="1">
        <w:r w:rsidR="008F175A" w:rsidRPr="000F4F8F">
          <w:rPr>
            <w:rStyle w:val="Hyperlink"/>
            <w:noProof/>
          </w:rPr>
          <w:t>Figure 17</w:t>
        </w:r>
        <w:r w:rsidR="008F175A" w:rsidRPr="000F4F8F">
          <w:rPr>
            <w:rStyle w:val="Hyperlink"/>
            <w:rFonts w:cstheme="minorHAnsi"/>
            <w:noProof/>
          </w:rPr>
          <w:t xml:space="preserve">. </w:t>
        </w:r>
        <w:r w:rsidR="008F175A" w:rsidRPr="000F4F8F">
          <w:rPr>
            <w:rStyle w:val="Hyperlink"/>
            <w:rFonts w:eastAsia="Times New Roman" w:cstheme="minorHAnsi"/>
            <w:noProof/>
            <w:lang w:eastAsia="en-GB"/>
          </w:rPr>
          <w:t>OMNI-RISE scale which was used to rate the intensity of the resistance exercise session, after the workout, and provided in their log books.</w:t>
        </w:r>
        <w:r w:rsidR="008F175A">
          <w:rPr>
            <w:noProof/>
            <w:webHidden/>
          </w:rPr>
          <w:tab/>
        </w:r>
        <w:r w:rsidR="008F175A">
          <w:rPr>
            <w:noProof/>
            <w:webHidden/>
          </w:rPr>
          <w:fldChar w:fldCharType="begin"/>
        </w:r>
        <w:r w:rsidR="008F175A">
          <w:rPr>
            <w:noProof/>
            <w:webHidden/>
          </w:rPr>
          <w:instrText xml:space="preserve"> PAGEREF _Toc127978477 \h </w:instrText>
        </w:r>
        <w:r w:rsidR="008F175A">
          <w:rPr>
            <w:noProof/>
            <w:webHidden/>
          </w:rPr>
        </w:r>
        <w:r w:rsidR="008F175A">
          <w:rPr>
            <w:noProof/>
            <w:webHidden/>
          </w:rPr>
          <w:fldChar w:fldCharType="separate"/>
        </w:r>
        <w:r w:rsidR="008F175A">
          <w:rPr>
            <w:noProof/>
            <w:webHidden/>
          </w:rPr>
          <w:t>120</w:t>
        </w:r>
        <w:r w:rsidR="008F175A">
          <w:rPr>
            <w:noProof/>
            <w:webHidden/>
          </w:rPr>
          <w:fldChar w:fldCharType="end"/>
        </w:r>
      </w:hyperlink>
    </w:p>
    <w:p w14:paraId="5E0DE144" w14:textId="3FB0628C" w:rsidR="008F175A" w:rsidRDefault="00EB542D" w:rsidP="008F175A">
      <w:pPr>
        <w:pStyle w:val="TableofFigures"/>
        <w:tabs>
          <w:tab w:val="right" w:leader="dot" w:pos="9010"/>
        </w:tabs>
        <w:spacing w:line="360" w:lineRule="auto"/>
        <w:rPr>
          <w:rFonts w:eastAsiaTheme="minorEastAsia"/>
          <w:noProof/>
          <w:lang w:eastAsia="en-GB"/>
        </w:rPr>
      </w:pPr>
      <w:hyperlink w:anchor="_Toc127978478" w:history="1">
        <w:r w:rsidR="008F175A" w:rsidRPr="000F4F8F">
          <w:rPr>
            <w:rStyle w:val="Hyperlink"/>
            <w:noProof/>
          </w:rPr>
          <w:t>Figure 18</w:t>
        </w:r>
        <w:r w:rsidR="008F175A" w:rsidRPr="000F4F8F">
          <w:rPr>
            <w:rStyle w:val="Hyperlink"/>
            <w:rFonts w:cstheme="minorHAnsi"/>
            <w:noProof/>
          </w:rPr>
          <w:t>. REMEND feasibility trial study design.</w:t>
        </w:r>
        <w:r w:rsidR="008F175A">
          <w:rPr>
            <w:noProof/>
            <w:webHidden/>
          </w:rPr>
          <w:tab/>
        </w:r>
        <w:r w:rsidR="008F175A">
          <w:rPr>
            <w:noProof/>
            <w:webHidden/>
          </w:rPr>
          <w:fldChar w:fldCharType="begin"/>
        </w:r>
        <w:r w:rsidR="008F175A">
          <w:rPr>
            <w:noProof/>
            <w:webHidden/>
          </w:rPr>
          <w:instrText xml:space="preserve"> PAGEREF _Toc127978478 \h </w:instrText>
        </w:r>
        <w:r w:rsidR="008F175A">
          <w:rPr>
            <w:noProof/>
            <w:webHidden/>
          </w:rPr>
        </w:r>
        <w:r w:rsidR="008F175A">
          <w:rPr>
            <w:noProof/>
            <w:webHidden/>
          </w:rPr>
          <w:fldChar w:fldCharType="separate"/>
        </w:r>
        <w:r w:rsidR="008F175A">
          <w:rPr>
            <w:noProof/>
            <w:webHidden/>
          </w:rPr>
          <w:t>121</w:t>
        </w:r>
        <w:r w:rsidR="008F175A">
          <w:rPr>
            <w:noProof/>
            <w:webHidden/>
          </w:rPr>
          <w:fldChar w:fldCharType="end"/>
        </w:r>
      </w:hyperlink>
    </w:p>
    <w:p w14:paraId="5587E224" w14:textId="3C3DAA04" w:rsidR="008F175A" w:rsidRDefault="00EB542D" w:rsidP="008F175A">
      <w:pPr>
        <w:pStyle w:val="TableofFigures"/>
        <w:tabs>
          <w:tab w:val="right" w:leader="dot" w:pos="9010"/>
        </w:tabs>
        <w:spacing w:line="360" w:lineRule="auto"/>
        <w:rPr>
          <w:rFonts w:eastAsiaTheme="minorEastAsia"/>
          <w:noProof/>
          <w:lang w:eastAsia="en-GB"/>
        </w:rPr>
      </w:pPr>
      <w:hyperlink w:anchor="_Toc127978479" w:history="1">
        <w:r w:rsidR="008F175A" w:rsidRPr="000F4F8F">
          <w:rPr>
            <w:rStyle w:val="Hyperlink"/>
            <w:rFonts w:cstheme="minorHAnsi"/>
            <w:noProof/>
          </w:rPr>
          <w:t>Figure 19. Flow diagram to show participant enrolment dropout rates across the stages of the recruitment process.</w:t>
        </w:r>
        <w:r w:rsidR="008F175A">
          <w:rPr>
            <w:noProof/>
            <w:webHidden/>
          </w:rPr>
          <w:tab/>
        </w:r>
        <w:r w:rsidR="008F175A">
          <w:rPr>
            <w:noProof/>
            <w:webHidden/>
          </w:rPr>
          <w:fldChar w:fldCharType="begin"/>
        </w:r>
        <w:r w:rsidR="008F175A">
          <w:rPr>
            <w:noProof/>
            <w:webHidden/>
          </w:rPr>
          <w:instrText xml:space="preserve"> PAGEREF _Toc127978479 \h </w:instrText>
        </w:r>
        <w:r w:rsidR="008F175A">
          <w:rPr>
            <w:noProof/>
            <w:webHidden/>
          </w:rPr>
        </w:r>
        <w:r w:rsidR="008F175A">
          <w:rPr>
            <w:noProof/>
            <w:webHidden/>
          </w:rPr>
          <w:fldChar w:fldCharType="separate"/>
        </w:r>
        <w:r w:rsidR="008F175A">
          <w:rPr>
            <w:noProof/>
            <w:webHidden/>
          </w:rPr>
          <w:t>136</w:t>
        </w:r>
        <w:r w:rsidR="008F175A">
          <w:rPr>
            <w:noProof/>
            <w:webHidden/>
          </w:rPr>
          <w:fldChar w:fldCharType="end"/>
        </w:r>
      </w:hyperlink>
    </w:p>
    <w:p w14:paraId="58FB6342" w14:textId="365018B0" w:rsidR="008F175A" w:rsidRDefault="00EB542D" w:rsidP="008F175A">
      <w:pPr>
        <w:pStyle w:val="TableofFigures"/>
        <w:tabs>
          <w:tab w:val="right" w:leader="dot" w:pos="9010"/>
        </w:tabs>
        <w:spacing w:line="360" w:lineRule="auto"/>
        <w:rPr>
          <w:rFonts w:eastAsiaTheme="minorEastAsia"/>
          <w:noProof/>
          <w:lang w:eastAsia="en-GB"/>
        </w:rPr>
      </w:pPr>
      <w:hyperlink w:anchor="_Toc127978480" w:history="1">
        <w:r w:rsidR="008F175A" w:rsidRPr="000F4F8F">
          <w:rPr>
            <w:rStyle w:val="Hyperlink"/>
            <w:rFonts w:cstheme="minorHAnsi"/>
            <w:noProof/>
          </w:rPr>
          <w:t>Figure 20. Individual participant OMNI-rise RPE scores across the 6-week programme, reported in their logbooks.</w:t>
        </w:r>
        <w:r w:rsidR="008F175A">
          <w:rPr>
            <w:noProof/>
            <w:webHidden/>
          </w:rPr>
          <w:tab/>
        </w:r>
        <w:r w:rsidR="008F175A">
          <w:rPr>
            <w:noProof/>
            <w:webHidden/>
          </w:rPr>
          <w:fldChar w:fldCharType="begin"/>
        </w:r>
        <w:r w:rsidR="008F175A">
          <w:rPr>
            <w:noProof/>
            <w:webHidden/>
          </w:rPr>
          <w:instrText xml:space="preserve"> PAGEREF _Toc127978480 \h </w:instrText>
        </w:r>
        <w:r w:rsidR="008F175A">
          <w:rPr>
            <w:noProof/>
            <w:webHidden/>
          </w:rPr>
        </w:r>
        <w:r w:rsidR="008F175A">
          <w:rPr>
            <w:noProof/>
            <w:webHidden/>
          </w:rPr>
          <w:fldChar w:fldCharType="separate"/>
        </w:r>
        <w:r w:rsidR="008F175A">
          <w:rPr>
            <w:noProof/>
            <w:webHidden/>
          </w:rPr>
          <w:t>138</w:t>
        </w:r>
        <w:r w:rsidR="008F175A">
          <w:rPr>
            <w:noProof/>
            <w:webHidden/>
          </w:rPr>
          <w:fldChar w:fldCharType="end"/>
        </w:r>
      </w:hyperlink>
    </w:p>
    <w:p w14:paraId="3F1BAF32" w14:textId="78C210AB" w:rsidR="008F175A" w:rsidRDefault="00EB542D" w:rsidP="008F175A">
      <w:pPr>
        <w:pStyle w:val="TableofFigures"/>
        <w:tabs>
          <w:tab w:val="right" w:leader="dot" w:pos="9010"/>
        </w:tabs>
        <w:spacing w:line="360" w:lineRule="auto"/>
        <w:rPr>
          <w:rFonts w:eastAsiaTheme="minorEastAsia"/>
          <w:noProof/>
          <w:lang w:eastAsia="en-GB"/>
        </w:rPr>
      </w:pPr>
      <w:hyperlink w:anchor="_Toc127978481" w:history="1">
        <w:r w:rsidR="008F175A" w:rsidRPr="000F4F8F">
          <w:rPr>
            <w:rStyle w:val="Hyperlink"/>
            <w:rFonts w:cstheme="minorHAnsi"/>
            <w:noProof/>
          </w:rPr>
          <w:t>Figure 21. Protein intakes, dependent on condition, for each stage of the trial.</w:t>
        </w:r>
        <w:r w:rsidR="008F175A">
          <w:rPr>
            <w:noProof/>
            <w:webHidden/>
          </w:rPr>
          <w:tab/>
        </w:r>
        <w:r w:rsidR="008F175A">
          <w:rPr>
            <w:noProof/>
            <w:webHidden/>
          </w:rPr>
          <w:fldChar w:fldCharType="begin"/>
        </w:r>
        <w:r w:rsidR="008F175A">
          <w:rPr>
            <w:noProof/>
            <w:webHidden/>
          </w:rPr>
          <w:instrText xml:space="preserve"> PAGEREF _Toc127978481 \h </w:instrText>
        </w:r>
        <w:r w:rsidR="008F175A">
          <w:rPr>
            <w:noProof/>
            <w:webHidden/>
          </w:rPr>
        </w:r>
        <w:r w:rsidR="008F175A">
          <w:rPr>
            <w:noProof/>
            <w:webHidden/>
          </w:rPr>
          <w:fldChar w:fldCharType="separate"/>
        </w:r>
        <w:r w:rsidR="008F175A">
          <w:rPr>
            <w:noProof/>
            <w:webHidden/>
          </w:rPr>
          <w:t>144</w:t>
        </w:r>
        <w:r w:rsidR="008F175A">
          <w:rPr>
            <w:noProof/>
            <w:webHidden/>
          </w:rPr>
          <w:fldChar w:fldCharType="end"/>
        </w:r>
      </w:hyperlink>
    </w:p>
    <w:p w14:paraId="241CF14D" w14:textId="1E4E5B93" w:rsidR="008F175A" w:rsidRDefault="00EB542D" w:rsidP="008F175A">
      <w:pPr>
        <w:pStyle w:val="TableofFigures"/>
        <w:tabs>
          <w:tab w:val="right" w:leader="dot" w:pos="9010"/>
        </w:tabs>
        <w:spacing w:line="360" w:lineRule="auto"/>
        <w:rPr>
          <w:rFonts w:eastAsiaTheme="minorEastAsia"/>
          <w:noProof/>
          <w:lang w:eastAsia="en-GB"/>
        </w:rPr>
      </w:pPr>
      <w:hyperlink w:anchor="_Toc127978482" w:history="1">
        <w:r w:rsidR="008F175A" w:rsidRPr="000F4F8F">
          <w:rPr>
            <w:rStyle w:val="Hyperlink"/>
            <w:rFonts w:cstheme="minorHAnsi"/>
            <w:noProof/>
          </w:rPr>
          <w:t>Figure 22. Individual participants reported RAPA scores pre and post-intervention.</w:t>
        </w:r>
        <w:r w:rsidR="008F175A">
          <w:rPr>
            <w:noProof/>
            <w:webHidden/>
          </w:rPr>
          <w:tab/>
        </w:r>
        <w:r w:rsidR="008F175A">
          <w:rPr>
            <w:noProof/>
            <w:webHidden/>
          </w:rPr>
          <w:fldChar w:fldCharType="begin"/>
        </w:r>
        <w:r w:rsidR="008F175A">
          <w:rPr>
            <w:noProof/>
            <w:webHidden/>
          </w:rPr>
          <w:instrText xml:space="preserve"> PAGEREF _Toc127978482 \h </w:instrText>
        </w:r>
        <w:r w:rsidR="008F175A">
          <w:rPr>
            <w:noProof/>
            <w:webHidden/>
          </w:rPr>
        </w:r>
        <w:r w:rsidR="008F175A">
          <w:rPr>
            <w:noProof/>
            <w:webHidden/>
          </w:rPr>
          <w:fldChar w:fldCharType="separate"/>
        </w:r>
        <w:r w:rsidR="008F175A">
          <w:rPr>
            <w:noProof/>
            <w:webHidden/>
          </w:rPr>
          <w:t>148</w:t>
        </w:r>
        <w:r w:rsidR="008F175A">
          <w:rPr>
            <w:noProof/>
            <w:webHidden/>
          </w:rPr>
          <w:fldChar w:fldCharType="end"/>
        </w:r>
      </w:hyperlink>
    </w:p>
    <w:p w14:paraId="0561CC2D" w14:textId="38959FCD" w:rsidR="008F175A" w:rsidRDefault="00EB542D" w:rsidP="008F175A">
      <w:pPr>
        <w:pStyle w:val="TableofFigures"/>
        <w:tabs>
          <w:tab w:val="right" w:leader="dot" w:pos="9010"/>
        </w:tabs>
        <w:spacing w:line="360" w:lineRule="auto"/>
        <w:rPr>
          <w:rFonts w:eastAsiaTheme="minorEastAsia"/>
          <w:noProof/>
          <w:lang w:eastAsia="en-GB"/>
        </w:rPr>
      </w:pPr>
      <w:hyperlink w:anchor="_Toc127978483" w:history="1">
        <w:r w:rsidR="008F175A" w:rsidRPr="000F4F8F">
          <w:rPr>
            <w:rStyle w:val="Hyperlink"/>
            <w:rFonts w:cstheme="minorHAnsi"/>
            <w:noProof/>
          </w:rPr>
          <w:t>Figure 23. Three protein strategies to test in the preliminary trial phase.</w:t>
        </w:r>
        <w:r w:rsidR="008F175A">
          <w:rPr>
            <w:noProof/>
            <w:webHidden/>
          </w:rPr>
          <w:tab/>
        </w:r>
        <w:r w:rsidR="008F175A">
          <w:rPr>
            <w:noProof/>
            <w:webHidden/>
          </w:rPr>
          <w:fldChar w:fldCharType="begin"/>
        </w:r>
        <w:r w:rsidR="008F175A">
          <w:rPr>
            <w:noProof/>
            <w:webHidden/>
          </w:rPr>
          <w:instrText xml:space="preserve"> PAGEREF _Toc127978483 \h </w:instrText>
        </w:r>
        <w:r w:rsidR="008F175A">
          <w:rPr>
            <w:noProof/>
            <w:webHidden/>
          </w:rPr>
        </w:r>
        <w:r w:rsidR="008F175A">
          <w:rPr>
            <w:noProof/>
            <w:webHidden/>
          </w:rPr>
          <w:fldChar w:fldCharType="separate"/>
        </w:r>
        <w:r w:rsidR="008F175A">
          <w:rPr>
            <w:noProof/>
            <w:webHidden/>
          </w:rPr>
          <w:t>189</w:t>
        </w:r>
        <w:r w:rsidR="008F175A">
          <w:rPr>
            <w:noProof/>
            <w:webHidden/>
          </w:rPr>
          <w:fldChar w:fldCharType="end"/>
        </w:r>
      </w:hyperlink>
    </w:p>
    <w:p w14:paraId="13E28C7A" w14:textId="2A0DA0E2" w:rsidR="008F175A" w:rsidRDefault="00EB542D" w:rsidP="008F175A">
      <w:pPr>
        <w:pStyle w:val="TableofFigures"/>
        <w:tabs>
          <w:tab w:val="right" w:leader="dot" w:pos="9010"/>
        </w:tabs>
        <w:spacing w:line="360" w:lineRule="auto"/>
        <w:rPr>
          <w:rFonts w:eastAsiaTheme="minorEastAsia"/>
          <w:noProof/>
          <w:lang w:eastAsia="en-GB"/>
        </w:rPr>
      </w:pPr>
      <w:hyperlink w:anchor="_Toc127978484" w:history="1">
        <w:r w:rsidR="008F175A" w:rsidRPr="000F4F8F">
          <w:rPr>
            <w:rStyle w:val="Hyperlink"/>
            <w:rFonts w:cstheme="minorHAnsi"/>
            <w:noProof/>
          </w:rPr>
          <w:t>Figure 24. The preliminary cross-over trial design to test three different protein strategies.</w:t>
        </w:r>
        <w:r w:rsidR="008F175A">
          <w:rPr>
            <w:noProof/>
            <w:webHidden/>
          </w:rPr>
          <w:tab/>
        </w:r>
        <w:r w:rsidR="008F175A">
          <w:rPr>
            <w:noProof/>
            <w:webHidden/>
          </w:rPr>
          <w:fldChar w:fldCharType="begin"/>
        </w:r>
        <w:r w:rsidR="008F175A">
          <w:rPr>
            <w:noProof/>
            <w:webHidden/>
          </w:rPr>
          <w:instrText xml:space="preserve"> PAGEREF _Toc127978484 \h </w:instrText>
        </w:r>
        <w:r w:rsidR="008F175A">
          <w:rPr>
            <w:noProof/>
            <w:webHidden/>
          </w:rPr>
        </w:r>
        <w:r w:rsidR="008F175A">
          <w:rPr>
            <w:noProof/>
            <w:webHidden/>
          </w:rPr>
          <w:fldChar w:fldCharType="separate"/>
        </w:r>
        <w:r w:rsidR="008F175A">
          <w:rPr>
            <w:noProof/>
            <w:webHidden/>
          </w:rPr>
          <w:t>190</w:t>
        </w:r>
        <w:r w:rsidR="008F175A">
          <w:rPr>
            <w:noProof/>
            <w:webHidden/>
          </w:rPr>
          <w:fldChar w:fldCharType="end"/>
        </w:r>
      </w:hyperlink>
    </w:p>
    <w:p w14:paraId="7533EBA6" w14:textId="6CC775D7" w:rsidR="008F175A" w:rsidRDefault="00EB542D" w:rsidP="008F175A">
      <w:pPr>
        <w:pStyle w:val="TableofFigures"/>
        <w:tabs>
          <w:tab w:val="right" w:leader="dot" w:pos="9010"/>
        </w:tabs>
        <w:spacing w:line="360" w:lineRule="auto"/>
        <w:rPr>
          <w:rFonts w:eastAsiaTheme="minorEastAsia"/>
          <w:noProof/>
          <w:lang w:eastAsia="en-GB"/>
        </w:rPr>
      </w:pPr>
      <w:hyperlink w:anchor="_Toc127978485" w:history="1">
        <w:r w:rsidR="008F175A" w:rsidRPr="000F4F8F">
          <w:rPr>
            <w:rStyle w:val="Hyperlink"/>
            <w:rFonts w:cstheme="minorHAnsi"/>
            <w:noProof/>
          </w:rPr>
          <w:t>Figure 25. Protocol pathway, study measurements and requirements for participants.</w:t>
        </w:r>
        <w:r w:rsidR="008F175A">
          <w:rPr>
            <w:noProof/>
            <w:webHidden/>
          </w:rPr>
          <w:tab/>
        </w:r>
        <w:r w:rsidR="008F175A">
          <w:rPr>
            <w:noProof/>
            <w:webHidden/>
          </w:rPr>
          <w:fldChar w:fldCharType="begin"/>
        </w:r>
        <w:r w:rsidR="008F175A">
          <w:rPr>
            <w:noProof/>
            <w:webHidden/>
          </w:rPr>
          <w:instrText xml:space="preserve"> PAGEREF _Toc127978485 \h </w:instrText>
        </w:r>
        <w:r w:rsidR="008F175A">
          <w:rPr>
            <w:noProof/>
            <w:webHidden/>
          </w:rPr>
        </w:r>
        <w:r w:rsidR="008F175A">
          <w:rPr>
            <w:noProof/>
            <w:webHidden/>
          </w:rPr>
          <w:fldChar w:fldCharType="separate"/>
        </w:r>
        <w:r w:rsidR="008F175A">
          <w:rPr>
            <w:noProof/>
            <w:webHidden/>
          </w:rPr>
          <w:t>200</w:t>
        </w:r>
        <w:r w:rsidR="008F175A">
          <w:rPr>
            <w:noProof/>
            <w:webHidden/>
          </w:rPr>
          <w:fldChar w:fldCharType="end"/>
        </w:r>
      </w:hyperlink>
    </w:p>
    <w:p w14:paraId="28C8E042" w14:textId="63E43C82" w:rsidR="00F42CB9" w:rsidRDefault="008F175A" w:rsidP="008F175A">
      <w:pPr>
        <w:pStyle w:val="Heading2"/>
        <w:spacing w:line="360" w:lineRule="auto"/>
        <w:rPr>
          <w:rFonts w:asciiTheme="minorHAnsi" w:hAnsiTheme="minorHAnsi" w:cstheme="minorHAnsi"/>
          <w:b/>
          <w:bCs/>
          <w:color w:val="000000" w:themeColor="text1"/>
          <w:sz w:val="24"/>
          <w:szCs w:val="24"/>
        </w:rPr>
      </w:pPr>
      <w:r>
        <w:rPr>
          <w:rFonts w:asciiTheme="minorHAnsi" w:eastAsiaTheme="minorHAnsi" w:hAnsiTheme="minorHAnsi" w:cstheme="minorHAnsi"/>
          <w:b/>
          <w:bCs/>
          <w:color w:val="000000" w:themeColor="text1"/>
          <w:sz w:val="24"/>
          <w:szCs w:val="24"/>
        </w:rPr>
        <w:fldChar w:fldCharType="end"/>
      </w:r>
    </w:p>
    <w:p w14:paraId="42A38E7B" w14:textId="5CBF52A6" w:rsidR="00F42CB9" w:rsidRDefault="00F42CB9" w:rsidP="00297538">
      <w:pPr>
        <w:pStyle w:val="Heading2"/>
        <w:spacing w:line="360" w:lineRule="auto"/>
        <w:rPr>
          <w:rFonts w:asciiTheme="minorHAnsi" w:hAnsiTheme="minorHAnsi" w:cstheme="minorHAnsi"/>
          <w:b/>
          <w:bCs/>
          <w:color w:val="000000" w:themeColor="text1"/>
          <w:sz w:val="24"/>
          <w:szCs w:val="24"/>
        </w:rPr>
      </w:pPr>
    </w:p>
    <w:p w14:paraId="32D29202" w14:textId="3CA70559" w:rsidR="00F42CB9" w:rsidRDefault="00F42CB9" w:rsidP="00297538">
      <w:pPr>
        <w:spacing w:line="360" w:lineRule="auto"/>
      </w:pPr>
      <w:r>
        <w:br w:type="page"/>
      </w:r>
    </w:p>
    <w:p w14:paraId="04502718" w14:textId="179DE39F" w:rsidR="00DD3D70" w:rsidRPr="00CA4ABC" w:rsidRDefault="00DD3D70" w:rsidP="00F42CB9">
      <w:pPr>
        <w:pStyle w:val="Heading2"/>
        <w:spacing w:line="360" w:lineRule="auto"/>
        <w:rPr>
          <w:rFonts w:asciiTheme="minorHAnsi" w:hAnsiTheme="minorHAnsi" w:cstheme="minorHAnsi"/>
          <w:b/>
          <w:bCs/>
          <w:color w:val="000000" w:themeColor="text1"/>
          <w:sz w:val="24"/>
          <w:szCs w:val="24"/>
        </w:rPr>
      </w:pPr>
      <w:bookmarkStart w:id="10" w:name="_Toc135384234"/>
      <w:r w:rsidRPr="00CA4ABC">
        <w:rPr>
          <w:rFonts w:asciiTheme="minorHAnsi" w:hAnsiTheme="minorHAnsi" w:cstheme="minorHAnsi"/>
          <w:b/>
          <w:bCs/>
          <w:color w:val="000000" w:themeColor="text1"/>
          <w:sz w:val="24"/>
          <w:szCs w:val="24"/>
        </w:rPr>
        <w:lastRenderedPageBreak/>
        <w:t>List of tables:</w:t>
      </w:r>
      <w:bookmarkEnd w:id="10"/>
    </w:p>
    <w:p w14:paraId="3C3409CE" w14:textId="1A2D377F" w:rsidR="004F4AF8" w:rsidRPr="00CA4ABC" w:rsidRDefault="004F4AF8" w:rsidP="00F42CB9">
      <w:pPr>
        <w:pStyle w:val="TableofFigures"/>
        <w:tabs>
          <w:tab w:val="right" w:leader="dot" w:pos="9010"/>
        </w:tabs>
        <w:spacing w:line="360" w:lineRule="auto"/>
        <w:rPr>
          <w:rFonts w:eastAsiaTheme="minorEastAsia" w:cstheme="minorHAnsi"/>
          <w:noProof/>
          <w:color w:val="000000" w:themeColor="text1"/>
          <w:lang w:eastAsia="en-GB"/>
        </w:rPr>
      </w:pPr>
      <w:r w:rsidRPr="00CA4ABC">
        <w:rPr>
          <w:rFonts w:cstheme="minorHAnsi"/>
          <w:color w:val="000000" w:themeColor="text1"/>
        </w:rPr>
        <w:fldChar w:fldCharType="begin"/>
      </w:r>
      <w:r w:rsidRPr="00CA4ABC">
        <w:rPr>
          <w:rFonts w:cstheme="minorHAnsi"/>
          <w:color w:val="000000" w:themeColor="text1"/>
        </w:rPr>
        <w:instrText xml:space="preserve"> TOC \h \z \c "Table" </w:instrText>
      </w:r>
      <w:r w:rsidRPr="00CA4ABC">
        <w:rPr>
          <w:rFonts w:cstheme="minorHAnsi"/>
          <w:color w:val="000000" w:themeColor="text1"/>
        </w:rPr>
        <w:fldChar w:fldCharType="separate"/>
      </w:r>
      <w:hyperlink w:anchor="_Toc122956566" w:history="1">
        <w:r w:rsidRPr="00CA4ABC">
          <w:rPr>
            <w:rStyle w:val="Hyperlink"/>
            <w:rFonts w:cstheme="minorHAnsi"/>
            <w:noProof/>
            <w:color w:val="000000" w:themeColor="text1"/>
          </w:rPr>
          <w:t>Table 1. The main assessment measurement protocols used to obtain muscle mass, strength, power and/or physical function and the strength and limitations of the techniques.</w:t>
        </w:r>
        <w:r w:rsidRPr="00CA4ABC">
          <w:rPr>
            <w:rFonts w:cstheme="minorHAnsi"/>
            <w:noProof/>
            <w:webHidden/>
            <w:color w:val="000000" w:themeColor="text1"/>
          </w:rPr>
          <w:tab/>
        </w:r>
        <w:r w:rsidRPr="00CA4ABC">
          <w:rPr>
            <w:rFonts w:cstheme="minorHAnsi"/>
            <w:noProof/>
            <w:webHidden/>
            <w:color w:val="000000" w:themeColor="text1"/>
          </w:rPr>
          <w:fldChar w:fldCharType="begin"/>
        </w:r>
        <w:r w:rsidRPr="00CA4ABC">
          <w:rPr>
            <w:rFonts w:cstheme="minorHAnsi"/>
            <w:noProof/>
            <w:webHidden/>
            <w:color w:val="000000" w:themeColor="text1"/>
          </w:rPr>
          <w:instrText xml:space="preserve"> PAGEREF _Toc122956566 \h </w:instrText>
        </w:r>
        <w:r w:rsidRPr="00CA4ABC">
          <w:rPr>
            <w:rFonts w:cstheme="minorHAnsi"/>
            <w:noProof/>
            <w:webHidden/>
            <w:color w:val="000000" w:themeColor="text1"/>
          </w:rPr>
        </w:r>
        <w:r w:rsidRPr="00CA4ABC">
          <w:rPr>
            <w:rFonts w:cstheme="minorHAnsi"/>
            <w:noProof/>
            <w:webHidden/>
            <w:color w:val="000000" w:themeColor="text1"/>
          </w:rPr>
          <w:fldChar w:fldCharType="separate"/>
        </w:r>
        <w:r w:rsidRPr="00CA4ABC">
          <w:rPr>
            <w:rFonts w:cstheme="minorHAnsi"/>
            <w:noProof/>
            <w:webHidden/>
            <w:color w:val="000000" w:themeColor="text1"/>
          </w:rPr>
          <w:t>23</w:t>
        </w:r>
        <w:r w:rsidRPr="00CA4ABC">
          <w:rPr>
            <w:rFonts w:cstheme="minorHAnsi"/>
            <w:noProof/>
            <w:webHidden/>
            <w:color w:val="000000" w:themeColor="text1"/>
          </w:rPr>
          <w:fldChar w:fldCharType="end"/>
        </w:r>
      </w:hyperlink>
    </w:p>
    <w:p w14:paraId="3369028C" w14:textId="3D08AED3"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67" w:history="1">
        <w:r w:rsidR="004F4AF8" w:rsidRPr="00CA4ABC">
          <w:rPr>
            <w:rStyle w:val="Hyperlink"/>
            <w:rFonts w:cstheme="minorHAnsi"/>
            <w:noProof/>
            <w:color w:val="000000" w:themeColor="text1"/>
          </w:rPr>
          <w:t>Table 2. An outline of the optimal tools to be used for case finding and measurements of muscle strength, mass and physical performance in clinical practice and in research, as outlined by EWGSOP2. Adapted from Cruz-Jentoft et al</w:t>
        </w:r>
        <w:r w:rsidR="00CA4ABC" w:rsidRPr="00CA4ABC">
          <w:rPr>
            <w:rStyle w:val="Hyperlink"/>
            <w:rFonts w:cstheme="minorHAnsi"/>
            <w:noProof/>
            <w:color w:val="000000" w:themeColor="text1"/>
          </w:rPr>
          <w:t>.</w:t>
        </w:r>
        <w:r w:rsidR="004F4AF8" w:rsidRPr="00CA4ABC">
          <w:rPr>
            <w:rStyle w:val="Hyperlink"/>
            <w:rFonts w:cstheme="minorHAnsi"/>
            <w:noProof/>
            <w:color w:val="000000" w:themeColor="text1"/>
          </w:rPr>
          <w:t xml:space="preserve"> (7)</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_Toc122956567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003FA1">
          <w:rPr>
            <w:rFonts w:cstheme="minorHAnsi"/>
            <w:noProof/>
            <w:webHidden/>
            <w:color w:val="000000" w:themeColor="text1"/>
          </w:rPr>
          <w:t>30</w:t>
        </w:r>
        <w:r w:rsidR="004F4AF8" w:rsidRPr="00CA4ABC">
          <w:rPr>
            <w:rFonts w:cstheme="minorHAnsi"/>
            <w:noProof/>
            <w:webHidden/>
            <w:color w:val="000000" w:themeColor="text1"/>
          </w:rPr>
          <w:fldChar w:fldCharType="end"/>
        </w:r>
      </w:hyperlink>
    </w:p>
    <w:p w14:paraId="5E937F1D" w14:textId="33AD8CC8"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68" w:history="1">
        <w:r w:rsidR="004F4AF8" w:rsidRPr="00CA4ABC">
          <w:rPr>
            <w:rStyle w:val="Hyperlink"/>
            <w:rFonts w:cstheme="minorHAnsi"/>
            <w:noProof/>
            <w:color w:val="000000" w:themeColor="text1"/>
          </w:rPr>
          <w:t xml:space="preserve">Table 3. Stages of sarcopenia, taken from Cruz-Jentoft </w:t>
        </w:r>
        <w:r w:rsidR="00753231" w:rsidRPr="00CA4ABC">
          <w:rPr>
            <w:rStyle w:val="Hyperlink"/>
            <w:rFonts w:cstheme="minorHAnsi"/>
            <w:noProof/>
            <w:color w:val="000000" w:themeColor="text1"/>
          </w:rPr>
          <w:t>et al.</w:t>
        </w:r>
        <w:r w:rsidR="004F4AF8" w:rsidRPr="00CA4ABC">
          <w:rPr>
            <w:rStyle w:val="Hyperlink"/>
            <w:rFonts w:cstheme="minorHAnsi"/>
            <w:noProof/>
            <w:color w:val="000000" w:themeColor="text1"/>
          </w:rPr>
          <w:t xml:space="preserve"> 2010.</w:t>
        </w:r>
        <w:r w:rsidR="004F4AF8" w:rsidRPr="00CA4ABC">
          <w:rPr>
            <w:rFonts w:cstheme="minorHAnsi"/>
            <w:noProof/>
            <w:webHidden/>
            <w:color w:val="000000" w:themeColor="text1"/>
          </w:rPr>
          <w:tab/>
        </w:r>
        <w:r w:rsidR="00003FA1">
          <w:rPr>
            <w:rFonts w:cstheme="minorHAnsi"/>
            <w:noProof/>
            <w:webHidden/>
            <w:color w:val="000000" w:themeColor="text1"/>
          </w:rPr>
          <w:t>31</w:t>
        </w:r>
      </w:hyperlink>
    </w:p>
    <w:p w14:paraId="5B805599" w14:textId="7900D7C4"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69" w:history="1">
        <w:r w:rsidR="004F4AF8" w:rsidRPr="00CA4ABC">
          <w:rPr>
            <w:rStyle w:val="Hyperlink"/>
            <w:rFonts w:cstheme="minorHAnsi"/>
            <w:noProof/>
            <w:color w:val="000000" w:themeColor="text1"/>
          </w:rPr>
          <w:t xml:space="preserve">Table 4. Issues identified through </w:t>
        </w:r>
        <w:r w:rsidR="00753231" w:rsidRPr="00CA4ABC">
          <w:rPr>
            <w:rStyle w:val="Hyperlink"/>
            <w:rFonts w:cstheme="minorHAnsi"/>
            <w:noProof/>
            <w:color w:val="000000" w:themeColor="text1"/>
          </w:rPr>
          <w:t xml:space="preserve">a </w:t>
        </w:r>
        <w:r w:rsidR="004F4AF8" w:rsidRPr="00CA4ABC">
          <w:rPr>
            <w:rStyle w:val="Hyperlink"/>
            <w:rFonts w:cstheme="minorHAnsi"/>
            <w:noProof/>
            <w:color w:val="000000" w:themeColor="text1"/>
          </w:rPr>
          <w:t xml:space="preserve">pilot survey for </w:t>
        </w:r>
        <w:r w:rsidR="00753231" w:rsidRPr="00CA4ABC">
          <w:rPr>
            <w:rStyle w:val="Hyperlink"/>
            <w:rFonts w:cstheme="minorHAnsi"/>
            <w:noProof/>
            <w:color w:val="000000" w:themeColor="text1"/>
          </w:rPr>
          <w:t xml:space="preserve">the </w:t>
        </w:r>
        <w:r w:rsidR="004F4AF8" w:rsidRPr="00CA4ABC">
          <w:rPr>
            <w:rStyle w:val="Hyperlink"/>
            <w:rFonts w:cstheme="minorHAnsi"/>
            <w:noProof/>
            <w:color w:val="000000" w:themeColor="text1"/>
          </w:rPr>
          <w:t>SheffProUK survey study and the action that was taken to address them.</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_Toc122956569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7</w:t>
        </w:r>
        <w:r w:rsidR="00003FA1">
          <w:rPr>
            <w:rFonts w:cstheme="minorHAnsi"/>
            <w:noProof/>
            <w:webHidden/>
            <w:color w:val="000000" w:themeColor="text1"/>
          </w:rPr>
          <w:t>5</w:t>
        </w:r>
        <w:r w:rsidR="004F4AF8" w:rsidRPr="00CA4ABC">
          <w:rPr>
            <w:rFonts w:cstheme="minorHAnsi"/>
            <w:noProof/>
            <w:webHidden/>
            <w:color w:val="000000" w:themeColor="text1"/>
          </w:rPr>
          <w:fldChar w:fldCharType="end"/>
        </w:r>
      </w:hyperlink>
    </w:p>
    <w:p w14:paraId="6560B528" w14:textId="77777777"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0" w:history="1">
        <w:r w:rsidR="004F4AF8" w:rsidRPr="00CA4ABC">
          <w:rPr>
            <w:rStyle w:val="Hyperlink"/>
            <w:rFonts w:cstheme="minorHAnsi"/>
            <w:noProof/>
            <w:color w:val="000000" w:themeColor="text1"/>
          </w:rPr>
          <w:t>Table 5. Assumptions for sensitivity, specificity, PPV and NPV calculations.</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_Toc122956570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79</w:t>
        </w:r>
        <w:r w:rsidR="004F4AF8" w:rsidRPr="00CA4ABC">
          <w:rPr>
            <w:rFonts w:cstheme="minorHAnsi"/>
            <w:noProof/>
            <w:webHidden/>
            <w:color w:val="000000" w:themeColor="text1"/>
          </w:rPr>
          <w:fldChar w:fldCharType="end"/>
        </w:r>
      </w:hyperlink>
    </w:p>
    <w:p w14:paraId="4A12B2EC" w14:textId="4E0A0D6D"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1" w:history="1">
        <w:r w:rsidR="004F4AF8" w:rsidRPr="00CA4ABC">
          <w:rPr>
            <w:rStyle w:val="Hyperlink"/>
            <w:rFonts w:cstheme="minorHAnsi"/>
            <w:noProof/>
            <w:color w:val="000000" w:themeColor="text1"/>
          </w:rPr>
          <w:t>Table 6. Participant characteristics of the SheffProUK study.</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_Toc122956571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8</w:t>
        </w:r>
        <w:r w:rsidR="00003FA1">
          <w:rPr>
            <w:rFonts w:cstheme="minorHAnsi"/>
            <w:noProof/>
            <w:webHidden/>
            <w:color w:val="000000" w:themeColor="text1"/>
          </w:rPr>
          <w:t>2</w:t>
        </w:r>
        <w:r w:rsidR="004F4AF8" w:rsidRPr="00CA4ABC">
          <w:rPr>
            <w:rFonts w:cstheme="minorHAnsi"/>
            <w:noProof/>
            <w:webHidden/>
            <w:color w:val="000000" w:themeColor="text1"/>
          </w:rPr>
          <w:fldChar w:fldCharType="end"/>
        </w:r>
      </w:hyperlink>
    </w:p>
    <w:p w14:paraId="4A66D715" w14:textId="2E2C027D"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2" w:history="1">
        <w:r w:rsidR="004F4AF8" w:rsidRPr="00CA4ABC">
          <w:rPr>
            <w:rStyle w:val="Hyperlink"/>
            <w:rFonts w:cstheme="minorHAnsi"/>
            <w:noProof/>
            <w:color w:val="000000" w:themeColor="text1"/>
          </w:rPr>
          <w:t xml:space="preserve">Table 7. Average dietary intake data, based on 24-hour recall responses, for all participants (with </w:t>
        </w:r>
        <w:r w:rsidR="00753231" w:rsidRPr="00CA4ABC">
          <w:rPr>
            <w:rStyle w:val="Hyperlink"/>
            <w:rFonts w:cstheme="minorHAnsi"/>
            <w:noProof/>
            <w:color w:val="000000" w:themeColor="text1"/>
          </w:rPr>
          <w:t>misreporters</w:t>
        </w:r>
        <w:r w:rsidR="004F4AF8" w:rsidRPr="00CA4ABC">
          <w:rPr>
            <w:rStyle w:val="Hyperlink"/>
            <w:rFonts w:cstheme="minorHAnsi"/>
            <w:noProof/>
            <w:color w:val="000000" w:themeColor="text1"/>
          </w:rPr>
          <w:t xml:space="preserve"> removed) (n=306).</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_Toc122956572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8</w:t>
        </w:r>
        <w:r w:rsidR="00003FA1">
          <w:rPr>
            <w:rFonts w:cstheme="minorHAnsi"/>
            <w:noProof/>
            <w:webHidden/>
            <w:color w:val="000000" w:themeColor="text1"/>
          </w:rPr>
          <w:t>4</w:t>
        </w:r>
        <w:r w:rsidR="004F4AF8" w:rsidRPr="00CA4ABC">
          <w:rPr>
            <w:rFonts w:cstheme="minorHAnsi"/>
            <w:noProof/>
            <w:webHidden/>
            <w:color w:val="000000" w:themeColor="text1"/>
          </w:rPr>
          <w:fldChar w:fldCharType="end"/>
        </w:r>
      </w:hyperlink>
    </w:p>
    <w:p w14:paraId="6656282E" w14:textId="6244D574"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3" w:history="1">
        <w:r w:rsidR="004F4AF8" w:rsidRPr="00CA4ABC">
          <w:rPr>
            <w:rStyle w:val="Hyperlink"/>
            <w:rFonts w:cstheme="minorHAnsi"/>
            <w:noProof/>
            <w:color w:val="000000" w:themeColor="text1"/>
          </w:rPr>
          <w:t xml:space="preserve">Table 8. Further exploration of protein intakes of participants, including the number of individuals meeting various protein </w:t>
        </w:r>
        <w:r w:rsidR="00753231" w:rsidRPr="00CA4ABC">
          <w:rPr>
            <w:rStyle w:val="Hyperlink"/>
            <w:rFonts w:cstheme="minorHAnsi"/>
            <w:noProof/>
            <w:color w:val="000000" w:themeColor="text1"/>
          </w:rPr>
          <w:t>intakes</w:t>
        </w:r>
        <w:r w:rsidR="004F4AF8" w:rsidRPr="00CA4ABC">
          <w:rPr>
            <w:rStyle w:val="Hyperlink"/>
            <w:rFonts w:cstheme="minorHAnsi"/>
            <w:noProof/>
            <w:color w:val="000000" w:themeColor="text1"/>
          </w:rPr>
          <w:t>.</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_Toc122956573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8</w:t>
        </w:r>
        <w:r w:rsidR="00003FA1">
          <w:rPr>
            <w:rFonts w:cstheme="minorHAnsi"/>
            <w:noProof/>
            <w:webHidden/>
            <w:color w:val="000000" w:themeColor="text1"/>
          </w:rPr>
          <w:t>5</w:t>
        </w:r>
        <w:r w:rsidR="004F4AF8" w:rsidRPr="00CA4ABC">
          <w:rPr>
            <w:rFonts w:cstheme="minorHAnsi"/>
            <w:noProof/>
            <w:webHidden/>
            <w:color w:val="000000" w:themeColor="text1"/>
          </w:rPr>
          <w:fldChar w:fldCharType="end"/>
        </w:r>
      </w:hyperlink>
    </w:p>
    <w:p w14:paraId="1250479A" w14:textId="77777777"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4" w:history="1">
        <w:r w:rsidR="004F4AF8" w:rsidRPr="00CA4ABC">
          <w:rPr>
            <w:rStyle w:val="Hyperlink"/>
            <w:rFonts w:cstheme="minorHAnsi"/>
            <w:noProof/>
            <w:color w:val="000000" w:themeColor="text1"/>
          </w:rPr>
          <w:t>Table 9. Number of participants achieving above or below 1g/kg BM/d of protein, and the probability of the protein screener predicting this, at various cut-off points. Based on this, the sensitivity, specificity and PPV, NPV and Youden index.</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_Toc122956574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85</w:t>
        </w:r>
        <w:r w:rsidR="004F4AF8" w:rsidRPr="00CA4ABC">
          <w:rPr>
            <w:rFonts w:cstheme="minorHAnsi"/>
            <w:noProof/>
            <w:webHidden/>
            <w:color w:val="000000" w:themeColor="text1"/>
          </w:rPr>
          <w:fldChar w:fldCharType="end"/>
        </w:r>
      </w:hyperlink>
    </w:p>
    <w:p w14:paraId="2CD79F16" w14:textId="0A5E3FB8"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5" w:history="1">
        <w:r w:rsidR="004F4AF8" w:rsidRPr="00CA4ABC">
          <w:rPr>
            <w:rStyle w:val="Hyperlink"/>
            <w:rFonts w:cstheme="minorHAnsi"/>
            <w:noProof/>
            <w:color w:val="000000" w:themeColor="text1"/>
          </w:rPr>
          <w:t xml:space="preserve">Table 10. AUC results at the </w:t>
        </w:r>
        <w:r w:rsidR="00753231" w:rsidRPr="00CA4ABC">
          <w:rPr>
            <w:rStyle w:val="Hyperlink"/>
            <w:rFonts w:cstheme="minorHAnsi"/>
            <w:noProof/>
            <w:color w:val="000000" w:themeColor="text1"/>
          </w:rPr>
          <w:t>three</w:t>
        </w:r>
        <w:r w:rsidR="004F4AF8" w:rsidRPr="00CA4ABC">
          <w:rPr>
            <w:rStyle w:val="Hyperlink"/>
            <w:rFonts w:cstheme="minorHAnsi"/>
            <w:noProof/>
            <w:color w:val="000000" w:themeColor="text1"/>
          </w:rPr>
          <w:t xml:space="preserve"> different protein intake cut-off points.</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_Toc122956575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86</w:t>
        </w:r>
        <w:r w:rsidR="004F4AF8" w:rsidRPr="00CA4ABC">
          <w:rPr>
            <w:rFonts w:cstheme="minorHAnsi"/>
            <w:noProof/>
            <w:webHidden/>
            <w:color w:val="000000" w:themeColor="text1"/>
          </w:rPr>
          <w:fldChar w:fldCharType="end"/>
        </w:r>
      </w:hyperlink>
    </w:p>
    <w:p w14:paraId="66FED50C" w14:textId="59C871FD"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6" w:history="1">
        <w:r w:rsidR="004F4AF8" w:rsidRPr="00CA4ABC">
          <w:rPr>
            <w:rStyle w:val="Hyperlink"/>
            <w:rFonts w:cstheme="minorHAnsi"/>
            <w:noProof/>
            <w:color w:val="000000" w:themeColor="text1"/>
          </w:rPr>
          <w:t xml:space="preserve">Table 11. Micronutrient intakes for all participants (n=306) who completed their 24-hour </w:t>
        </w:r>
        <w:r w:rsidR="00753231" w:rsidRPr="00CA4ABC">
          <w:rPr>
            <w:rStyle w:val="Hyperlink"/>
            <w:rFonts w:cstheme="minorHAnsi"/>
            <w:noProof/>
            <w:color w:val="000000" w:themeColor="text1"/>
          </w:rPr>
          <w:t>recall</w:t>
        </w:r>
        <w:r w:rsidR="004F4AF8" w:rsidRPr="00CA4ABC">
          <w:rPr>
            <w:rStyle w:val="Hyperlink"/>
            <w:rFonts w:cstheme="minorHAnsi"/>
            <w:noProof/>
            <w:color w:val="000000" w:themeColor="text1"/>
          </w:rPr>
          <w:t xml:space="preserve"> in the SheffProUK study.</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_Toc122956576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8</w:t>
        </w:r>
        <w:r w:rsidR="00003FA1">
          <w:rPr>
            <w:rFonts w:cstheme="minorHAnsi"/>
            <w:noProof/>
            <w:webHidden/>
            <w:color w:val="000000" w:themeColor="text1"/>
          </w:rPr>
          <w:t>8</w:t>
        </w:r>
        <w:r w:rsidR="004F4AF8" w:rsidRPr="00CA4ABC">
          <w:rPr>
            <w:rFonts w:cstheme="minorHAnsi"/>
            <w:noProof/>
            <w:webHidden/>
            <w:color w:val="000000" w:themeColor="text1"/>
          </w:rPr>
          <w:fldChar w:fldCharType="end"/>
        </w:r>
      </w:hyperlink>
    </w:p>
    <w:p w14:paraId="59402731" w14:textId="5F579ADE" w:rsidR="004F4AF8" w:rsidRPr="00CA4ABC" w:rsidRDefault="00EB542D" w:rsidP="00F42CB9">
      <w:pPr>
        <w:pStyle w:val="TableofFigures"/>
        <w:tabs>
          <w:tab w:val="right" w:leader="dot" w:pos="9010"/>
        </w:tabs>
        <w:spacing w:line="360" w:lineRule="auto"/>
        <w:rPr>
          <w:rFonts w:eastAsiaTheme="minorEastAsia" w:cstheme="minorHAnsi"/>
          <w:noProof/>
          <w:color w:val="000000" w:themeColor="text1"/>
          <w:lang w:eastAsia="en-GB"/>
        </w:rPr>
      </w:pPr>
      <w:hyperlink w:anchor="_Toc122956577" w:history="1">
        <w:r w:rsidR="004F4AF8" w:rsidRPr="00CA4ABC">
          <w:rPr>
            <w:rStyle w:val="Hyperlink"/>
            <w:rFonts w:cstheme="minorHAnsi"/>
            <w:noProof/>
            <w:color w:val="000000" w:themeColor="text1"/>
          </w:rPr>
          <w:t xml:space="preserve">Table 12. Protein knowledge scores for all participants and for participants split by protein </w:t>
        </w:r>
        <w:r w:rsidR="00753231" w:rsidRPr="00CA4ABC">
          <w:rPr>
            <w:rStyle w:val="Hyperlink"/>
            <w:rFonts w:cstheme="minorHAnsi"/>
            <w:noProof/>
            <w:color w:val="000000" w:themeColor="text1"/>
          </w:rPr>
          <w:t>intake</w:t>
        </w:r>
        <w:r w:rsidR="004F4AF8" w:rsidRPr="00CA4ABC">
          <w:rPr>
            <w:rStyle w:val="Hyperlink"/>
            <w:rFonts w:cstheme="minorHAnsi"/>
            <w:noProof/>
            <w:color w:val="000000" w:themeColor="text1"/>
          </w:rPr>
          <w:t>, age and sex.</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_Toc122956577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102</w:t>
        </w:r>
        <w:r w:rsidR="004F4AF8" w:rsidRPr="00CA4ABC">
          <w:rPr>
            <w:rFonts w:cstheme="minorHAnsi"/>
            <w:noProof/>
            <w:webHidden/>
            <w:color w:val="000000" w:themeColor="text1"/>
          </w:rPr>
          <w:fldChar w:fldCharType="end"/>
        </w:r>
      </w:hyperlink>
    </w:p>
    <w:p w14:paraId="0D2C69FB" w14:textId="4E996493" w:rsidR="004F4AF8" w:rsidRPr="00CA4ABC" w:rsidRDefault="00EB542D" w:rsidP="00760192">
      <w:pPr>
        <w:pStyle w:val="TableofFigures"/>
        <w:tabs>
          <w:tab w:val="right" w:leader="dot" w:pos="9010"/>
        </w:tabs>
        <w:spacing w:line="360" w:lineRule="auto"/>
        <w:rPr>
          <w:rFonts w:eastAsiaTheme="minorEastAsia" w:cstheme="minorHAnsi"/>
          <w:noProof/>
          <w:color w:val="000000" w:themeColor="text1"/>
          <w:lang w:eastAsia="en-GB"/>
        </w:rPr>
      </w:pPr>
      <w:hyperlink w:anchor="_Toc122956578" w:history="1">
        <w:r w:rsidR="004F4AF8" w:rsidRPr="00CA4ABC">
          <w:rPr>
            <w:rStyle w:val="Hyperlink"/>
            <w:rFonts w:cstheme="minorHAnsi"/>
            <w:noProof/>
            <w:color w:val="000000" w:themeColor="text1"/>
          </w:rPr>
          <w:t>Table 13. Responses to rating if food items were considered high, low or not sure for protein content (question 3).</w:t>
        </w:r>
        <w:r w:rsidR="004F4AF8" w:rsidRPr="00CA4ABC">
          <w:rPr>
            <w:rFonts w:cstheme="minorHAnsi"/>
            <w:noProof/>
            <w:webHidden/>
            <w:color w:val="000000" w:themeColor="text1"/>
          </w:rPr>
          <w:tab/>
        </w:r>
        <w:r w:rsidR="004F4AF8" w:rsidRPr="00CA4ABC">
          <w:rPr>
            <w:rFonts w:cstheme="minorHAnsi"/>
            <w:noProof/>
            <w:webHidden/>
            <w:color w:val="000000" w:themeColor="text1"/>
          </w:rPr>
          <w:fldChar w:fldCharType="begin"/>
        </w:r>
        <w:r w:rsidR="004F4AF8" w:rsidRPr="00CA4ABC">
          <w:rPr>
            <w:rFonts w:cstheme="minorHAnsi"/>
            <w:noProof/>
            <w:webHidden/>
            <w:color w:val="000000" w:themeColor="text1"/>
          </w:rPr>
          <w:instrText xml:space="preserve"> PAGEREF _Toc122956578 \h </w:instrText>
        </w:r>
        <w:r w:rsidR="004F4AF8" w:rsidRPr="00CA4ABC">
          <w:rPr>
            <w:rFonts w:cstheme="minorHAnsi"/>
            <w:noProof/>
            <w:webHidden/>
            <w:color w:val="000000" w:themeColor="text1"/>
          </w:rPr>
        </w:r>
        <w:r w:rsidR="004F4AF8" w:rsidRPr="00CA4ABC">
          <w:rPr>
            <w:rFonts w:cstheme="minorHAnsi"/>
            <w:noProof/>
            <w:webHidden/>
            <w:color w:val="000000" w:themeColor="text1"/>
          </w:rPr>
          <w:fldChar w:fldCharType="separate"/>
        </w:r>
        <w:r w:rsidR="004F4AF8" w:rsidRPr="00CA4ABC">
          <w:rPr>
            <w:rFonts w:cstheme="minorHAnsi"/>
            <w:noProof/>
            <w:webHidden/>
            <w:color w:val="000000" w:themeColor="text1"/>
          </w:rPr>
          <w:t>10</w:t>
        </w:r>
        <w:r w:rsidR="00003FA1">
          <w:rPr>
            <w:rFonts w:cstheme="minorHAnsi"/>
            <w:noProof/>
            <w:webHidden/>
            <w:color w:val="000000" w:themeColor="text1"/>
          </w:rPr>
          <w:t>3</w:t>
        </w:r>
        <w:r w:rsidR="004F4AF8" w:rsidRPr="00CA4ABC">
          <w:rPr>
            <w:rFonts w:cstheme="minorHAnsi"/>
            <w:noProof/>
            <w:webHidden/>
            <w:color w:val="000000" w:themeColor="text1"/>
          </w:rPr>
          <w:fldChar w:fldCharType="end"/>
        </w:r>
      </w:hyperlink>
    </w:p>
    <w:p w14:paraId="5EDBDBAC" w14:textId="2DCEB670" w:rsidR="002C2D05" w:rsidRDefault="00EB542D" w:rsidP="00760192">
      <w:pPr>
        <w:pStyle w:val="TableofFigures"/>
        <w:tabs>
          <w:tab w:val="right" w:leader="dot" w:pos="13950"/>
        </w:tabs>
        <w:spacing w:line="360" w:lineRule="auto"/>
        <w:rPr>
          <w:rFonts w:eastAsiaTheme="minorEastAsia"/>
          <w:noProof/>
          <w:lang w:eastAsia="en-GB"/>
        </w:rPr>
      </w:pPr>
      <w:hyperlink w:anchor="_Toc127975915" w:history="1">
        <w:r w:rsidR="002C2D05" w:rsidRPr="007B2563">
          <w:rPr>
            <w:rStyle w:val="Hyperlink"/>
            <w:noProof/>
          </w:rPr>
          <w:t>Table 14</w:t>
        </w:r>
        <w:r w:rsidR="002C2D05" w:rsidRPr="007B2563">
          <w:rPr>
            <w:rStyle w:val="Hyperlink"/>
            <w:rFonts w:cstheme="minorHAnsi"/>
            <w:noProof/>
          </w:rPr>
          <w:t>. Self-reported assessment of protein intake, dietary habits and resistance exercise engagement in the SheffProUK population.</w:t>
        </w:r>
        <w:r w:rsidR="002C2D05">
          <w:rPr>
            <w:noProof/>
            <w:webHidden/>
          </w:rPr>
          <w:tab/>
        </w:r>
        <w:r w:rsidR="00003FA1">
          <w:rPr>
            <w:noProof/>
            <w:webHidden/>
          </w:rPr>
          <w:t>104</w:t>
        </w:r>
      </w:hyperlink>
    </w:p>
    <w:p w14:paraId="338741C2" w14:textId="678B5AB2" w:rsidR="002C2D05" w:rsidRDefault="00EB542D" w:rsidP="00760192">
      <w:pPr>
        <w:pStyle w:val="TableofFigures"/>
        <w:tabs>
          <w:tab w:val="right" w:leader="dot" w:pos="13950"/>
        </w:tabs>
        <w:spacing w:line="360" w:lineRule="auto"/>
        <w:rPr>
          <w:rFonts w:eastAsiaTheme="minorEastAsia"/>
          <w:noProof/>
          <w:lang w:eastAsia="en-GB"/>
        </w:rPr>
      </w:pPr>
      <w:hyperlink w:anchor="_Toc127975916" w:history="1">
        <w:r w:rsidR="002C2D05" w:rsidRPr="007B2563">
          <w:rPr>
            <w:rStyle w:val="Hyperlink"/>
            <w:noProof/>
          </w:rPr>
          <w:t>Table 15</w:t>
        </w:r>
        <w:r w:rsidR="002C2D05" w:rsidRPr="007B2563">
          <w:rPr>
            <w:rStyle w:val="Hyperlink"/>
            <w:rFonts w:cstheme="minorHAnsi"/>
            <w:noProof/>
          </w:rPr>
          <w:t>. Correlation between protein intakes (g/kg BM/d) and protein knowledge score out of 24.</w:t>
        </w:r>
        <w:r w:rsidR="002C2D05">
          <w:rPr>
            <w:noProof/>
            <w:webHidden/>
          </w:rPr>
          <w:tab/>
        </w:r>
        <w:r w:rsidR="00003FA1">
          <w:rPr>
            <w:noProof/>
            <w:webHidden/>
          </w:rPr>
          <w:t>105</w:t>
        </w:r>
      </w:hyperlink>
    </w:p>
    <w:p w14:paraId="66F27502" w14:textId="0CEF7DCB" w:rsidR="002C2D05" w:rsidRDefault="00EB542D" w:rsidP="00760192">
      <w:pPr>
        <w:pStyle w:val="TableofFigures"/>
        <w:tabs>
          <w:tab w:val="right" w:leader="dot" w:pos="13950"/>
        </w:tabs>
        <w:spacing w:line="360" w:lineRule="auto"/>
        <w:rPr>
          <w:rFonts w:eastAsiaTheme="minorEastAsia"/>
          <w:noProof/>
          <w:lang w:eastAsia="en-GB"/>
        </w:rPr>
      </w:pPr>
      <w:hyperlink w:anchor="_Toc127975917" w:history="1">
        <w:r w:rsidR="002C2D05" w:rsidRPr="007B2563">
          <w:rPr>
            <w:rStyle w:val="Hyperlink"/>
            <w:rFonts w:cstheme="minorHAnsi"/>
            <w:noProof/>
          </w:rPr>
          <w:t>Table 16. Regression analysis results for factors relating to protein intakes (dependent variable) when six exploratory variables were entered into the model.</w:t>
        </w:r>
        <w:r w:rsidR="002C2D05">
          <w:rPr>
            <w:noProof/>
            <w:webHidden/>
          </w:rPr>
          <w:tab/>
        </w:r>
        <w:r w:rsidR="00003FA1">
          <w:rPr>
            <w:noProof/>
            <w:webHidden/>
          </w:rPr>
          <w:t>105</w:t>
        </w:r>
      </w:hyperlink>
    </w:p>
    <w:p w14:paraId="7E7FBD24" w14:textId="3DFDB8D8" w:rsidR="002C2D05" w:rsidRDefault="00EB542D" w:rsidP="00760192">
      <w:pPr>
        <w:pStyle w:val="TableofFigures"/>
        <w:tabs>
          <w:tab w:val="right" w:leader="dot" w:pos="13950"/>
        </w:tabs>
        <w:spacing w:line="360" w:lineRule="auto"/>
        <w:rPr>
          <w:rFonts w:eastAsiaTheme="minorEastAsia"/>
          <w:noProof/>
          <w:lang w:eastAsia="en-GB"/>
        </w:rPr>
      </w:pPr>
      <w:hyperlink w:anchor="_Toc127975918" w:history="1">
        <w:r w:rsidR="002C2D05" w:rsidRPr="007B2563">
          <w:rPr>
            <w:rStyle w:val="Hyperlink"/>
            <w:rFonts w:cstheme="minorHAnsi"/>
            <w:noProof/>
          </w:rPr>
          <w:t>Table 17. I</w:t>
        </w:r>
        <w:r w:rsidR="002C2D05" w:rsidRPr="007B2563">
          <w:rPr>
            <w:rStyle w:val="Hyperlink"/>
            <w:rFonts w:eastAsia="Times New Roman" w:cstheme="minorHAnsi"/>
            <w:noProof/>
            <w:lang w:eastAsia="en-GB"/>
          </w:rPr>
          <w:t>nclusion and exclusion criteria for participants enrolled in the feasibility trial.</w:t>
        </w:r>
        <w:r w:rsidR="002C2D05">
          <w:rPr>
            <w:noProof/>
            <w:webHidden/>
          </w:rPr>
          <w:tab/>
        </w:r>
        <w:r w:rsidR="00003FA1">
          <w:rPr>
            <w:noProof/>
            <w:webHidden/>
          </w:rPr>
          <w:t>117</w:t>
        </w:r>
      </w:hyperlink>
    </w:p>
    <w:p w14:paraId="0588121B" w14:textId="0DB1BEB2" w:rsidR="002C2D05" w:rsidRDefault="00EB542D" w:rsidP="00760192">
      <w:pPr>
        <w:pStyle w:val="TableofFigures"/>
        <w:tabs>
          <w:tab w:val="right" w:leader="dot" w:pos="13950"/>
        </w:tabs>
        <w:spacing w:line="360" w:lineRule="auto"/>
        <w:rPr>
          <w:rFonts w:eastAsiaTheme="minorEastAsia"/>
          <w:noProof/>
          <w:lang w:eastAsia="en-GB"/>
        </w:rPr>
      </w:pPr>
      <w:hyperlink w:anchor="_Toc127975919" w:history="1">
        <w:r w:rsidR="002C2D05" w:rsidRPr="007B2563">
          <w:rPr>
            <w:rStyle w:val="Hyperlink"/>
            <w:rFonts w:cstheme="minorHAnsi"/>
            <w:noProof/>
          </w:rPr>
          <w:t>Table 18. REMEND final participants characteristics. Age is presented as mean, range. Height, weight and BMI are presented as median (IQR).</w:t>
        </w:r>
        <w:r w:rsidR="002C2D05">
          <w:rPr>
            <w:noProof/>
            <w:webHidden/>
          </w:rPr>
          <w:tab/>
        </w:r>
        <w:r w:rsidR="00003FA1">
          <w:rPr>
            <w:noProof/>
            <w:webHidden/>
          </w:rPr>
          <w:t>132</w:t>
        </w:r>
      </w:hyperlink>
    </w:p>
    <w:p w14:paraId="502B4B62" w14:textId="305844BD" w:rsidR="002C2D05" w:rsidRPr="00003FA1" w:rsidRDefault="00EB542D" w:rsidP="00760192">
      <w:pPr>
        <w:pStyle w:val="TableofFigures"/>
        <w:tabs>
          <w:tab w:val="right" w:leader="dot" w:pos="13950"/>
        </w:tabs>
        <w:spacing w:line="360" w:lineRule="auto"/>
        <w:rPr>
          <w:rFonts w:eastAsiaTheme="minorEastAsia"/>
          <w:noProof/>
          <w:color w:val="000000" w:themeColor="text1"/>
          <w:lang w:eastAsia="en-GB"/>
        </w:rPr>
      </w:pPr>
      <w:hyperlink w:anchor="_Toc127975920" w:history="1">
        <w:r w:rsidR="002C2D05" w:rsidRPr="00003FA1">
          <w:rPr>
            <w:rStyle w:val="Hyperlink"/>
            <w:rFonts w:cstheme="minorHAnsi"/>
            <w:noProof/>
            <w:color w:val="000000" w:themeColor="text1"/>
            <w:u w:val="none"/>
          </w:rPr>
          <w:t>Table 19. RAG criteria for progressing from a feasibility trial to a full-scale complex intervention trial.</w:t>
        </w:r>
        <w:r w:rsidR="002C2D05" w:rsidRPr="00003FA1">
          <w:rPr>
            <w:noProof/>
            <w:webHidden/>
            <w:color w:val="000000" w:themeColor="text1"/>
          </w:rPr>
          <w:tab/>
        </w:r>
        <w:r w:rsidR="00003FA1">
          <w:rPr>
            <w:noProof/>
            <w:webHidden/>
            <w:color w:val="000000" w:themeColor="text1"/>
          </w:rPr>
          <w:t>134</w:t>
        </w:r>
      </w:hyperlink>
    </w:p>
    <w:p w14:paraId="27F7C392" w14:textId="655A6A44" w:rsidR="002C2D05" w:rsidRPr="00003FA1" w:rsidRDefault="00003FA1" w:rsidP="00760192">
      <w:pPr>
        <w:pStyle w:val="TableofFigures"/>
        <w:tabs>
          <w:tab w:val="right" w:leader="dot" w:pos="13950"/>
        </w:tabs>
        <w:spacing w:line="360" w:lineRule="auto"/>
        <w:rPr>
          <w:rFonts w:cstheme="minorHAnsi"/>
          <w:noProof/>
          <w:color w:val="000000" w:themeColor="text1"/>
        </w:rPr>
      </w:pPr>
      <w:r w:rsidRPr="00003FA1">
        <w:rPr>
          <w:rStyle w:val="Hyperlink"/>
          <w:noProof/>
          <w:color w:val="000000" w:themeColor="text1"/>
          <w:u w:val="none"/>
        </w:rPr>
        <w:t>Table 20.</w:t>
      </w:r>
      <w:hyperlink w:anchor="_Toc127975921" w:history="1">
        <w:r w:rsidRPr="00003FA1">
          <w:rPr>
            <w:rStyle w:val="Hyperlink"/>
            <w:rFonts w:cstheme="minorHAnsi"/>
            <w:noProof/>
            <w:color w:val="000000" w:themeColor="text1"/>
            <w:u w:val="none"/>
          </w:rPr>
          <w:t xml:space="preserve"> </w:t>
        </w:r>
        <w:r w:rsidR="002C2D05" w:rsidRPr="00003FA1">
          <w:rPr>
            <w:rStyle w:val="Hyperlink"/>
            <w:rFonts w:cstheme="minorHAnsi"/>
            <w:noProof/>
            <w:color w:val="000000" w:themeColor="text1"/>
            <w:u w:val="none"/>
          </w:rPr>
          <w:t>The randomised allocation of each participant, denoted by their unique ID number, to each the study arm of the trial.</w:t>
        </w:r>
        <w:r w:rsidR="002C2D05" w:rsidRPr="00003FA1">
          <w:rPr>
            <w:noProof/>
            <w:webHidden/>
            <w:color w:val="000000" w:themeColor="text1"/>
          </w:rPr>
          <w:tab/>
        </w:r>
        <w:r>
          <w:rPr>
            <w:noProof/>
            <w:webHidden/>
            <w:color w:val="000000" w:themeColor="text1"/>
          </w:rPr>
          <w:t>136</w:t>
        </w:r>
      </w:hyperlink>
    </w:p>
    <w:p w14:paraId="67169120" w14:textId="082F532B" w:rsidR="002C2D05" w:rsidRDefault="00EB542D" w:rsidP="00760192">
      <w:pPr>
        <w:pStyle w:val="TableofFigures"/>
        <w:tabs>
          <w:tab w:val="right" w:leader="dot" w:pos="13950"/>
        </w:tabs>
        <w:spacing w:line="360" w:lineRule="auto"/>
        <w:rPr>
          <w:rFonts w:eastAsiaTheme="minorEastAsia"/>
          <w:noProof/>
          <w:lang w:eastAsia="en-GB"/>
        </w:rPr>
      </w:pPr>
      <w:hyperlink w:anchor="_Toc127975922" w:history="1">
        <w:r w:rsidR="002C2D05" w:rsidRPr="007B2563">
          <w:rPr>
            <w:rStyle w:val="Hyperlink"/>
            <w:rFonts w:cstheme="minorHAnsi"/>
            <w:noProof/>
          </w:rPr>
          <w:t>Table 21. An individual breakdown of the number of session each participant attended.</w:t>
        </w:r>
        <w:r w:rsidR="002C2D05">
          <w:rPr>
            <w:noProof/>
            <w:webHidden/>
          </w:rPr>
          <w:tab/>
        </w:r>
        <w:r w:rsidR="00003FA1">
          <w:rPr>
            <w:noProof/>
            <w:webHidden/>
          </w:rPr>
          <w:t>138</w:t>
        </w:r>
      </w:hyperlink>
    </w:p>
    <w:p w14:paraId="67CA77B4" w14:textId="1F65A7C2" w:rsidR="002C2D05" w:rsidRDefault="00EB542D" w:rsidP="00760192">
      <w:pPr>
        <w:pStyle w:val="TableofFigures"/>
        <w:tabs>
          <w:tab w:val="right" w:leader="dot" w:pos="13950"/>
        </w:tabs>
        <w:spacing w:line="360" w:lineRule="auto"/>
        <w:rPr>
          <w:rFonts w:eastAsiaTheme="minorEastAsia"/>
          <w:noProof/>
          <w:lang w:eastAsia="en-GB"/>
        </w:rPr>
      </w:pPr>
      <w:hyperlink w:anchor="_Toc127975923" w:history="1">
        <w:r w:rsidR="002C2D05" w:rsidRPr="007B2563">
          <w:rPr>
            <w:rStyle w:val="Hyperlink"/>
            <w:rFonts w:cstheme="minorHAnsi"/>
            <w:noProof/>
          </w:rPr>
          <w:t>Table 22. Compliance rates to protein supplements.</w:t>
        </w:r>
        <w:r w:rsidR="002C2D05">
          <w:rPr>
            <w:noProof/>
            <w:webHidden/>
          </w:rPr>
          <w:tab/>
        </w:r>
        <w:r w:rsidR="00003FA1">
          <w:rPr>
            <w:noProof/>
            <w:webHidden/>
          </w:rPr>
          <w:t>139</w:t>
        </w:r>
      </w:hyperlink>
    </w:p>
    <w:p w14:paraId="5D5F10A0" w14:textId="47E713C2" w:rsidR="002C2D05" w:rsidRDefault="00EB542D" w:rsidP="00760192">
      <w:pPr>
        <w:pStyle w:val="TableofFigures"/>
        <w:tabs>
          <w:tab w:val="right" w:leader="dot" w:pos="13950"/>
        </w:tabs>
        <w:spacing w:line="360" w:lineRule="auto"/>
        <w:rPr>
          <w:rFonts w:eastAsiaTheme="minorEastAsia"/>
          <w:noProof/>
          <w:lang w:eastAsia="en-GB"/>
        </w:rPr>
      </w:pPr>
      <w:hyperlink w:anchor="_Toc127975924" w:history="1">
        <w:r w:rsidR="002C2D05" w:rsidRPr="007B2563">
          <w:rPr>
            <w:rStyle w:val="Hyperlink"/>
            <w:rFonts w:cstheme="minorHAnsi"/>
            <w:noProof/>
          </w:rPr>
          <w:t xml:space="preserve">Table 23. The number of responses to each question when a </w:t>
        </w:r>
        <w:r w:rsidR="002C2D05" w:rsidRPr="007B2563">
          <w:rPr>
            <w:rStyle w:val="Hyperlink"/>
            <w:rFonts w:cstheme="minorHAnsi"/>
            <w:noProof/>
            <w:shd w:val="clear" w:color="auto" w:fill="FFFFFF"/>
          </w:rPr>
          <w:t>Likert scale was used, where 1 represents the least favourable score and 5 represents the most favourable score.</w:t>
        </w:r>
        <w:r w:rsidR="002C2D05">
          <w:rPr>
            <w:noProof/>
            <w:webHidden/>
          </w:rPr>
          <w:tab/>
        </w:r>
        <w:r w:rsidR="00003FA1">
          <w:rPr>
            <w:noProof/>
            <w:webHidden/>
          </w:rPr>
          <w:t>140</w:t>
        </w:r>
      </w:hyperlink>
    </w:p>
    <w:p w14:paraId="230DBAF8" w14:textId="783ED768" w:rsidR="002C2D05" w:rsidRDefault="00EB542D" w:rsidP="00760192">
      <w:pPr>
        <w:pStyle w:val="TableofFigures"/>
        <w:tabs>
          <w:tab w:val="right" w:leader="dot" w:pos="13950"/>
        </w:tabs>
        <w:spacing w:line="360" w:lineRule="auto"/>
        <w:rPr>
          <w:rFonts w:eastAsiaTheme="minorEastAsia"/>
          <w:noProof/>
          <w:lang w:eastAsia="en-GB"/>
        </w:rPr>
      </w:pPr>
      <w:hyperlink w:anchor="_Toc127975925" w:history="1">
        <w:r w:rsidR="002C2D05" w:rsidRPr="007B2563">
          <w:rPr>
            <w:rStyle w:val="Hyperlink"/>
            <w:rFonts w:cstheme="minorHAnsi"/>
            <w:noProof/>
          </w:rPr>
          <w:t>Table 24. Responses to questions on the outcomes questionnaire which required a “yes”, “no” or another response.</w:t>
        </w:r>
        <w:r w:rsidR="002C2D05">
          <w:rPr>
            <w:noProof/>
            <w:webHidden/>
          </w:rPr>
          <w:tab/>
        </w:r>
        <w:r w:rsidR="00003FA1">
          <w:rPr>
            <w:noProof/>
            <w:webHidden/>
          </w:rPr>
          <w:t>141</w:t>
        </w:r>
      </w:hyperlink>
    </w:p>
    <w:p w14:paraId="60CA84B3" w14:textId="148EE045" w:rsidR="002C2D05" w:rsidRDefault="00EB542D" w:rsidP="00760192">
      <w:pPr>
        <w:pStyle w:val="TableofFigures"/>
        <w:tabs>
          <w:tab w:val="right" w:leader="dot" w:pos="13950"/>
        </w:tabs>
        <w:spacing w:line="360" w:lineRule="auto"/>
        <w:rPr>
          <w:rFonts w:eastAsiaTheme="minorEastAsia"/>
          <w:noProof/>
          <w:lang w:eastAsia="en-GB"/>
        </w:rPr>
      </w:pPr>
      <w:hyperlink w:anchor="_Toc127975926" w:history="1">
        <w:r w:rsidR="002C2D05" w:rsidRPr="007B2563">
          <w:rPr>
            <w:rStyle w:val="Hyperlink"/>
            <w:rFonts w:cstheme="minorHAnsi"/>
            <w:noProof/>
          </w:rPr>
          <w:t>Table 25. Responses to the nutrition intervention outcome questionnaire.</w:t>
        </w:r>
        <w:r w:rsidR="002C2D05">
          <w:rPr>
            <w:noProof/>
            <w:webHidden/>
          </w:rPr>
          <w:tab/>
        </w:r>
        <w:r w:rsidR="00003FA1">
          <w:rPr>
            <w:noProof/>
            <w:webHidden/>
          </w:rPr>
          <w:t>142</w:t>
        </w:r>
      </w:hyperlink>
    </w:p>
    <w:p w14:paraId="5451A13D" w14:textId="03352B3E" w:rsidR="002C2D05" w:rsidRDefault="00EB542D" w:rsidP="00760192">
      <w:pPr>
        <w:pStyle w:val="TableofFigures"/>
        <w:tabs>
          <w:tab w:val="right" w:leader="dot" w:pos="13950"/>
        </w:tabs>
        <w:spacing w:line="360" w:lineRule="auto"/>
        <w:rPr>
          <w:rFonts w:eastAsiaTheme="minorEastAsia"/>
          <w:noProof/>
          <w:lang w:eastAsia="en-GB"/>
        </w:rPr>
      </w:pPr>
      <w:hyperlink w:anchor="_Toc127975927" w:history="1">
        <w:r w:rsidR="002C2D05" w:rsidRPr="007B2563">
          <w:rPr>
            <w:rStyle w:val="Hyperlink"/>
            <w:rFonts w:cstheme="minorHAnsi"/>
            <w:noProof/>
          </w:rPr>
          <w:t>Table 26. Average (mean (SD)) protein, fat, carbohydrate and energy intakes of all participants at week 0, week 3 and week 6 of the trial. ƗWilks’ Lambda; # paired t-test</w:t>
        </w:r>
        <w:r w:rsidR="002C2D05">
          <w:rPr>
            <w:noProof/>
            <w:webHidden/>
          </w:rPr>
          <w:tab/>
        </w:r>
        <w:r w:rsidR="00003FA1">
          <w:rPr>
            <w:noProof/>
            <w:webHidden/>
          </w:rPr>
          <w:t>143</w:t>
        </w:r>
      </w:hyperlink>
    </w:p>
    <w:p w14:paraId="5AA395AC" w14:textId="31D04347" w:rsidR="002C2D05" w:rsidRDefault="00EB542D" w:rsidP="00760192">
      <w:pPr>
        <w:pStyle w:val="TableofFigures"/>
        <w:tabs>
          <w:tab w:val="right" w:leader="dot" w:pos="13950"/>
        </w:tabs>
        <w:spacing w:line="360" w:lineRule="auto"/>
        <w:rPr>
          <w:rFonts w:eastAsiaTheme="minorEastAsia"/>
          <w:noProof/>
          <w:lang w:eastAsia="en-GB"/>
        </w:rPr>
      </w:pPr>
      <w:hyperlink w:anchor="_Toc127975928" w:history="1">
        <w:r w:rsidR="002C2D05" w:rsidRPr="007B2563">
          <w:rPr>
            <w:rStyle w:val="Hyperlink"/>
            <w:rFonts w:cstheme="minorHAnsi"/>
            <w:noProof/>
          </w:rPr>
          <w:t>Table 27. Micronutrient intakes for all participants who completed their food diaries (n=8), across the stages of the REMEND trial.</w:t>
        </w:r>
        <w:r w:rsidR="002C2D05">
          <w:rPr>
            <w:noProof/>
            <w:webHidden/>
          </w:rPr>
          <w:tab/>
        </w:r>
        <w:r w:rsidR="00003FA1">
          <w:rPr>
            <w:noProof/>
            <w:webHidden/>
          </w:rPr>
          <w:t>145</w:t>
        </w:r>
      </w:hyperlink>
    </w:p>
    <w:p w14:paraId="50B1D2A2" w14:textId="2D493381" w:rsidR="002C2D05" w:rsidRDefault="00EB542D" w:rsidP="00760192">
      <w:pPr>
        <w:pStyle w:val="TableofFigures"/>
        <w:tabs>
          <w:tab w:val="right" w:leader="dot" w:pos="13950"/>
        </w:tabs>
        <w:spacing w:line="360" w:lineRule="auto"/>
        <w:rPr>
          <w:rFonts w:eastAsiaTheme="minorEastAsia"/>
          <w:noProof/>
          <w:lang w:eastAsia="en-GB"/>
        </w:rPr>
      </w:pPr>
      <w:hyperlink w:anchor="_Toc127975929" w:history="1">
        <w:r w:rsidR="002C2D05" w:rsidRPr="007B2563">
          <w:rPr>
            <w:rStyle w:val="Hyperlink"/>
            <w:rFonts w:cstheme="minorHAnsi"/>
            <w:noProof/>
          </w:rPr>
          <w:t>Table 28. Responses to each question on the appetite VAS questionnaire, for all participants (n=11) across each stage (week 0, 3 and 6) of the REMEND trial.</w:t>
        </w:r>
        <w:r w:rsidR="002C2D05">
          <w:rPr>
            <w:noProof/>
            <w:webHidden/>
          </w:rPr>
          <w:tab/>
        </w:r>
        <w:r w:rsidR="00003FA1">
          <w:rPr>
            <w:noProof/>
            <w:webHidden/>
          </w:rPr>
          <w:t>146</w:t>
        </w:r>
      </w:hyperlink>
    </w:p>
    <w:p w14:paraId="50EA60F3" w14:textId="720F9C6D" w:rsidR="002C2D05" w:rsidRDefault="00EB542D" w:rsidP="00760192">
      <w:pPr>
        <w:pStyle w:val="TableofFigures"/>
        <w:tabs>
          <w:tab w:val="right" w:leader="dot" w:pos="13950"/>
        </w:tabs>
        <w:spacing w:line="360" w:lineRule="auto"/>
        <w:rPr>
          <w:rFonts w:eastAsiaTheme="minorEastAsia"/>
          <w:noProof/>
          <w:lang w:eastAsia="en-GB"/>
        </w:rPr>
      </w:pPr>
      <w:hyperlink w:anchor="_Toc127975930" w:history="1">
        <w:r w:rsidR="002C2D05" w:rsidRPr="007B2563">
          <w:rPr>
            <w:rStyle w:val="Hyperlink"/>
            <w:rFonts w:cstheme="minorHAnsi"/>
            <w:noProof/>
          </w:rPr>
          <w:t>Table 29. Mean (SD) muscle parameter measures for all participants (n=11) collected before the intervention commenced and after the 6 week trial.</w:t>
        </w:r>
        <w:r w:rsidR="002C2D05">
          <w:rPr>
            <w:noProof/>
            <w:webHidden/>
          </w:rPr>
          <w:tab/>
        </w:r>
        <w:r w:rsidR="00003FA1">
          <w:rPr>
            <w:noProof/>
            <w:webHidden/>
          </w:rPr>
          <w:t>147</w:t>
        </w:r>
      </w:hyperlink>
    </w:p>
    <w:p w14:paraId="4A962AC9" w14:textId="7D15FDED" w:rsidR="002C2D05" w:rsidRDefault="00EB542D" w:rsidP="00760192">
      <w:pPr>
        <w:pStyle w:val="TableofFigures"/>
        <w:tabs>
          <w:tab w:val="right" w:leader="dot" w:pos="13950"/>
        </w:tabs>
        <w:spacing w:line="360" w:lineRule="auto"/>
        <w:rPr>
          <w:rFonts w:eastAsiaTheme="minorEastAsia"/>
          <w:noProof/>
          <w:lang w:eastAsia="en-GB"/>
        </w:rPr>
      </w:pPr>
      <w:hyperlink w:anchor="_Toc127975931" w:history="1">
        <w:r w:rsidR="002C2D05" w:rsidRPr="007B2563">
          <w:rPr>
            <w:rStyle w:val="Hyperlink"/>
            <w:rFonts w:cstheme="minorHAnsi"/>
            <w:noProof/>
          </w:rPr>
          <w:t>Table 30. A summary of themes and sub-themes that emerged from the thematic analysis.</w:t>
        </w:r>
        <w:r w:rsidR="002C2D05">
          <w:rPr>
            <w:noProof/>
            <w:webHidden/>
          </w:rPr>
          <w:tab/>
        </w:r>
        <w:r w:rsidR="00003FA1">
          <w:rPr>
            <w:noProof/>
            <w:webHidden/>
          </w:rPr>
          <w:t>149</w:t>
        </w:r>
      </w:hyperlink>
    </w:p>
    <w:p w14:paraId="7DF4390F" w14:textId="29EED18E" w:rsidR="002C2D05" w:rsidRDefault="00EB542D" w:rsidP="00760192">
      <w:pPr>
        <w:pStyle w:val="TableofFigures"/>
        <w:tabs>
          <w:tab w:val="right" w:leader="dot" w:pos="13950"/>
        </w:tabs>
        <w:spacing w:line="360" w:lineRule="auto"/>
        <w:rPr>
          <w:rFonts w:eastAsiaTheme="minorEastAsia"/>
          <w:noProof/>
          <w:lang w:eastAsia="en-GB"/>
        </w:rPr>
      </w:pPr>
      <w:hyperlink w:anchor="_Toc127975932" w:history="1">
        <w:r w:rsidR="002C2D05" w:rsidRPr="007B2563">
          <w:rPr>
            <w:rStyle w:val="Hyperlink"/>
            <w:rFonts w:cstheme="minorHAnsi"/>
            <w:noProof/>
          </w:rPr>
          <w:t>Table 31. CERT framework for the exercise intervention protocol.</w:t>
        </w:r>
        <w:r w:rsidR="002C2D05">
          <w:rPr>
            <w:noProof/>
            <w:webHidden/>
          </w:rPr>
          <w:tab/>
        </w:r>
        <w:r w:rsidR="00003FA1">
          <w:rPr>
            <w:noProof/>
            <w:webHidden/>
          </w:rPr>
          <w:t>195</w:t>
        </w:r>
      </w:hyperlink>
    </w:p>
    <w:p w14:paraId="1D3DDEB3" w14:textId="58975835" w:rsidR="002C2D05" w:rsidRDefault="00EB542D" w:rsidP="00760192">
      <w:pPr>
        <w:pStyle w:val="TableofFigures"/>
        <w:tabs>
          <w:tab w:val="right" w:leader="dot" w:pos="13950"/>
        </w:tabs>
        <w:spacing w:line="360" w:lineRule="auto"/>
        <w:rPr>
          <w:rFonts w:eastAsiaTheme="minorEastAsia"/>
          <w:noProof/>
          <w:lang w:eastAsia="en-GB"/>
        </w:rPr>
      </w:pPr>
      <w:hyperlink w:anchor="_Toc127975933" w:history="1">
        <w:r w:rsidR="002C2D05" w:rsidRPr="007B2563">
          <w:rPr>
            <w:rStyle w:val="Hyperlink"/>
            <w:rFonts w:cstheme="minorHAnsi"/>
            <w:noProof/>
          </w:rPr>
          <w:t>Table 32. Primary and secondary measurements taken for participants at University sports facilities.</w:t>
        </w:r>
        <w:r w:rsidR="002C2D05">
          <w:rPr>
            <w:noProof/>
            <w:webHidden/>
          </w:rPr>
          <w:tab/>
        </w:r>
        <w:r w:rsidR="00003FA1">
          <w:rPr>
            <w:noProof/>
            <w:webHidden/>
          </w:rPr>
          <w:t>197</w:t>
        </w:r>
      </w:hyperlink>
    </w:p>
    <w:p w14:paraId="22ABAE36" w14:textId="4A530816" w:rsidR="004F4AF8" w:rsidRPr="00CA4ABC" w:rsidRDefault="004F4AF8" w:rsidP="00760192">
      <w:pPr>
        <w:pStyle w:val="TableofFigures"/>
        <w:tabs>
          <w:tab w:val="right" w:leader="dot" w:pos="9010"/>
        </w:tabs>
        <w:spacing w:line="360" w:lineRule="auto"/>
        <w:rPr>
          <w:rStyle w:val="Hyperlink"/>
          <w:rFonts w:cstheme="minorHAnsi"/>
          <w:noProof/>
          <w:color w:val="000000" w:themeColor="text1"/>
          <w:u w:val="none"/>
        </w:rPr>
      </w:pPr>
    </w:p>
    <w:p w14:paraId="6E6A1339" w14:textId="76706CBC" w:rsidR="008816EE" w:rsidRPr="00CA4ABC" w:rsidRDefault="008816EE" w:rsidP="00760192">
      <w:pPr>
        <w:spacing w:line="360" w:lineRule="auto"/>
        <w:rPr>
          <w:rFonts w:cstheme="minorHAnsi"/>
        </w:rPr>
      </w:pPr>
    </w:p>
    <w:p w14:paraId="52087264" w14:textId="0D26940B" w:rsidR="008816EE" w:rsidRPr="00CA4ABC" w:rsidRDefault="008816EE" w:rsidP="00F42CB9">
      <w:pPr>
        <w:spacing w:line="360" w:lineRule="auto"/>
        <w:rPr>
          <w:rFonts w:cstheme="minorHAnsi"/>
        </w:rPr>
      </w:pPr>
    </w:p>
    <w:p w14:paraId="20414D2B" w14:textId="77777777" w:rsidR="008816EE" w:rsidRPr="00CA4ABC" w:rsidRDefault="008816EE" w:rsidP="00F42CB9">
      <w:pPr>
        <w:spacing w:line="360" w:lineRule="auto"/>
        <w:rPr>
          <w:rFonts w:cstheme="minorHAnsi"/>
        </w:rPr>
      </w:pPr>
    </w:p>
    <w:bookmarkStart w:id="11" w:name="_Toc122958268" w:displacedByCustomXml="next"/>
    <w:sdt>
      <w:sdtPr>
        <w:rPr>
          <w:rFonts w:asciiTheme="minorHAnsi" w:eastAsiaTheme="minorHAnsi" w:hAnsiTheme="minorHAnsi" w:cstheme="minorBidi"/>
          <w:b w:val="0"/>
          <w:bCs w:val="0"/>
          <w:color w:val="0563C1" w:themeColor="hyperlink"/>
          <w:sz w:val="24"/>
          <w:szCs w:val="24"/>
          <w:u w:val="single"/>
          <w:lang w:val="en-GB"/>
        </w:rPr>
        <w:id w:val="-80305383"/>
        <w:docPartObj>
          <w:docPartGallery w:val="Table of Contents"/>
          <w:docPartUnique/>
        </w:docPartObj>
      </w:sdtPr>
      <w:sdtEndPr>
        <w:rPr>
          <w:noProof/>
          <w:color w:val="auto"/>
          <w:u w:val="none"/>
        </w:rPr>
      </w:sdtEndPr>
      <w:sdtContent>
        <w:p w14:paraId="4544A72C" w14:textId="45AFA00A" w:rsidR="00DE64E0" w:rsidRDefault="00DE64E0">
          <w:pPr>
            <w:pStyle w:val="TOCHeading"/>
          </w:pPr>
          <w:r>
            <w:t>Table of Contents</w:t>
          </w:r>
        </w:p>
        <w:p w14:paraId="51831692" w14:textId="58C06BB0" w:rsidR="00DE64E0" w:rsidRDefault="00DE64E0">
          <w:pPr>
            <w:pStyle w:val="TOC2"/>
            <w:rPr>
              <w:rFonts w:eastAsiaTheme="minorEastAsia" w:cstheme="minorBidi"/>
              <w:noProof/>
              <w:kern w:val="2"/>
              <w:sz w:val="24"/>
              <w:szCs w:val="24"/>
              <w:lang w:eastAsia="en-GB"/>
              <w14:ligatures w14:val="standardContextual"/>
            </w:rPr>
          </w:pPr>
          <w:r>
            <w:fldChar w:fldCharType="begin"/>
          </w:r>
          <w:r>
            <w:instrText xml:space="preserve"> TOC \o "1-3" \h \z \u </w:instrText>
          </w:r>
          <w:r>
            <w:fldChar w:fldCharType="separate"/>
          </w:r>
          <w:hyperlink w:anchor="_Toc135384225" w:history="1">
            <w:r w:rsidRPr="00EF528F">
              <w:rPr>
                <w:rStyle w:val="Hyperlink"/>
                <w:b/>
                <w:bCs/>
                <w:noProof/>
              </w:rPr>
              <w:t>Abstract</w:t>
            </w:r>
            <w:r w:rsidR="001F6691">
              <w:rPr>
                <w:rStyle w:val="Hyperlink"/>
                <w:b/>
                <w:bCs/>
                <w:noProof/>
              </w:rPr>
              <w:t>……..</w:t>
            </w:r>
            <w:r>
              <w:rPr>
                <w:noProof/>
                <w:webHidden/>
              </w:rPr>
              <w:tab/>
            </w:r>
            <w:r>
              <w:rPr>
                <w:noProof/>
                <w:webHidden/>
              </w:rPr>
              <w:fldChar w:fldCharType="begin"/>
            </w:r>
            <w:r>
              <w:rPr>
                <w:noProof/>
                <w:webHidden/>
              </w:rPr>
              <w:instrText xml:space="preserve"> PAGEREF _Toc135384225 \h </w:instrText>
            </w:r>
            <w:r>
              <w:rPr>
                <w:noProof/>
                <w:webHidden/>
              </w:rPr>
            </w:r>
            <w:r>
              <w:rPr>
                <w:noProof/>
                <w:webHidden/>
              </w:rPr>
              <w:fldChar w:fldCharType="separate"/>
            </w:r>
            <w:r w:rsidR="003A67BA">
              <w:rPr>
                <w:noProof/>
                <w:webHidden/>
              </w:rPr>
              <w:t>2</w:t>
            </w:r>
            <w:r>
              <w:rPr>
                <w:noProof/>
                <w:webHidden/>
              </w:rPr>
              <w:fldChar w:fldCharType="end"/>
            </w:r>
          </w:hyperlink>
        </w:p>
        <w:p w14:paraId="2D05D308" w14:textId="706FE67D" w:rsidR="00DE64E0" w:rsidRDefault="00DE64E0">
          <w:pPr>
            <w:pStyle w:val="TOC2"/>
            <w:rPr>
              <w:rFonts w:eastAsiaTheme="minorEastAsia" w:cstheme="minorBidi"/>
              <w:noProof/>
              <w:kern w:val="2"/>
              <w:sz w:val="24"/>
              <w:szCs w:val="24"/>
              <w:lang w:eastAsia="en-GB"/>
              <w14:ligatures w14:val="standardContextual"/>
            </w:rPr>
          </w:pPr>
          <w:hyperlink w:anchor="_Toc135384226" w:history="1">
            <w:r w:rsidRPr="00EF528F">
              <w:rPr>
                <w:rStyle w:val="Hyperlink"/>
                <w:b/>
                <w:bCs/>
                <w:noProof/>
              </w:rPr>
              <w:t>Dedication</w:t>
            </w:r>
            <w:r w:rsidR="00FA31B6">
              <w:rPr>
                <w:rStyle w:val="Hyperlink"/>
                <w:b/>
                <w:bCs/>
                <w:noProof/>
              </w:rPr>
              <w:t>..</w:t>
            </w:r>
            <w:r>
              <w:rPr>
                <w:noProof/>
                <w:webHidden/>
              </w:rPr>
              <w:tab/>
            </w:r>
            <w:r>
              <w:rPr>
                <w:noProof/>
                <w:webHidden/>
              </w:rPr>
              <w:fldChar w:fldCharType="begin"/>
            </w:r>
            <w:r>
              <w:rPr>
                <w:noProof/>
                <w:webHidden/>
              </w:rPr>
              <w:instrText xml:space="preserve"> PAGEREF _Toc135384226 \h </w:instrText>
            </w:r>
            <w:r>
              <w:rPr>
                <w:noProof/>
                <w:webHidden/>
              </w:rPr>
            </w:r>
            <w:r>
              <w:rPr>
                <w:noProof/>
                <w:webHidden/>
              </w:rPr>
              <w:fldChar w:fldCharType="separate"/>
            </w:r>
            <w:r w:rsidR="003A67BA">
              <w:rPr>
                <w:noProof/>
                <w:webHidden/>
              </w:rPr>
              <w:t>4</w:t>
            </w:r>
            <w:r>
              <w:rPr>
                <w:noProof/>
                <w:webHidden/>
              </w:rPr>
              <w:fldChar w:fldCharType="end"/>
            </w:r>
          </w:hyperlink>
        </w:p>
        <w:p w14:paraId="537D9446" w14:textId="71FBB6DB" w:rsidR="00DE64E0" w:rsidRDefault="00EB542D">
          <w:pPr>
            <w:pStyle w:val="TOC2"/>
            <w:rPr>
              <w:rFonts w:eastAsiaTheme="minorEastAsia" w:cstheme="minorBidi"/>
              <w:noProof/>
              <w:kern w:val="2"/>
              <w:sz w:val="24"/>
              <w:szCs w:val="24"/>
              <w:lang w:eastAsia="en-GB"/>
              <w14:ligatures w14:val="standardContextual"/>
            </w:rPr>
          </w:pPr>
          <w:hyperlink w:anchor="_Toc135384227" w:history="1">
            <w:r w:rsidR="00DE64E0" w:rsidRPr="00EF528F">
              <w:rPr>
                <w:rStyle w:val="Hyperlink"/>
                <w:b/>
                <w:bCs/>
                <w:noProof/>
              </w:rPr>
              <w:t>Acknowledgements</w:t>
            </w:r>
            <w:r w:rsidR="00DE64E0">
              <w:rPr>
                <w:noProof/>
                <w:webHidden/>
              </w:rPr>
              <w:tab/>
            </w:r>
            <w:r w:rsidR="00DE64E0">
              <w:rPr>
                <w:noProof/>
                <w:webHidden/>
              </w:rPr>
              <w:fldChar w:fldCharType="begin"/>
            </w:r>
            <w:r w:rsidR="00DE64E0">
              <w:rPr>
                <w:noProof/>
                <w:webHidden/>
              </w:rPr>
              <w:instrText xml:space="preserve"> PAGEREF _Toc135384227 \h </w:instrText>
            </w:r>
            <w:r w:rsidR="00DE64E0">
              <w:rPr>
                <w:noProof/>
                <w:webHidden/>
              </w:rPr>
            </w:r>
            <w:r w:rsidR="00DE64E0">
              <w:rPr>
                <w:noProof/>
                <w:webHidden/>
              </w:rPr>
              <w:fldChar w:fldCharType="separate"/>
            </w:r>
            <w:r w:rsidR="003A67BA">
              <w:rPr>
                <w:noProof/>
                <w:webHidden/>
              </w:rPr>
              <w:t>4</w:t>
            </w:r>
            <w:r w:rsidR="00DE64E0">
              <w:rPr>
                <w:noProof/>
                <w:webHidden/>
              </w:rPr>
              <w:fldChar w:fldCharType="end"/>
            </w:r>
          </w:hyperlink>
        </w:p>
        <w:p w14:paraId="13AE2E61" w14:textId="65818169" w:rsidR="00DE64E0" w:rsidRDefault="00EB542D">
          <w:pPr>
            <w:pStyle w:val="TOC2"/>
            <w:rPr>
              <w:rFonts w:eastAsiaTheme="minorEastAsia" w:cstheme="minorBidi"/>
              <w:noProof/>
              <w:kern w:val="2"/>
              <w:sz w:val="24"/>
              <w:szCs w:val="24"/>
              <w:lang w:eastAsia="en-GB"/>
              <w14:ligatures w14:val="standardContextual"/>
            </w:rPr>
          </w:pPr>
          <w:hyperlink w:anchor="_Toc135384228" w:history="1">
            <w:r w:rsidR="00DE64E0" w:rsidRPr="00EF528F">
              <w:rPr>
                <w:rStyle w:val="Hyperlink"/>
                <w:b/>
                <w:bCs/>
                <w:noProof/>
                <w:lang w:eastAsia="en-GB"/>
              </w:rPr>
              <w:t>Publication arising from this thesis.</w:t>
            </w:r>
            <w:r w:rsidR="00DE64E0">
              <w:rPr>
                <w:noProof/>
                <w:webHidden/>
              </w:rPr>
              <w:tab/>
            </w:r>
            <w:r w:rsidR="00DE64E0">
              <w:rPr>
                <w:noProof/>
                <w:webHidden/>
              </w:rPr>
              <w:fldChar w:fldCharType="begin"/>
            </w:r>
            <w:r w:rsidR="00DE64E0">
              <w:rPr>
                <w:noProof/>
                <w:webHidden/>
              </w:rPr>
              <w:instrText xml:space="preserve"> PAGEREF _Toc135384228 \h </w:instrText>
            </w:r>
            <w:r w:rsidR="00DE64E0">
              <w:rPr>
                <w:noProof/>
                <w:webHidden/>
              </w:rPr>
            </w:r>
            <w:r w:rsidR="00DE64E0">
              <w:rPr>
                <w:noProof/>
                <w:webHidden/>
              </w:rPr>
              <w:fldChar w:fldCharType="separate"/>
            </w:r>
            <w:r w:rsidR="003A67BA">
              <w:rPr>
                <w:noProof/>
                <w:webHidden/>
              </w:rPr>
              <w:t>5</w:t>
            </w:r>
            <w:r w:rsidR="00DE64E0">
              <w:rPr>
                <w:noProof/>
                <w:webHidden/>
              </w:rPr>
              <w:fldChar w:fldCharType="end"/>
            </w:r>
          </w:hyperlink>
        </w:p>
        <w:p w14:paraId="1C35F6C3" w14:textId="434D004F" w:rsidR="00DE64E0" w:rsidRDefault="00EB542D">
          <w:pPr>
            <w:pStyle w:val="TOC2"/>
            <w:rPr>
              <w:rFonts w:eastAsiaTheme="minorEastAsia" w:cstheme="minorBidi"/>
              <w:noProof/>
              <w:kern w:val="2"/>
              <w:sz w:val="24"/>
              <w:szCs w:val="24"/>
              <w:lang w:eastAsia="en-GB"/>
              <w14:ligatures w14:val="standardContextual"/>
            </w:rPr>
          </w:pPr>
          <w:hyperlink w:anchor="_Toc135384229" w:history="1">
            <w:r w:rsidR="00DE64E0" w:rsidRPr="00EF528F">
              <w:rPr>
                <w:rStyle w:val="Hyperlink"/>
                <w:b/>
                <w:bCs/>
                <w:noProof/>
                <w:lang w:eastAsia="en-GB"/>
              </w:rPr>
              <w:t>Associated publications during the PhD registration period.</w:t>
            </w:r>
            <w:r w:rsidR="00DE64E0">
              <w:rPr>
                <w:noProof/>
                <w:webHidden/>
              </w:rPr>
              <w:tab/>
            </w:r>
            <w:r w:rsidR="00DE64E0">
              <w:rPr>
                <w:noProof/>
                <w:webHidden/>
              </w:rPr>
              <w:fldChar w:fldCharType="begin"/>
            </w:r>
            <w:r w:rsidR="00DE64E0">
              <w:rPr>
                <w:noProof/>
                <w:webHidden/>
              </w:rPr>
              <w:instrText xml:space="preserve"> PAGEREF _Toc135384229 \h </w:instrText>
            </w:r>
            <w:r w:rsidR="00DE64E0">
              <w:rPr>
                <w:noProof/>
                <w:webHidden/>
              </w:rPr>
            </w:r>
            <w:r w:rsidR="00DE64E0">
              <w:rPr>
                <w:noProof/>
                <w:webHidden/>
              </w:rPr>
              <w:fldChar w:fldCharType="separate"/>
            </w:r>
            <w:r w:rsidR="003A67BA">
              <w:rPr>
                <w:noProof/>
                <w:webHidden/>
              </w:rPr>
              <w:t>5</w:t>
            </w:r>
            <w:r w:rsidR="00DE64E0">
              <w:rPr>
                <w:noProof/>
                <w:webHidden/>
              </w:rPr>
              <w:fldChar w:fldCharType="end"/>
            </w:r>
          </w:hyperlink>
        </w:p>
        <w:p w14:paraId="5D48612B" w14:textId="4F7D3AFC" w:rsidR="00DE64E0" w:rsidRDefault="00EB542D">
          <w:pPr>
            <w:pStyle w:val="TOC2"/>
            <w:rPr>
              <w:rFonts w:eastAsiaTheme="minorEastAsia" w:cstheme="minorBidi"/>
              <w:noProof/>
              <w:kern w:val="2"/>
              <w:sz w:val="24"/>
              <w:szCs w:val="24"/>
              <w:lang w:eastAsia="en-GB"/>
              <w14:ligatures w14:val="standardContextual"/>
            </w:rPr>
          </w:pPr>
          <w:hyperlink w:anchor="_Toc135384230" w:history="1">
            <w:r w:rsidR="00DE64E0" w:rsidRPr="00EF528F">
              <w:rPr>
                <w:rStyle w:val="Hyperlink"/>
                <w:rFonts w:eastAsia="Times New Roman"/>
                <w:b/>
                <w:bCs/>
                <w:noProof/>
                <w:lang w:eastAsia="en-GB"/>
              </w:rPr>
              <w:t>Conference presentations</w:t>
            </w:r>
            <w:r w:rsidR="00DE64E0">
              <w:rPr>
                <w:noProof/>
                <w:webHidden/>
              </w:rPr>
              <w:tab/>
            </w:r>
            <w:r w:rsidR="00DE64E0">
              <w:rPr>
                <w:noProof/>
                <w:webHidden/>
              </w:rPr>
              <w:fldChar w:fldCharType="begin"/>
            </w:r>
            <w:r w:rsidR="00DE64E0">
              <w:rPr>
                <w:noProof/>
                <w:webHidden/>
              </w:rPr>
              <w:instrText xml:space="preserve"> PAGEREF _Toc135384230 \h </w:instrText>
            </w:r>
            <w:r w:rsidR="00DE64E0">
              <w:rPr>
                <w:noProof/>
                <w:webHidden/>
              </w:rPr>
            </w:r>
            <w:r w:rsidR="00DE64E0">
              <w:rPr>
                <w:noProof/>
                <w:webHidden/>
              </w:rPr>
              <w:fldChar w:fldCharType="separate"/>
            </w:r>
            <w:r w:rsidR="003A67BA">
              <w:rPr>
                <w:noProof/>
                <w:webHidden/>
              </w:rPr>
              <w:t>5</w:t>
            </w:r>
            <w:r w:rsidR="00DE64E0">
              <w:rPr>
                <w:noProof/>
                <w:webHidden/>
              </w:rPr>
              <w:fldChar w:fldCharType="end"/>
            </w:r>
          </w:hyperlink>
        </w:p>
        <w:p w14:paraId="3CC48FA7" w14:textId="2130CED0" w:rsidR="00DE64E0" w:rsidRDefault="00EB542D" w:rsidP="003A67BA">
          <w:pPr>
            <w:pStyle w:val="TOC3"/>
            <w:rPr>
              <w:rFonts w:eastAsiaTheme="minorEastAsia" w:cstheme="minorBidi"/>
              <w:noProof/>
              <w:kern w:val="2"/>
              <w:sz w:val="24"/>
              <w:szCs w:val="24"/>
              <w:lang w:eastAsia="en-GB"/>
              <w14:ligatures w14:val="standardContextual"/>
            </w:rPr>
          </w:pPr>
          <w:hyperlink w:anchor="_Toc135384231" w:history="1">
            <w:r w:rsidR="00DE64E0" w:rsidRPr="00EF528F">
              <w:rPr>
                <w:rStyle w:val="Hyperlink"/>
                <w:rFonts w:eastAsia="Times New Roman"/>
                <w:noProof/>
              </w:rPr>
              <w:t>Oral presentations</w:t>
            </w:r>
            <w:r w:rsidR="00DE64E0">
              <w:rPr>
                <w:noProof/>
                <w:webHidden/>
              </w:rPr>
              <w:tab/>
            </w:r>
            <w:r w:rsidR="00DE64E0">
              <w:rPr>
                <w:noProof/>
                <w:webHidden/>
              </w:rPr>
              <w:fldChar w:fldCharType="begin"/>
            </w:r>
            <w:r w:rsidR="00DE64E0">
              <w:rPr>
                <w:noProof/>
                <w:webHidden/>
              </w:rPr>
              <w:instrText xml:space="preserve"> PAGEREF _Toc135384231 \h </w:instrText>
            </w:r>
            <w:r w:rsidR="00DE64E0">
              <w:rPr>
                <w:noProof/>
                <w:webHidden/>
              </w:rPr>
            </w:r>
            <w:r w:rsidR="00DE64E0">
              <w:rPr>
                <w:noProof/>
                <w:webHidden/>
              </w:rPr>
              <w:fldChar w:fldCharType="separate"/>
            </w:r>
            <w:r w:rsidR="003A67BA">
              <w:rPr>
                <w:noProof/>
                <w:webHidden/>
              </w:rPr>
              <w:t>5</w:t>
            </w:r>
            <w:r w:rsidR="00DE64E0">
              <w:rPr>
                <w:noProof/>
                <w:webHidden/>
              </w:rPr>
              <w:fldChar w:fldCharType="end"/>
            </w:r>
          </w:hyperlink>
        </w:p>
        <w:p w14:paraId="5BC7DC1F" w14:textId="4ACA20E7" w:rsidR="00DE64E0" w:rsidRDefault="00EB542D" w:rsidP="003A67BA">
          <w:pPr>
            <w:pStyle w:val="TOC3"/>
            <w:rPr>
              <w:rFonts w:eastAsiaTheme="minorEastAsia" w:cstheme="minorBidi"/>
              <w:noProof/>
              <w:kern w:val="2"/>
              <w:sz w:val="24"/>
              <w:szCs w:val="24"/>
              <w:lang w:eastAsia="en-GB"/>
              <w14:ligatures w14:val="standardContextual"/>
            </w:rPr>
          </w:pPr>
          <w:hyperlink w:anchor="_Toc135384232" w:history="1">
            <w:r w:rsidR="00DE64E0" w:rsidRPr="00EF528F">
              <w:rPr>
                <w:rStyle w:val="Hyperlink"/>
                <w:noProof/>
              </w:rPr>
              <w:t>Poster presentations</w:t>
            </w:r>
            <w:r w:rsidR="00DE64E0">
              <w:rPr>
                <w:noProof/>
                <w:webHidden/>
              </w:rPr>
              <w:tab/>
            </w:r>
            <w:r w:rsidR="00DE64E0">
              <w:rPr>
                <w:noProof/>
                <w:webHidden/>
              </w:rPr>
              <w:fldChar w:fldCharType="begin"/>
            </w:r>
            <w:r w:rsidR="00DE64E0">
              <w:rPr>
                <w:noProof/>
                <w:webHidden/>
              </w:rPr>
              <w:instrText xml:space="preserve"> PAGEREF _Toc135384232 \h </w:instrText>
            </w:r>
            <w:r w:rsidR="00DE64E0">
              <w:rPr>
                <w:noProof/>
                <w:webHidden/>
              </w:rPr>
            </w:r>
            <w:r w:rsidR="00DE64E0">
              <w:rPr>
                <w:noProof/>
                <w:webHidden/>
              </w:rPr>
              <w:fldChar w:fldCharType="separate"/>
            </w:r>
            <w:r w:rsidR="003A67BA">
              <w:rPr>
                <w:noProof/>
                <w:webHidden/>
              </w:rPr>
              <w:t>6</w:t>
            </w:r>
            <w:r w:rsidR="00DE64E0">
              <w:rPr>
                <w:noProof/>
                <w:webHidden/>
              </w:rPr>
              <w:fldChar w:fldCharType="end"/>
            </w:r>
          </w:hyperlink>
        </w:p>
        <w:p w14:paraId="1D548507" w14:textId="59204240" w:rsidR="00DE64E0" w:rsidRDefault="00EB542D">
          <w:pPr>
            <w:pStyle w:val="TOC2"/>
            <w:rPr>
              <w:rFonts w:eastAsiaTheme="minorEastAsia" w:cstheme="minorBidi"/>
              <w:noProof/>
              <w:kern w:val="2"/>
              <w:sz w:val="24"/>
              <w:szCs w:val="24"/>
              <w:lang w:eastAsia="en-GB"/>
              <w14:ligatures w14:val="standardContextual"/>
            </w:rPr>
          </w:pPr>
          <w:hyperlink w:anchor="_Toc135384233" w:history="1">
            <w:r w:rsidR="00DE64E0" w:rsidRPr="00EF528F">
              <w:rPr>
                <w:rStyle w:val="Hyperlink"/>
                <w:b/>
                <w:bCs/>
                <w:noProof/>
              </w:rPr>
              <w:t>List of Abbreviations</w:t>
            </w:r>
            <w:r w:rsidR="00DE64E0">
              <w:rPr>
                <w:noProof/>
                <w:webHidden/>
              </w:rPr>
              <w:tab/>
            </w:r>
            <w:r w:rsidR="00DE64E0">
              <w:rPr>
                <w:noProof/>
                <w:webHidden/>
              </w:rPr>
              <w:fldChar w:fldCharType="begin"/>
            </w:r>
            <w:r w:rsidR="00DE64E0">
              <w:rPr>
                <w:noProof/>
                <w:webHidden/>
              </w:rPr>
              <w:instrText xml:space="preserve"> PAGEREF _Toc135384233 \h </w:instrText>
            </w:r>
            <w:r w:rsidR="00DE64E0">
              <w:rPr>
                <w:noProof/>
                <w:webHidden/>
              </w:rPr>
            </w:r>
            <w:r w:rsidR="00DE64E0">
              <w:rPr>
                <w:noProof/>
                <w:webHidden/>
              </w:rPr>
              <w:fldChar w:fldCharType="separate"/>
            </w:r>
            <w:r w:rsidR="003A67BA">
              <w:rPr>
                <w:noProof/>
                <w:webHidden/>
              </w:rPr>
              <w:t>7</w:t>
            </w:r>
            <w:r w:rsidR="00DE64E0">
              <w:rPr>
                <w:noProof/>
                <w:webHidden/>
              </w:rPr>
              <w:fldChar w:fldCharType="end"/>
            </w:r>
          </w:hyperlink>
        </w:p>
        <w:p w14:paraId="4E80295F" w14:textId="534CBD86" w:rsidR="00DE64E0" w:rsidRDefault="00EB542D">
          <w:pPr>
            <w:pStyle w:val="TOC2"/>
            <w:rPr>
              <w:rFonts w:eastAsiaTheme="minorEastAsia" w:cstheme="minorBidi"/>
              <w:noProof/>
              <w:kern w:val="2"/>
              <w:sz w:val="24"/>
              <w:szCs w:val="24"/>
              <w:lang w:eastAsia="en-GB"/>
              <w14:ligatures w14:val="standardContextual"/>
            </w:rPr>
          </w:pPr>
          <w:hyperlink w:anchor="_Toc135384234" w:history="1">
            <w:r w:rsidR="00DE64E0" w:rsidRPr="00EF528F">
              <w:rPr>
                <w:rStyle w:val="Hyperlink"/>
                <w:b/>
                <w:bCs/>
                <w:noProof/>
              </w:rPr>
              <w:t>List of tables:</w:t>
            </w:r>
            <w:r w:rsidR="00DE64E0">
              <w:rPr>
                <w:noProof/>
                <w:webHidden/>
              </w:rPr>
              <w:tab/>
            </w:r>
            <w:r w:rsidR="00DE64E0">
              <w:rPr>
                <w:noProof/>
                <w:webHidden/>
              </w:rPr>
              <w:fldChar w:fldCharType="begin"/>
            </w:r>
            <w:r w:rsidR="00DE64E0">
              <w:rPr>
                <w:noProof/>
                <w:webHidden/>
              </w:rPr>
              <w:instrText xml:space="preserve"> PAGEREF _Toc135384234 \h </w:instrText>
            </w:r>
            <w:r w:rsidR="00DE64E0">
              <w:rPr>
                <w:noProof/>
                <w:webHidden/>
              </w:rPr>
            </w:r>
            <w:r w:rsidR="00DE64E0">
              <w:rPr>
                <w:noProof/>
                <w:webHidden/>
              </w:rPr>
              <w:fldChar w:fldCharType="separate"/>
            </w:r>
            <w:r w:rsidR="003A67BA">
              <w:rPr>
                <w:noProof/>
                <w:webHidden/>
              </w:rPr>
              <w:t>11</w:t>
            </w:r>
            <w:r w:rsidR="00DE64E0">
              <w:rPr>
                <w:noProof/>
                <w:webHidden/>
              </w:rPr>
              <w:fldChar w:fldCharType="end"/>
            </w:r>
          </w:hyperlink>
        </w:p>
        <w:p w14:paraId="25BFF476" w14:textId="68F0207E"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235" w:history="1">
            <w:r w:rsidRPr="00EF528F">
              <w:rPr>
                <w:rStyle w:val="Hyperlink"/>
                <w:noProof/>
              </w:rPr>
              <w:t>Chapter 1: General Introduction and Literature Review</w:t>
            </w:r>
            <w:r>
              <w:rPr>
                <w:noProof/>
                <w:webHidden/>
              </w:rPr>
              <w:tab/>
            </w:r>
            <w:r>
              <w:rPr>
                <w:noProof/>
                <w:webHidden/>
              </w:rPr>
              <w:fldChar w:fldCharType="begin"/>
            </w:r>
            <w:r>
              <w:rPr>
                <w:noProof/>
                <w:webHidden/>
              </w:rPr>
              <w:instrText xml:space="preserve"> PAGEREF _Toc135384235 \h </w:instrText>
            </w:r>
            <w:r>
              <w:rPr>
                <w:noProof/>
                <w:webHidden/>
              </w:rPr>
            </w:r>
            <w:r>
              <w:rPr>
                <w:noProof/>
                <w:webHidden/>
              </w:rPr>
              <w:fldChar w:fldCharType="separate"/>
            </w:r>
            <w:r w:rsidR="003A67BA">
              <w:rPr>
                <w:noProof/>
                <w:webHidden/>
              </w:rPr>
              <w:t>19</w:t>
            </w:r>
            <w:r>
              <w:rPr>
                <w:noProof/>
                <w:webHidden/>
              </w:rPr>
              <w:fldChar w:fldCharType="end"/>
            </w:r>
          </w:hyperlink>
        </w:p>
        <w:p w14:paraId="50120944" w14:textId="5F1B6EA5" w:rsidR="00DE64E0" w:rsidRDefault="00DE64E0">
          <w:pPr>
            <w:pStyle w:val="TOC2"/>
            <w:rPr>
              <w:rFonts w:eastAsiaTheme="minorEastAsia" w:cstheme="minorBidi"/>
              <w:noProof/>
              <w:kern w:val="2"/>
              <w:sz w:val="24"/>
              <w:szCs w:val="24"/>
              <w:lang w:eastAsia="en-GB"/>
              <w14:ligatures w14:val="standardContextual"/>
            </w:rPr>
          </w:pPr>
          <w:hyperlink w:anchor="_Toc135384236" w:history="1">
            <w:r w:rsidRPr="00EF528F">
              <w:rPr>
                <w:rStyle w:val="Hyperlink"/>
                <w:b/>
                <w:bCs/>
                <w:noProof/>
              </w:rPr>
              <w:t>1.1 General Introduction</w:t>
            </w:r>
            <w:r>
              <w:rPr>
                <w:noProof/>
                <w:webHidden/>
              </w:rPr>
              <w:tab/>
            </w:r>
            <w:r>
              <w:rPr>
                <w:noProof/>
                <w:webHidden/>
              </w:rPr>
              <w:fldChar w:fldCharType="begin"/>
            </w:r>
            <w:r>
              <w:rPr>
                <w:noProof/>
                <w:webHidden/>
              </w:rPr>
              <w:instrText xml:space="preserve"> PAGEREF _Toc135384236 \h </w:instrText>
            </w:r>
            <w:r>
              <w:rPr>
                <w:noProof/>
                <w:webHidden/>
              </w:rPr>
            </w:r>
            <w:r>
              <w:rPr>
                <w:noProof/>
                <w:webHidden/>
              </w:rPr>
              <w:fldChar w:fldCharType="separate"/>
            </w:r>
            <w:r w:rsidR="003A67BA">
              <w:rPr>
                <w:noProof/>
                <w:webHidden/>
              </w:rPr>
              <w:t>19</w:t>
            </w:r>
            <w:r>
              <w:rPr>
                <w:noProof/>
                <w:webHidden/>
              </w:rPr>
              <w:fldChar w:fldCharType="end"/>
            </w:r>
          </w:hyperlink>
        </w:p>
        <w:p w14:paraId="5EFA4A98" w14:textId="3A7086DC" w:rsidR="00DE64E0" w:rsidRDefault="00DE64E0">
          <w:pPr>
            <w:pStyle w:val="TOC3"/>
            <w:rPr>
              <w:rFonts w:eastAsiaTheme="minorEastAsia" w:cstheme="minorBidi"/>
              <w:noProof/>
              <w:kern w:val="2"/>
              <w:sz w:val="24"/>
              <w:szCs w:val="24"/>
              <w:lang w:eastAsia="en-GB"/>
              <w14:ligatures w14:val="standardContextual"/>
            </w:rPr>
          </w:pPr>
          <w:hyperlink w:anchor="_Toc135384237" w:history="1">
            <w:r w:rsidRPr="00EF528F">
              <w:rPr>
                <w:rStyle w:val="Hyperlink"/>
                <w:noProof/>
              </w:rPr>
              <w:t>1.2.1. Skeletal muscle in health</w:t>
            </w:r>
            <w:r>
              <w:rPr>
                <w:noProof/>
                <w:webHidden/>
              </w:rPr>
              <w:tab/>
            </w:r>
            <w:r>
              <w:rPr>
                <w:noProof/>
                <w:webHidden/>
              </w:rPr>
              <w:fldChar w:fldCharType="begin"/>
            </w:r>
            <w:r>
              <w:rPr>
                <w:noProof/>
                <w:webHidden/>
              </w:rPr>
              <w:instrText xml:space="preserve"> PAGEREF _Toc135384237 \h </w:instrText>
            </w:r>
            <w:r>
              <w:rPr>
                <w:noProof/>
                <w:webHidden/>
              </w:rPr>
            </w:r>
            <w:r>
              <w:rPr>
                <w:noProof/>
                <w:webHidden/>
              </w:rPr>
              <w:fldChar w:fldCharType="separate"/>
            </w:r>
            <w:r w:rsidR="003A67BA">
              <w:rPr>
                <w:noProof/>
                <w:webHidden/>
              </w:rPr>
              <w:t>20</w:t>
            </w:r>
            <w:r>
              <w:rPr>
                <w:noProof/>
                <w:webHidden/>
              </w:rPr>
              <w:fldChar w:fldCharType="end"/>
            </w:r>
          </w:hyperlink>
        </w:p>
        <w:p w14:paraId="430CA1B4" w14:textId="09F27460" w:rsidR="00DE64E0" w:rsidRDefault="00DE64E0">
          <w:pPr>
            <w:pStyle w:val="TOC3"/>
            <w:rPr>
              <w:rFonts w:eastAsiaTheme="minorEastAsia" w:cstheme="minorBidi"/>
              <w:noProof/>
              <w:kern w:val="2"/>
              <w:sz w:val="24"/>
              <w:szCs w:val="24"/>
              <w:lang w:eastAsia="en-GB"/>
              <w14:ligatures w14:val="standardContextual"/>
            </w:rPr>
          </w:pPr>
          <w:hyperlink w:anchor="_Toc135384238" w:history="1">
            <w:r w:rsidRPr="00EF528F">
              <w:rPr>
                <w:rStyle w:val="Hyperlink"/>
                <w:noProof/>
              </w:rPr>
              <w:t>1.2.2 Muscle metabolism: synthesis and breakdown</w:t>
            </w:r>
            <w:r>
              <w:rPr>
                <w:noProof/>
                <w:webHidden/>
              </w:rPr>
              <w:tab/>
            </w:r>
            <w:r>
              <w:rPr>
                <w:noProof/>
                <w:webHidden/>
              </w:rPr>
              <w:fldChar w:fldCharType="begin"/>
            </w:r>
            <w:r>
              <w:rPr>
                <w:noProof/>
                <w:webHidden/>
              </w:rPr>
              <w:instrText xml:space="preserve"> PAGEREF _Toc135384238 \h </w:instrText>
            </w:r>
            <w:r>
              <w:rPr>
                <w:noProof/>
                <w:webHidden/>
              </w:rPr>
            </w:r>
            <w:r>
              <w:rPr>
                <w:noProof/>
                <w:webHidden/>
              </w:rPr>
              <w:fldChar w:fldCharType="separate"/>
            </w:r>
            <w:r w:rsidR="003A67BA">
              <w:rPr>
                <w:noProof/>
                <w:webHidden/>
              </w:rPr>
              <w:t>20</w:t>
            </w:r>
            <w:r>
              <w:rPr>
                <w:noProof/>
                <w:webHidden/>
              </w:rPr>
              <w:fldChar w:fldCharType="end"/>
            </w:r>
          </w:hyperlink>
        </w:p>
        <w:p w14:paraId="56A4533A" w14:textId="3567412C" w:rsidR="00DE64E0" w:rsidRDefault="00DE64E0">
          <w:pPr>
            <w:pStyle w:val="TOC3"/>
            <w:rPr>
              <w:rFonts w:eastAsiaTheme="minorEastAsia" w:cstheme="minorBidi"/>
              <w:noProof/>
              <w:kern w:val="2"/>
              <w:sz w:val="24"/>
              <w:szCs w:val="24"/>
              <w:lang w:eastAsia="en-GB"/>
              <w14:ligatures w14:val="standardContextual"/>
            </w:rPr>
          </w:pPr>
          <w:hyperlink w:anchor="_Toc135384239" w:history="1">
            <w:r w:rsidRPr="00EF528F">
              <w:rPr>
                <w:rStyle w:val="Hyperlink"/>
                <w:noProof/>
              </w:rPr>
              <w:t>1.2.3 Techniques to measure muscle metabolism</w:t>
            </w:r>
            <w:r>
              <w:rPr>
                <w:noProof/>
                <w:webHidden/>
              </w:rPr>
              <w:tab/>
            </w:r>
            <w:r>
              <w:rPr>
                <w:noProof/>
                <w:webHidden/>
              </w:rPr>
              <w:fldChar w:fldCharType="begin"/>
            </w:r>
            <w:r>
              <w:rPr>
                <w:noProof/>
                <w:webHidden/>
              </w:rPr>
              <w:instrText xml:space="preserve"> PAGEREF _Toc135384239 \h </w:instrText>
            </w:r>
            <w:r>
              <w:rPr>
                <w:noProof/>
                <w:webHidden/>
              </w:rPr>
            </w:r>
            <w:r>
              <w:rPr>
                <w:noProof/>
                <w:webHidden/>
              </w:rPr>
              <w:fldChar w:fldCharType="separate"/>
            </w:r>
            <w:r w:rsidR="003A67BA">
              <w:rPr>
                <w:noProof/>
                <w:webHidden/>
              </w:rPr>
              <w:t>23</w:t>
            </w:r>
            <w:r>
              <w:rPr>
                <w:noProof/>
                <w:webHidden/>
              </w:rPr>
              <w:fldChar w:fldCharType="end"/>
            </w:r>
          </w:hyperlink>
        </w:p>
        <w:p w14:paraId="7919B3EE" w14:textId="553BF499" w:rsidR="00DE64E0" w:rsidRDefault="00DE64E0">
          <w:pPr>
            <w:pStyle w:val="TOC3"/>
            <w:rPr>
              <w:rFonts w:eastAsiaTheme="minorEastAsia" w:cstheme="minorBidi"/>
              <w:noProof/>
              <w:kern w:val="2"/>
              <w:sz w:val="24"/>
              <w:szCs w:val="24"/>
              <w:lang w:eastAsia="en-GB"/>
              <w14:ligatures w14:val="standardContextual"/>
            </w:rPr>
          </w:pPr>
          <w:hyperlink w:anchor="_Toc135384240" w:history="1">
            <w:r w:rsidRPr="00EF528F">
              <w:rPr>
                <w:rStyle w:val="Hyperlink"/>
                <w:noProof/>
              </w:rPr>
              <w:t>1.2.4  Assessment of muscle mass, strength and function</w:t>
            </w:r>
            <w:r>
              <w:rPr>
                <w:noProof/>
                <w:webHidden/>
              </w:rPr>
              <w:tab/>
            </w:r>
            <w:r>
              <w:rPr>
                <w:noProof/>
                <w:webHidden/>
              </w:rPr>
              <w:fldChar w:fldCharType="begin"/>
            </w:r>
            <w:r>
              <w:rPr>
                <w:noProof/>
                <w:webHidden/>
              </w:rPr>
              <w:instrText xml:space="preserve"> PAGEREF _Toc135384240 \h </w:instrText>
            </w:r>
            <w:r>
              <w:rPr>
                <w:noProof/>
                <w:webHidden/>
              </w:rPr>
            </w:r>
            <w:r>
              <w:rPr>
                <w:noProof/>
                <w:webHidden/>
              </w:rPr>
              <w:fldChar w:fldCharType="separate"/>
            </w:r>
            <w:r w:rsidR="003A67BA">
              <w:rPr>
                <w:noProof/>
                <w:webHidden/>
              </w:rPr>
              <w:t>24</w:t>
            </w:r>
            <w:r>
              <w:rPr>
                <w:noProof/>
                <w:webHidden/>
              </w:rPr>
              <w:fldChar w:fldCharType="end"/>
            </w:r>
          </w:hyperlink>
        </w:p>
        <w:p w14:paraId="6A18A5D3" w14:textId="78237396" w:rsidR="00DE64E0" w:rsidRDefault="00DE64E0">
          <w:pPr>
            <w:pStyle w:val="TOC3"/>
            <w:rPr>
              <w:rFonts w:eastAsiaTheme="minorEastAsia" w:cstheme="minorBidi"/>
              <w:noProof/>
              <w:kern w:val="2"/>
              <w:sz w:val="24"/>
              <w:szCs w:val="24"/>
              <w:lang w:eastAsia="en-GB"/>
              <w14:ligatures w14:val="standardContextual"/>
            </w:rPr>
          </w:pPr>
          <w:hyperlink w:anchor="_Toc135384241" w:history="1">
            <w:r w:rsidRPr="00EF528F">
              <w:rPr>
                <w:rStyle w:val="Hyperlink"/>
                <w:noProof/>
              </w:rPr>
              <w:t>1.2.5  Muscle Loss:</w:t>
            </w:r>
            <w:r>
              <w:rPr>
                <w:noProof/>
                <w:webHidden/>
              </w:rPr>
              <w:tab/>
            </w:r>
            <w:r>
              <w:rPr>
                <w:noProof/>
                <w:webHidden/>
              </w:rPr>
              <w:fldChar w:fldCharType="begin"/>
            </w:r>
            <w:r>
              <w:rPr>
                <w:noProof/>
                <w:webHidden/>
              </w:rPr>
              <w:instrText xml:space="preserve"> PAGEREF _Toc135384241 \h </w:instrText>
            </w:r>
            <w:r>
              <w:rPr>
                <w:noProof/>
                <w:webHidden/>
              </w:rPr>
            </w:r>
            <w:r>
              <w:rPr>
                <w:noProof/>
                <w:webHidden/>
              </w:rPr>
              <w:fldChar w:fldCharType="separate"/>
            </w:r>
            <w:r w:rsidR="003A67BA">
              <w:rPr>
                <w:noProof/>
                <w:webHidden/>
              </w:rPr>
              <w:t>28</w:t>
            </w:r>
            <w:r>
              <w:rPr>
                <w:noProof/>
                <w:webHidden/>
              </w:rPr>
              <w:fldChar w:fldCharType="end"/>
            </w:r>
          </w:hyperlink>
        </w:p>
        <w:p w14:paraId="4E9E6CF0" w14:textId="031631D0" w:rsidR="00DE64E0" w:rsidRDefault="00DE64E0">
          <w:pPr>
            <w:pStyle w:val="TOC3"/>
            <w:rPr>
              <w:rFonts w:eastAsiaTheme="minorEastAsia" w:cstheme="minorBidi"/>
              <w:noProof/>
              <w:kern w:val="2"/>
              <w:sz w:val="24"/>
              <w:szCs w:val="24"/>
              <w:lang w:eastAsia="en-GB"/>
              <w14:ligatures w14:val="standardContextual"/>
            </w:rPr>
          </w:pPr>
          <w:hyperlink w:anchor="_Toc135384242" w:history="1">
            <w:r w:rsidRPr="00EF528F">
              <w:rPr>
                <w:rStyle w:val="Hyperlink"/>
                <w:noProof/>
              </w:rPr>
              <w:t>1.2.6 Anabolic resistance of ageing</w:t>
            </w:r>
            <w:r>
              <w:rPr>
                <w:noProof/>
                <w:webHidden/>
              </w:rPr>
              <w:tab/>
            </w:r>
            <w:r>
              <w:rPr>
                <w:noProof/>
                <w:webHidden/>
              </w:rPr>
              <w:fldChar w:fldCharType="begin"/>
            </w:r>
            <w:r>
              <w:rPr>
                <w:noProof/>
                <w:webHidden/>
              </w:rPr>
              <w:instrText xml:space="preserve"> PAGEREF _Toc135384242 \h </w:instrText>
            </w:r>
            <w:r>
              <w:rPr>
                <w:noProof/>
                <w:webHidden/>
              </w:rPr>
            </w:r>
            <w:r>
              <w:rPr>
                <w:noProof/>
                <w:webHidden/>
              </w:rPr>
              <w:fldChar w:fldCharType="separate"/>
            </w:r>
            <w:r w:rsidR="003A67BA">
              <w:rPr>
                <w:noProof/>
                <w:webHidden/>
              </w:rPr>
              <w:t>30</w:t>
            </w:r>
            <w:r>
              <w:rPr>
                <w:noProof/>
                <w:webHidden/>
              </w:rPr>
              <w:fldChar w:fldCharType="end"/>
            </w:r>
          </w:hyperlink>
        </w:p>
        <w:p w14:paraId="2EC6127F" w14:textId="0581B6D5" w:rsidR="00DE64E0" w:rsidRDefault="00DE64E0">
          <w:pPr>
            <w:pStyle w:val="TOC3"/>
            <w:rPr>
              <w:rFonts w:eastAsiaTheme="minorEastAsia" w:cstheme="minorBidi"/>
              <w:noProof/>
              <w:kern w:val="2"/>
              <w:sz w:val="24"/>
              <w:szCs w:val="24"/>
              <w:lang w:eastAsia="en-GB"/>
              <w14:ligatures w14:val="standardContextual"/>
            </w:rPr>
          </w:pPr>
          <w:hyperlink w:anchor="_Toc135384243" w:history="1">
            <w:r w:rsidRPr="00EF528F">
              <w:rPr>
                <w:rStyle w:val="Hyperlink"/>
                <w:noProof/>
              </w:rPr>
              <w:t>1.2.7 Sarcopenia</w:t>
            </w:r>
            <w:r>
              <w:rPr>
                <w:noProof/>
                <w:webHidden/>
              </w:rPr>
              <w:tab/>
            </w:r>
            <w:r>
              <w:rPr>
                <w:noProof/>
                <w:webHidden/>
              </w:rPr>
              <w:fldChar w:fldCharType="begin"/>
            </w:r>
            <w:r>
              <w:rPr>
                <w:noProof/>
                <w:webHidden/>
              </w:rPr>
              <w:instrText xml:space="preserve"> PAGEREF _Toc135384243 \h </w:instrText>
            </w:r>
            <w:r>
              <w:rPr>
                <w:noProof/>
                <w:webHidden/>
              </w:rPr>
            </w:r>
            <w:r>
              <w:rPr>
                <w:noProof/>
                <w:webHidden/>
              </w:rPr>
              <w:fldChar w:fldCharType="separate"/>
            </w:r>
            <w:r w:rsidR="003A67BA">
              <w:rPr>
                <w:noProof/>
                <w:webHidden/>
              </w:rPr>
              <w:t>30</w:t>
            </w:r>
            <w:r>
              <w:rPr>
                <w:noProof/>
                <w:webHidden/>
              </w:rPr>
              <w:fldChar w:fldCharType="end"/>
            </w:r>
          </w:hyperlink>
        </w:p>
        <w:p w14:paraId="7FC06DC5" w14:textId="5C4FBAAF" w:rsidR="00DE64E0" w:rsidRDefault="00DE64E0">
          <w:pPr>
            <w:pStyle w:val="TOC3"/>
            <w:rPr>
              <w:rFonts w:eastAsiaTheme="minorEastAsia" w:cstheme="minorBidi"/>
              <w:noProof/>
              <w:kern w:val="2"/>
              <w:sz w:val="24"/>
              <w:szCs w:val="24"/>
              <w:lang w:eastAsia="en-GB"/>
              <w14:ligatures w14:val="standardContextual"/>
            </w:rPr>
          </w:pPr>
          <w:hyperlink w:anchor="_Toc135384244" w:history="1">
            <w:r w:rsidRPr="00EF528F">
              <w:rPr>
                <w:rStyle w:val="Hyperlink"/>
                <w:noProof/>
              </w:rPr>
              <w:t>1.2.8 Sarcopenia vs Dynapenia</w:t>
            </w:r>
            <w:r>
              <w:rPr>
                <w:noProof/>
                <w:webHidden/>
              </w:rPr>
              <w:tab/>
            </w:r>
            <w:r>
              <w:rPr>
                <w:noProof/>
                <w:webHidden/>
              </w:rPr>
              <w:fldChar w:fldCharType="begin"/>
            </w:r>
            <w:r>
              <w:rPr>
                <w:noProof/>
                <w:webHidden/>
              </w:rPr>
              <w:instrText xml:space="preserve"> PAGEREF _Toc135384244 \h </w:instrText>
            </w:r>
            <w:r>
              <w:rPr>
                <w:noProof/>
                <w:webHidden/>
              </w:rPr>
            </w:r>
            <w:r>
              <w:rPr>
                <w:noProof/>
                <w:webHidden/>
              </w:rPr>
              <w:fldChar w:fldCharType="separate"/>
            </w:r>
            <w:r w:rsidR="003A67BA">
              <w:rPr>
                <w:noProof/>
                <w:webHidden/>
              </w:rPr>
              <w:t>33</w:t>
            </w:r>
            <w:r>
              <w:rPr>
                <w:noProof/>
                <w:webHidden/>
              </w:rPr>
              <w:fldChar w:fldCharType="end"/>
            </w:r>
          </w:hyperlink>
        </w:p>
        <w:p w14:paraId="14402464" w14:textId="79B9A9F9" w:rsidR="00DE64E0" w:rsidRDefault="00DE64E0">
          <w:pPr>
            <w:pStyle w:val="TOC3"/>
            <w:rPr>
              <w:rFonts w:eastAsiaTheme="minorEastAsia" w:cstheme="minorBidi"/>
              <w:noProof/>
              <w:kern w:val="2"/>
              <w:sz w:val="24"/>
              <w:szCs w:val="24"/>
              <w:lang w:eastAsia="en-GB"/>
              <w14:ligatures w14:val="standardContextual"/>
            </w:rPr>
          </w:pPr>
          <w:hyperlink w:anchor="_Toc135384245" w:history="1">
            <w:r w:rsidRPr="00EF528F">
              <w:rPr>
                <w:rStyle w:val="Hyperlink"/>
                <w:noProof/>
              </w:rPr>
              <w:t>1.2.9 Life course of sarcopenia</w:t>
            </w:r>
            <w:r>
              <w:rPr>
                <w:noProof/>
                <w:webHidden/>
              </w:rPr>
              <w:tab/>
            </w:r>
            <w:r>
              <w:rPr>
                <w:noProof/>
                <w:webHidden/>
              </w:rPr>
              <w:fldChar w:fldCharType="begin"/>
            </w:r>
            <w:r>
              <w:rPr>
                <w:noProof/>
                <w:webHidden/>
              </w:rPr>
              <w:instrText xml:space="preserve"> PAGEREF _Toc135384245 \h </w:instrText>
            </w:r>
            <w:r>
              <w:rPr>
                <w:noProof/>
                <w:webHidden/>
              </w:rPr>
            </w:r>
            <w:r>
              <w:rPr>
                <w:noProof/>
                <w:webHidden/>
              </w:rPr>
              <w:fldChar w:fldCharType="separate"/>
            </w:r>
            <w:r w:rsidR="003A67BA">
              <w:rPr>
                <w:noProof/>
                <w:webHidden/>
              </w:rPr>
              <w:t>33</w:t>
            </w:r>
            <w:r>
              <w:rPr>
                <w:noProof/>
                <w:webHidden/>
              </w:rPr>
              <w:fldChar w:fldCharType="end"/>
            </w:r>
          </w:hyperlink>
        </w:p>
        <w:p w14:paraId="7BC0D3AF" w14:textId="62BAA147" w:rsidR="00DE64E0" w:rsidRDefault="00DE64E0">
          <w:pPr>
            <w:pStyle w:val="TOC3"/>
            <w:rPr>
              <w:rFonts w:eastAsiaTheme="minorEastAsia" w:cstheme="minorBidi"/>
              <w:noProof/>
              <w:kern w:val="2"/>
              <w:sz w:val="24"/>
              <w:szCs w:val="24"/>
              <w:lang w:eastAsia="en-GB"/>
              <w14:ligatures w14:val="standardContextual"/>
            </w:rPr>
          </w:pPr>
          <w:hyperlink w:anchor="_Toc135384246" w:history="1">
            <w:r w:rsidRPr="00EF528F">
              <w:rPr>
                <w:rStyle w:val="Hyperlink"/>
                <w:noProof/>
              </w:rPr>
              <w:t>1.2.10 Lifestyle risk factors for sarcopenia:</w:t>
            </w:r>
            <w:r>
              <w:rPr>
                <w:noProof/>
                <w:webHidden/>
              </w:rPr>
              <w:tab/>
            </w:r>
            <w:r>
              <w:rPr>
                <w:noProof/>
                <w:webHidden/>
              </w:rPr>
              <w:fldChar w:fldCharType="begin"/>
            </w:r>
            <w:r>
              <w:rPr>
                <w:noProof/>
                <w:webHidden/>
              </w:rPr>
              <w:instrText xml:space="preserve"> PAGEREF _Toc135384246 \h </w:instrText>
            </w:r>
            <w:r>
              <w:rPr>
                <w:noProof/>
                <w:webHidden/>
              </w:rPr>
            </w:r>
            <w:r>
              <w:rPr>
                <w:noProof/>
                <w:webHidden/>
              </w:rPr>
              <w:fldChar w:fldCharType="separate"/>
            </w:r>
            <w:r w:rsidR="003A67BA">
              <w:rPr>
                <w:noProof/>
                <w:webHidden/>
              </w:rPr>
              <w:t>35</w:t>
            </w:r>
            <w:r>
              <w:rPr>
                <w:noProof/>
                <w:webHidden/>
              </w:rPr>
              <w:fldChar w:fldCharType="end"/>
            </w:r>
          </w:hyperlink>
        </w:p>
        <w:p w14:paraId="2F85EC18" w14:textId="2CCA0952" w:rsidR="00DE64E0" w:rsidRDefault="00DE64E0">
          <w:pPr>
            <w:pStyle w:val="TOC2"/>
            <w:rPr>
              <w:rFonts w:eastAsiaTheme="minorEastAsia" w:cstheme="minorBidi"/>
              <w:noProof/>
              <w:kern w:val="2"/>
              <w:sz w:val="24"/>
              <w:szCs w:val="24"/>
              <w:lang w:eastAsia="en-GB"/>
              <w14:ligatures w14:val="standardContextual"/>
            </w:rPr>
          </w:pPr>
          <w:hyperlink w:anchor="_Toc135384247" w:history="1">
            <w:r w:rsidRPr="00EF528F">
              <w:rPr>
                <w:rStyle w:val="Hyperlink"/>
                <w:b/>
                <w:bCs/>
                <w:noProof/>
              </w:rPr>
              <w:t>1.3  Protein and muscle</w:t>
            </w:r>
            <w:r>
              <w:rPr>
                <w:noProof/>
                <w:webHidden/>
              </w:rPr>
              <w:tab/>
            </w:r>
            <w:r>
              <w:rPr>
                <w:noProof/>
                <w:webHidden/>
              </w:rPr>
              <w:fldChar w:fldCharType="begin"/>
            </w:r>
            <w:r>
              <w:rPr>
                <w:noProof/>
                <w:webHidden/>
              </w:rPr>
              <w:instrText xml:space="preserve"> PAGEREF _Toc135384247 \h </w:instrText>
            </w:r>
            <w:r>
              <w:rPr>
                <w:noProof/>
                <w:webHidden/>
              </w:rPr>
            </w:r>
            <w:r>
              <w:rPr>
                <w:noProof/>
                <w:webHidden/>
              </w:rPr>
              <w:fldChar w:fldCharType="separate"/>
            </w:r>
            <w:r w:rsidR="003A67BA">
              <w:rPr>
                <w:noProof/>
                <w:webHidden/>
              </w:rPr>
              <w:t>36</w:t>
            </w:r>
            <w:r>
              <w:rPr>
                <w:noProof/>
                <w:webHidden/>
              </w:rPr>
              <w:fldChar w:fldCharType="end"/>
            </w:r>
          </w:hyperlink>
        </w:p>
        <w:p w14:paraId="3FBF1096" w14:textId="5DD4512D" w:rsidR="00DE64E0" w:rsidRDefault="00DE64E0">
          <w:pPr>
            <w:pStyle w:val="TOC3"/>
            <w:rPr>
              <w:rFonts w:eastAsiaTheme="minorEastAsia" w:cstheme="minorBidi"/>
              <w:noProof/>
              <w:kern w:val="2"/>
              <w:sz w:val="24"/>
              <w:szCs w:val="24"/>
              <w:lang w:eastAsia="en-GB"/>
              <w14:ligatures w14:val="standardContextual"/>
            </w:rPr>
          </w:pPr>
          <w:hyperlink w:anchor="_Toc135384248" w:history="1">
            <w:r w:rsidRPr="00EF528F">
              <w:rPr>
                <w:rStyle w:val="Hyperlink"/>
                <w:noProof/>
              </w:rPr>
              <w:t>1.3.1 Protein Interventions on muscle</w:t>
            </w:r>
            <w:r>
              <w:rPr>
                <w:noProof/>
                <w:webHidden/>
              </w:rPr>
              <w:tab/>
            </w:r>
            <w:r>
              <w:rPr>
                <w:noProof/>
                <w:webHidden/>
              </w:rPr>
              <w:fldChar w:fldCharType="begin"/>
            </w:r>
            <w:r>
              <w:rPr>
                <w:noProof/>
                <w:webHidden/>
              </w:rPr>
              <w:instrText xml:space="preserve"> PAGEREF _Toc135384248 \h </w:instrText>
            </w:r>
            <w:r>
              <w:rPr>
                <w:noProof/>
                <w:webHidden/>
              </w:rPr>
            </w:r>
            <w:r>
              <w:rPr>
                <w:noProof/>
                <w:webHidden/>
              </w:rPr>
              <w:fldChar w:fldCharType="separate"/>
            </w:r>
            <w:r w:rsidR="003A67BA">
              <w:rPr>
                <w:noProof/>
                <w:webHidden/>
              </w:rPr>
              <w:t>38</w:t>
            </w:r>
            <w:r>
              <w:rPr>
                <w:noProof/>
                <w:webHidden/>
              </w:rPr>
              <w:fldChar w:fldCharType="end"/>
            </w:r>
          </w:hyperlink>
        </w:p>
        <w:p w14:paraId="1FEC295B" w14:textId="353B02A4" w:rsidR="00DE64E0" w:rsidRDefault="00DE64E0">
          <w:pPr>
            <w:pStyle w:val="TOC3"/>
            <w:rPr>
              <w:rFonts w:eastAsiaTheme="minorEastAsia" w:cstheme="minorBidi"/>
              <w:noProof/>
              <w:kern w:val="2"/>
              <w:sz w:val="24"/>
              <w:szCs w:val="24"/>
              <w:lang w:eastAsia="en-GB"/>
              <w14:ligatures w14:val="standardContextual"/>
            </w:rPr>
          </w:pPr>
          <w:hyperlink w:anchor="_Toc135384249" w:history="1">
            <w:r w:rsidRPr="00EF528F">
              <w:rPr>
                <w:rStyle w:val="Hyperlink"/>
                <w:noProof/>
              </w:rPr>
              <w:t>1.3.2 Protein, older adults and anabolic resistance</w:t>
            </w:r>
            <w:r>
              <w:rPr>
                <w:noProof/>
                <w:webHidden/>
              </w:rPr>
              <w:tab/>
            </w:r>
            <w:r>
              <w:rPr>
                <w:noProof/>
                <w:webHidden/>
              </w:rPr>
              <w:fldChar w:fldCharType="begin"/>
            </w:r>
            <w:r>
              <w:rPr>
                <w:noProof/>
                <w:webHidden/>
              </w:rPr>
              <w:instrText xml:space="preserve"> PAGEREF _Toc135384249 \h </w:instrText>
            </w:r>
            <w:r>
              <w:rPr>
                <w:noProof/>
                <w:webHidden/>
              </w:rPr>
            </w:r>
            <w:r>
              <w:rPr>
                <w:noProof/>
                <w:webHidden/>
              </w:rPr>
              <w:fldChar w:fldCharType="separate"/>
            </w:r>
            <w:r w:rsidR="003A67BA">
              <w:rPr>
                <w:noProof/>
                <w:webHidden/>
              </w:rPr>
              <w:t>39</w:t>
            </w:r>
            <w:r>
              <w:rPr>
                <w:noProof/>
                <w:webHidden/>
              </w:rPr>
              <w:fldChar w:fldCharType="end"/>
            </w:r>
          </w:hyperlink>
        </w:p>
        <w:p w14:paraId="41FB39E3" w14:textId="33E11882" w:rsidR="00DE64E0" w:rsidRDefault="00DE64E0">
          <w:pPr>
            <w:pStyle w:val="TOC2"/>
            <w:rPr>
              <w:rFonts w:eastAsiaTheme="minorEastAsia" w:cstheme="minorBidi"/>
              <w:noProof/>
              <w:kern w:val="2"/>
              <w:sz w:val="24"/>
              <w:szCs w:val="24"/>
              <w:lang w:eastAsia="en-GB"/>
              <w14:ligatures w14:val="standardContextual"/>
            </w:rPr>
          </w:pPr>
          <w:hyperlink w:anchor="_Toc135384250" w:history="1">
            <w:r w:rsidRPr="00EF528F">
              <w:rPr>
                <w:rStyle w:val="Hyperlink"/>
                <w:b/>
                <w:bCs/>
                <w:noProof/>
              </w:rPr>
              <w:t>1.4 Exercise and muscle</w:t>
            </w:r>
            <w:r>
              <w:rPr>
                <w:noProof/>
                <w:webHidden/>
              </w:rPr>
              <w:tab/>
            </w:r>
            <w:r>
              <w:rPr>
                <w:noProof/>
                <w:webHidden/>
              </w:rPr>
              <w:fldChar w:fldCharType="begin"/>
            </w:r>
            <w:r>
              <w:rPr>
                <w:noProof/>
                <w:webHidden/>
              </w:rPr>
              <w:instrText xml:space="preserve"> PAGEREF _Toc135384250 \h </w:instrText>
            </w:r>
            <w:r>
              <w:rPr>
                <w:noProof/>
                <w:webHidden/>
              </w:rPr>
            </w:r>
            <w:r>
              <w:rPr>
                <w:noProof/>
                <w:webHidden/>
              </w:rPr>
              <w:fldChar w:fldCharType="separate"/>
            </w:r>
            <w:r w:rsidR="003A67BA">
              <w:rPr>
                <w:noProof/>
                <w:webHidden/>
              </w:rPr>
              <w:t>41</w:t>
            </w:r>
            <w:r>
              <w:rPr>
                <w:noProof/>
                <w:webHidden/>
              </w:rPr>
              <w:fldChar w:fldCharType="end"/>
            </w:r>
          </w:hyperlink>
        </w:p>
        <w:p w14:paraId="5DE88B49" w14:textId="5D75FF47" w:rsidR="00DE64E0" w:rsidRDefault="00DE64E0">
          <w:pPr>
            <w:pStyle w:val="TOC3"/>
            <w:rPr>
              <w:rFonts w:eastAsiaTheme="minorEastAsia" w:cstheme="minorBidi"/>
              <w:noProof/>
              <w:kern w:val="2"/>
              <w:sz w:val="24"/>
              <w:szCs w:val="24"/>
              <w:lang w:eastAsia="en-GB"/>
              <w14:ligatures w14:val="standardContextual"/>
            </w:rPr>
          </w:pPr>
          <w:hyperlink w:anchor="_Toc135384251" w:history="1">
            <w:r w:rsidRPr="00EF528F">
              <w:rPr>
                <w:rStyle w:val="Hyperlink"/>
                <w:noProof/>
              </w:rPr>
              <w:t>1.4.2 Resistance exercise</w:t>
            </w:r>
            <w:r>
              <w:rPr>
                <w:noProof/>
                <w:webHidden/>
              </w:rPr>
              <w:tab/>
            </w:r>
            <w:r>
              <w:rPr>
                <w:noProof/>
                <w:webHidden/>
              </w:rPr>
              <w:fldChar w:fldCharType="begin"/>
            </w:r>
            <w:r>
              <w:rPr>
                <w:noProof/>
                <w:webHidden/>
              </w:rPr>
              <w:instrText xml:space="preserve"> PAGEREF _Toc135384251 \h </w:instrText>
            </w:r>
            <w:r>
              <w:rPr>
                <w:noProof/>
                <w:webHidden/>
              </w:rPr>
            </w:r>
            <w:r>
              <w:rPr>
                <w:noProof/>
                <w:webHidden/>
              </w:rPr>
              <w:fldChar w:fldCharType="separate"/>
            </w:r>
            <w:r w:rsidR="003A67BA">
              <w:rPr>
                <w:noProof/>
                <w:webHidden/>
              </w:rPr>
              <w:t>44</w:t>
            </w:r>
            <w:r>
              <w:rPr>
                <w:noProof/>
                <w:webHidden/>
              </w:rPr>
              <w:fldChar w:fldCharType="end"/>
            </w:r>
          </w:hyperlink>
        </w:p>
        <w:p w14:paraId="3D3456D9" w14:textId="12CF2EA6" w:rsidR="00DE64E0" w:rsidRDefault="00DE64E0">
          <w:pPr>
            <w:pStyle w:val="TOC3"/>
            <w:rPr>
              <w:rFonts w:eastAsiaTheme="minorEastAsia" w:cstheme="minorBidi"/>
              <w:noProof/>
              <w:kern w:val="2"/>
              <w:sz w:val="24"/>
              <w:szCs w:val="24"/>
              <w:lang w:eastAsia="en-GB"/>
              <w14:ligatures w14:val="standardContextual"/>
            </w:rPr>
          </w:pPr>
          <w:hyperlink w:anchor="_Toc135384252" w:history="1">
            <w:r w:rsidRPr="00EF528F">
              <w:rPr>
                <w:rStyle w:val="Hyperlink"/>
                <w:noProof/>
              </w:rPr>
              <w:t>1.4.3 Resistance exercise interventions</w:t>
            </w:r>
            <w:r>
              <w:rPr>
                <w:noProof/>
                <w:webHidden/>
              </w:rPr>
              <w:tab/>
            </w:r>
            <w:r>
              <w:rPr>
                <w:noProof/>
                <w:webHidden/>
              </w:rPr>
              <w:fldChar w:fldCharType="begin"/>
            </w:r>
            <w:r>
              <w:rPr>
                <w:noProof/>
                <w:webHidden/>
              </w:rPr>
              <w:instrText xml:space="preserve"> PAGEREF _Toc135384252 \h </w:instrText>
            </w:r>
            <w:r>
              <w:rPr>
                <w:noProof/>
                <w:webHidden/>
              </w:rPr>
            </w:r>
            <w:r>
              <w:rPr>
                <w:noProof/>
                <w:webHidden/>
              </w:rPr>
              <w:fldChar w:fldCharType="separate"/>
            </w:r>
            <w:r w:rsidR="003A67BA">
              <w:rPr>
                <w:noProof/>
                <w:webHidden/>
              </w:rPr>
              <w:t>44</w:t>
            </w:r>
            <w:r>
              <w:rPr>
                <w:noProof/>
                <w:webHidden/>
              </w:rPr>
              <w:fldChar w:fldCharType="end"/>
            </w:r>
          </w:hyperlink>
        </w:p>
        <w:p w14:paraId="1BF488D1" w14:textId="313D4057" w:rsidR="00DE64E0" w:rsidRDefault="00DE64E0">
          <w:pPr>
            <w:pStyle w:val="TOC3"/>
            <w:rPr>
              <w:rFonts w:eastAsiaTheme="minorEastAsia" w:cstheme="minorBidi"/>
              <w:noProof/>
              <w:kern w:val="2"/>
              <w:sz w:val="24"/>
              <w:szCs w:val="24"/>
              <w:lang w:eastAsia="en-GB"/>
              <w14:ligatures w14:val="standardContextual"/>
            </w:rPr>
          </w:pPr>
          <w:hyperlink w:anchor="_Toc135384253" w:history="1">
            <w:r w:rsidRPr="00EF528F">
              <w:rPr>
                <w:rStyle w:val="Hyperlink"/>
                <w:noProof/>
              </w:rPr>
              <w:t>1.4.4 Resistance exercise and anabolic resistance</w:t>
            </w:r>
            <w:r>
              <w:rPr>
                <w:noProof/>
                <w:webHidden/>
              </w:rPr>
              <w:tab/>
            </w:r>
            <w:r>
              <w:rPr>
                <w:noProof/>
                <w:webHidden/>
              </w:rPr>
              <w:fldChar w:fldCharType="begin"/>
            </w:r>
            <w:r>
              <w:rPr>
                <w:noProof/>
                <w:webHidden/>
              </w:rPr>
              <w:instrText xml:space="preserve"> PAGEREF _Toc135384253 \h </w:instrText>
            </w:r>
            <w:r>
              <w:rPr>
                <w:noProof/>
                <w:webHidden/>
              </w:rPr>
            </w:r>
            <w:r>
              <w:rPr>
                <w:noProof/>
                <w:webHidden/>
              </w:rPr>
              <w:fldChar w:fldCharType="separate"/>
            </w:r>
            <w:r w:rsidR="003A67BA">
              <w:rPr>
                <w:noProof/>
                <w:webHidden/>
              </w:rPr>
              <w:t>46</w:t>
            </w:r>
            <w:r>
              <w:rPr>
                <w:noProof/>
                <w:webHidden/>
              </w:rPr>
              <w:fldChar w:fldCharType="end"/>
            </w:r>
          </w:hyperlink>
        </w:p>
        <w:p w14:paraId="0F31866E" w14:textId="15DA1FA0" w:rsidR="00DE64E0" w:rsidRDefault="00DE64E0">
          <w:pPr>
            <w:pStyle w:val="TOC2"/>
            <w:rPr>
              <w:rFonts w:eastAsiaTheme="minorEastAsia" w:cstheme="minorBidi"/>
              <w:noProof/>
              <w:kern w:val="2"/>
              <w:sz w:val="24"/>
              <w:szCs w:val="24"/>
              <w:lang w:eastAsia="en-GB"/>
              <w14:ligatures w14:val="standardContextual"/>
            </w:rPr>
          </w:pPr>
          <w:hyperlink w:anchor="_Toc135384254" w:history="1">
            <w:r w:rsidRPr="00EF528F">
              <w:rPr>
                <w:rStyle w:val="Hyperlink"/>
                <w:b/>
                <w:bCs/>
                <w:noProof/>
              </w:rPr>
              <w:t>1.5 Protein and exercise in combination</w:t>
            </w:r>
            <w:r>
              <w:rPr>
                <w:noProof/>
                <w:webHidden/>
              </w:rPr>
              <w:tab/>
            </w:r>
            <w:r>
              <w:rPr>
                <w:noProof/>
                <w:webHidden/>
              </w:rPr>
              <w:fldChar w:fldCharType="begin"/>
            </w:r>
            <w:r>
              <w:rPr>
                <w:noProof/>
                <w:webHidden/>
              </w:rPr>
              <w:instrText xml:space="preserve"> PAGEREF _Toc135384254 \h </w:instrText>
            </w:r>
            <w:r>
              <w:rPr>
                <w:noProof/>
                <w:webHidden/>
              </w:rPr>
            </w:r>
            <w:r>
              <w:rPr>
                <w:noProof/>
                <w:webHidden/>
              </w:rPr>
              <w:fldChar w:fldCharType="separate"/>
            </w:r>
            <w:r w:rsidR="003A67BA">
              <w:rPr>
                <w:noProof/>
                <w:webHidden/>
              </w:rPr>
              <w:t>46</w:t>
            </w:r>
            <w:r>
              <w:rPr>
                <w:noProof/>
                <w:webHidden/>
              </w:rPr>
              <w:fldChar w:fldCharType="end"/>
            </w:r>
          </w:hyperlink>
        </w:p>
        <w:p w14:paraId="79FEEEE4" w14:textId="6BFC04AE" w:rsidR="00DE64E0" w:rsidRDefault="00DE64E0">
          <w:pPr>
            <w:pStyle w:val="TOC3"/>
            <w:rPr>
              <w:rFonts w:eastAsiaTheme="minorEastAsia" w:cstheme="minorBidi"/>
              <w:noProof/>
              <w:kern w:val="2"/>
              <w:sz w:val="24"/>
              <w:szCs w:val="24"/>
              <w:lang w:eastAsia="en-GB"/>
              <w14:ligatures w14:val="standardContextual"/>
            </w:rPr>
          </w:pPr>
          <w:hyperlink w:anchor="_Toc135384255" w:history="1">
            <w:r w:rsidRPr="00EF528F">
              <w:rPr>
                <w:rStyle w:val="Hyperlink"/>
                <w:noProof/>
              </w:rPr>
              <w:t>1.5.1 Protein and Exercise in combination interventions</w:t>
            </w:r>
            <w:r>
              <w:rPr>
                <w:noProof/>
                <w:webHidden/>
              </w:rPr>
              <w:tab/>
            </w:r>
            <w:r>
              <w:rPr>
                <w:noProof/>
                <w:webHidden/>
              </w:rPr>
              <w:fldChar w:fldCharType="begin"/>
            </w:r>
            <w:r>
              <w:rPr>
                <w:noProof/>
                <w:webHidden/>
              </w:rPr>
              <w:instrText xml:space="preserve"> PAGEREF _Toc135384255 \h </w:instrText>
            </w:r>
            <w:r>
              <w:rPr>
                <w:noProof/>
                <w:webHidden/>
              </w:rPr>
            </w:r>
            <w:r>
              <w:rPr>
                <w:noProof/>
                <w:webHidden/>
              </w:rPr>
              <w:fldChar w:fldCharType="separate"/>
            </w:r>
            <w:r w:rsidR="003A67BA">
              <w:rPr>
                <w:noProof/>
                <w:webHidden/>
              </w:rPr>
              <w:t>47</w:t>
            </w:r>
            <w:r>
              <w:rPr>
                <w:noProof/>
                <w:webHidden/>
              </w:rPr>
              <w:fldChar w:fldCharType="end"/>
            </w:r>
          </w:hyperlink>
        </w:p>
        <w:p w14:paraId="441FA53A" w14:textId="3E4C72F5" w:rsidR="00DE64E0" w:rsidRDefault="00DE64E0">
          <w:pPr>
            <w:pStyle w:val="TOC3"/>
            <w:rPr>
              <w:rFonts w:eastAsiaTheme="minorEastAsia" w:cstheme="minorBidi"/>
              <w:noProof/>
              <w:kern w:val="2"/>
              <w:sz w:val="24"/>
              <w:szCs w:val="24"/>
              <w:lang w:eastAsia="en-GB"/>
              <w14:ligatures w14:val="standardContextual"/>
            </w:rPr>
          </w:pPr>
          <w:hyperlink w:anchor="_Toc135384256" w:history="1">
            <w:r w:rsidRPr="00EF528F">
              <w:rPr>
                <w:rStyle w:val="Hyperlink"/>
                <w:noProof/>
              </w:rPr>
              <w:t>1.5.2 Combination of protein and exercise and the anabolic response</w:t>
            </w:r>
            <w:r>
              <w:rPr>
                <w:noProof/>
                <w:webHidden/>
              </w:rPr>
              <w:tab/>
            </w:r>
            <w:r>
              <w:rPr>
                <w:noProof/>
                <w:webHidden/>
              </w:rPr>
              <w:fldChar w:fldCharType="begin"/>
            </w:r>
            <w:r>
              <w:rPr>
                <w:noProof/>
                <w:webHidden/>
              </w:rPr>
              <w:instrText xml:space="preserve"> PAGEREF _Toc135384256 \h </w:instrText>
            </w:r>
            <w:r>
              <w:rPr>
                <w:noProof/>
                <w:webHidden/>
              </w:rPr>
            </w:r>
            <w:r>
              <w:rPr>
                <w:noProof/>
                <w:webHidden/>
              </w:rPr>
              <w:fldChar w:fldCharType="separate"/>
            </w:r>
            <w:r w:rsidR="003A67BA">
              <w:rPr>
                <w:noProof/>
                <w:webHidden/>
              </w:rPr>
              <w:t>48</w:t>
            </w:r>
            <w:r>
              <w:rPr>
                <w:noProof/>
                <w:webHidden/>
              </w:rPr>
              <w:fldChar w:fldCharType="end"/>
            </w:r>
          </w:hyperlink>
        </w:p>
        <w:p w14:paraId="0D127A6A" w14:textId="15E302A3" w:rsidR="00DE64E0" w:rsidRDefault="00DE64E0">
          <w:pPr>
            <w:pStyle w:val="TOC2"/>
            <w:rPr>
              <w:rFonts w:eastAsiaTheme="minorEastAsia" w:cstheme="minorBidi"/>
              <w:noProof/>
              <w:kern w:val="2"/>
              <w:sz w:val="24"/>
              <w:szCs w:val="24"/>
              <w:lang w:eastAsia="en-GB"/>
              <w14:ligatures w14:val="standardContextual"/>
            </w:rPr>
          </w:pPr>
          <w:hyperlink w:anchor="_Toc135384257" w:history="1">
            <w:r w:rsidRPr="00EF528F">
              <w:rPr>
                <w:rStyle w:val="Hyperlink"/>
                <w:b/>
                <w:bCs/>
                <w:noProof/>
              </w:rPr>
              <w:t>1.6 Considerations in designing protein and exercise intervention trials.</w:t>
            </w:r>
            <w:r>
              <w:rPr>
                <w:noProof/>
                <w:webHidden/>
              </w:rPr>
              <w:tab/>
            </w:r>
            <w:r>
              <w:rPr>
                <w:noProof/>
                <w:webHidden/>
              </w:rPr>
              <w:fldChar w:fldCharType="begin"/>
            </w:r>
            <w:r>
              <w:rPr>
                <w:noProof/>
                <w:webHidden/>
              </w:rPr>
              <w:instrText xml:space="preserve"> PAGEREF _Toc135384257 \h </w:instrText>
            </w:r>
            <w:r>
              <w:rPr>
                <w:noProof/>
                <w:webHidden/>
              </w:rPr>
            </w:r>
            <w:r>
              <w:rPr>
                <w:noProof/>
                <w:webHidden/>
              </w:rPr>
              <w:fldChar w:fldCharType="separate"/>
            </w:r>
            <w:r w:rsidR="003A67BA">
              <w:rPr>
                <w:noProof/>
                <w:webHidden/>
              </w:rPr>
              <w:t>50</w:t>
            </w:r>
            <w:r>
              <w:rPr>
                <w:noProof/>
                <w:webHidden/>
              </w:rPr>
              <w:fldChar w:fldCharType="end"/>
            </w:r>
          </w:hyperlink>
        </w:p>
        <w:p w14:paraId="18EEEDE8" w14:textId="40E8F4B1" w:rsidR="00DE64E0" w:rsidRDefault="00DE64E0">
          <w:pPr>
            <w:pStyle w:val="TOC3"/>
            <w:rPr>
              <w:rFonts w:eastAsiaTheme="minorEastAsia" w:cstheme="minorBidi"/>
              <w:noProof/>
              <w:kern w:val="2"/>
              <w:sz w:val="24"/>
              <w:szCs w:val="24"/>
              <w:lang w:eastAsia="en-GB"/>
              <w14:ligatures w14:val="standardContextual"/>
            </w:rPr>
          </w:pPr>
          <w:hyperlink w:anchor="_Toc135384258" w:history="1">
            <w:r w:rsidRPr="00EF528F">
              <w:rPr>
                <w:rStyle w:val="Hyperlink"/>
                <w:noProof/>
              </w:rPr>
              <w:t>1.6.1 Low habitual protein consumers and supplementation</w:t>
            </w:r>
            <w:r>
              <w:rPr>
                <w:noProof/>
                <w:webHidden/>
              </w:rPr>
              <w:tab/>
            </w:r>
            <w:r>
              <w:rPr>
                <w:noProof/>
                <w:webHidden/>
              </w:rPr>
              <w:fldChar w:fldCharType="begin"/>
            </w:r>
            <w:r>
              <w:rPr>
                <w:noProof/>
                <w:webHidden/>
              </w:rPr>
              <w:instrText xml:space="preserve"> PAGEREF _Toc135384258 \h </w:instrText>
            </w:r>
            <w:r>
              <w:rPr>
                <w:noProof/>
                <w:webHidden/>
              </w:rPr>
            </w:r>
            <w:r>
              <w:rPr>
                <w:noProof/>
                <w:webHidden/>
              </w:rPr>
              <w:fldChar w:fldCharType="separate"/>
            </w:r>
            <w:r w:rsidR="003A67BA">
              <w:rPr>
                <w:noProof/>
                <w:webHidden/>
              </w:rPr>
              <w:t>50</w:t>
            </w:r>
            <w:r>
              <w:rPr>
                <w:noProof/>
                <w:webHidden/>
              </w:rPr>
              <w:fldChar w:fldCharType="end"/>
            </w:r>
          </w:hyperlink>
        </w:p>
        <w:p w14:paraId="21299601" w14:textId="43FFFD19" w:rsidR="00DE64E0" w:rsidRDefault="00DE64E0">
          <w:pPr>
            <w:pStyle w:val="TOC3"/>
            <w:rPr>
              <w:rFonts w:eastAsiaTheme="minorEastAsia" w:cstheme="minorBidi"/>
              <w:noProof/>
              <w:kern w:val="2"/>
              <w:sz w:val="24"/>
              <w:szCs w:val="24"/>
              <w:lang w:eastAsia="en-GB"/>
              <w14:ligatures w14:val="standardContextual"/>
            </w:rPr>
          </w:pPr>
          <w:hyperlink w:anchor="_Toc135384259" w:history="1">
            <w:r w:rsidRPr="00EF528F">
              <w:rPr>
                <w:rStyle w:val="Hyperlink"/>
                <w:noProof/>
              </w:rPr>
              <w:t>1.6.2 Protein and appetite</w:t>
            </w:r>
            <w:r>
              <w:rPr>
                <w:noProof/>
                <w:webHidden/>
              </w:rPr>
              <w:tab/>
            </w:r>
            <w:r>
              <w:rPr>
                <w:noProof/>
                <w:webHidden/>
              </w:rPr>
              <w:fldChar w:fldCharType="begin"/>
            </w:r>
            <w:r>
              <w:rPr>
                <w:noProof/>
                <w:webHidden/>
              </w:rPr>
              <w:instrText xml:space="preserve"> PAGEREF _Toc135384259 \h </w:instrText>
            </w:r>
            <w:r>
              <w:rPr>
                <w:noProof/>
                <w:webHidden/>
              </w:rPr>
            </w:r>
            <w:r>
              <w:rPr>
                <w:noProof/>
                <w:webHidden/>
              </w:rPr>
              <w:fldChar w:fldCharType="separate"/>
            </w:r>
            <w:r w:rsidR="003A67BA">
              <w:rPr>
                <w:noProof/>
                <w:webHidden/>
              </w:rPr>
              <w:t>51</w:t>
            </w:r>
            <w:r>
              <w:rPr>
                <w:noProof/>
                <w:webHidden/>
              </w:rPr>
              <w:fldChar w:fldCharType="end"/>
            </w:r>
          </w:hyperlink>
        </w:p>
        <w:p w14:paraId="536C6B18" w14:textId="4E9D76E8" w:rsidR="00DE64E0" w:rsidRDefault="00DE64E0">
          <w:pPr>
            <w:pStyle w:val="TOC2"/>
            <w:rPr>
              <w:rFonts w:eastAsiaTheme="minorEastAsia" w:cstheme="minorBidi"/>
              <w:noProof/>
              <w:kern w:val="2"/>
              <w:sz w:val="24"/>
              <w:szCs w:val="24"/>
              <w:lang w:eastAsia="en-GB"/>
              <w14:ligatures w14:val="standardContextual"/>
            </w:rPr>
          </w:pPr>
          <w:hyperlink w:anchor="_Toc135384260" w:history="1">
            <w:r w:rsidRPr="00EF528F">
              <w:rPr>
                <w:rStyle w:val="Hyperlink"/>
                <w:b/>
                <w:bCs/>
                <w:noProof/>
              </w:rPr>
              <w:t>1.7 Gaps in the literature:</w:t>
            </w:r>
            <w:r>
              <w:rPr>
                <w:noProof/>
                <w:webHidden/>
              </w:rPr>
              <w:tab/>
            </w:r>
            <w:r>
              <w:rPr>
                <w:noProof/>
                <w:webHidden/>
              </w:rPr>
              <w:fldChar w:fldCharType="begin"/>
            </w:r>
            <w:r>
              <w:rPr>
                <w:noProof/>
                <w:webHidden/>
              </w:rPr>
              <w:instrText xml:space="preserve"> PAGEREF _Toc135384260 \h </w:instrText>
            </w:r>
            <w:r>
              <w:rPr>
                <w:noProof/>
                <w:webHidden/>
              </w:rPr>
            </w:r>
            <w:r>
              <w:rPr>
                <w:noProof/>
                <w:webHidden/>
              </w:rPr>
              <w:fldChar w:fldCharType="separate"/>
            </w:r>
            <w:r w:rsidR="003A67BA">
              <w:rPr>
                <w:noProof/>
                <w:webHidden/>
              </w:rPr>
              <w:t>54</w:t>
            </w:r>
            <w:r>
              <w:rPr>
                <w:noProof/>
                <w:webHidden/>
              </w:rPr>
              <w:fldChar w:fldCharType="end"/>
            </w:r>
          </w:hyperlink>
        </w:p>
        <w:p w14:paraId="0155638B" w14:textId="09E77F6C" w:rsidR="00DE64E0" w:rsidRDefault="00DE64E0">
          <w:pPr>
            <w:pStyle w:val="TOC2"/>
            <w:rPr>
              <w:rFonts w:eastAsiaTheme="minorEastAsia" w:cstheme="minorBidi"/>
              <w:noProof/>
              <w:kern w:val="2"/>
              <w:sz w:val="24"/>
              <w:szCs w:val="24"/>
              <w:lang w:eastAsia="en-GB"/>
              <w14:ligatures w14:val="standardContextual"/>
            </w:rPr>
          </w:pPr>
          <w:hyperlink w:anchor="_Toc135384261" w:history="1">
            <w:r w:rsidRPr="00EF528F">
              <w:rPr>
                <w:rStyle w:val="Hyperlink"/>
                <w:b/>
                <w:bCs/>
                <w:noProof/>
              </w:rPr>
              <w:t>1.8 Rationale for research:</w:t>
            </w:r>
            <w:r>
              <w:rPr>
                <w:noProof/>
                <w:webHidden/>
              </w:rPr>
              <w:tab/>
            </w:r>
            <w:r>
              <w:rPr>
                <w:noProof/>
                <w:webHidden/>
              </w:rPr>
              <w:fldChar w:fldCharType="begin"/>
            </w:r>
            <w:r>
              <w:rPr>
                <w:noProof/>
                <w:webHidden/>
              </w:rPr>
              <w:instrText xml:space="preserve"> PAGEREF _Toc135384261 \h </w:instrText>
            </w:r>
            <w:r>
              <w:rPr>
                <w:noProof/>
                <w:webHidden/>
              </w:rPr>
            </w:r>
            <w:r>
              <w:rPr>
                <w:noProof/>
                <w:webHidden/>
              </w:rPr>
              <w:fldChar w:fldCharType="separate"/>
            </w:r>
            <w:r w:rsidR="003A67BA">
              <w:rPr>
                <w:noProof/>
                <w:webHidden/>
              </w:rPr>
              <w:t>55</w:t>
            </w:r>
            <w:r>
              <w:rPr>
                <w:noProof/>
                <w:webHidden/>
              </w:rPr>
              <w:fldChar w:fldCharType="end"/>
            </w:r>
          </w:hyperlink>
        </w:p>
        <w:p w14:paraId="43D88D95" w14:textId="110FFD3F"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262" w:history="1">
            <w:r w:rsidRPr="00EF528F">
              <w:rPr>
                <w:rStyle w:val="Hyperlink"/>
                <w:noProof/>
              </w:rPr>
              <w:t>Chapter 2: Aims and Objectives</w:t>
            </w:r>
            <w:r>
              <w:rPr>
                <w:noProof/>
                <w:webHidden/>
              </w:rPr>
              <w:tab/>
            </w:r>
            <w:r>
              <w:rPr>
                <w:noProof/>
                <w:webHidden/>
              </w:rPr>
              <w:fldChar w:fldCharType="begin"/>
            </w:r>
            <w:r>
              <w:rPr>
                <w:noProof/>
                <w:webHidden/>
              </w:rPr>
              <w:instrText xml:space="preserve"> PAGEREF _Toc135384262 \h </w:instrText>
            </w:r>
            <w:r>
              <w:rPr>
                <w:noProof/>
                <w:webHidden/>
              </w:rPr>
            </w:r>
            <w:r>
              <w:rPr>
                <w:noProof/>
                <w:webHidden/>
              </w:rPr>
              <w:fldChar w:fldCharType="separate"/>
            </w:r>
            <w:r w:rsidR="003A67BA">
              <w:rPr>
                <w:noProof/>
                <w:webHidden/>
              </w:rPr>
              <w:t>56</w:t>
            </w:r>
            <w:r>
              <w:rPr>
                <w:noProof/>
                <w:webHidden/>
              </w:rPr>
              <w:fldChar w:fldCharType="end"/>
            </w:r>
          </w:hyperlink>
        </w:p>
        <w:p w14:paraId="65BC6EE9" w14:textId="3355A921" w:rsidR="00DE64E0" w:rsidRDefault="00DE64E0">
          <w:pPr>
            <w:pStyle w:val="TOC2"/>
            <w:rPr>
              <w:rFonts w:eastAsiaTheme="minorEastAsia" w:cstheme="minorBidi"/>
              <w:noProof/>
              <w:kern w:val="2"/>
              <w:sz w:val="24"/>
              <w:szCs w:val="24"/>
              <w:lang w:eastAsia="en-GB"/>
              <w14:ligatures w14:val="standardContextual"/>
            </w:rPr>
          </w:pPr>
          <w:hyperlink w:anchor="_Toc135384263" w:history="1">
            <w:r w:rsidRPr="00EF528F">
              <w:rPr>
                <w:rStyle w:val="Hyperlink"/>
                <w:b/>
                <w:bCs/>
                <w:noProof/>
              </w:rPr>
              <w:t>2.1 Aim</w:t>
            </w:r>
            <w:r w:rsidR="00426F53">
              <w:rPr>
                <w:rStyle w:val="Hyperlink"/>
                <w:b/>
                <w:bCs/>
                <w:noProof/>
              </w:rPr>
              <w:t>……..</w:t>
            </w:r>
            <w:r>
              <w:rPr>
                <w:noProof/>
                <w:webHidden/>
              </w:rPr>
              <w:tab/>
            </w:r>
            <w:r>
              <w:rPr>
                <w:noProof/>
                <w:webHidden/>
              </w:rPr>
              <w:fldChar w:fldCharType="begin"/>
            </w:r>
            <w:r>
              <w:rPr>
                <w:noProof/>
                <w:webHidden/>
              </w:rPr>
              <w:instrText xml:space="preserve"> PAGEREF _Toc135384263 \h </w:instrText>
            </w:r>
            <w:r>
              <w:rPr>
                <w:noProof/>
                <w:webHidden/>
              </w:rPr>
            </w:r>
            <w:r>
              <w:rPr>
                <w:noProof/>
                <w:webHidden/>
              </w:rPr>
              <w:fldChar w:fldCharType="separate"/>
            </w:r>
            <w:r w:rsidR="003A67BA">
              <w:rPr>
                <w:noProof/>
                <w:webHidden/>
              </w:rPr>
              <w:t>56</w:t>
            </w:r>
            <w:r>
              <w:rPr>
                <w:noProof/>
                <w:webHidden/>
              </w:rPr>
              <w:fldChar w:fldCharType="end"/>
            </w:r>
          </w:hyperlink>
        </w:p>
        <w:p w14:paraId="08F7C786" w14:textId="0FF35E39" w:rsidR="00DE64E0" w:rsidRDefault="00DE64E0">
          <w:pPr>
            <w:pStyle w:val="TOC2"/>
            <w:rPr>
              <w:rFonts w:eastAsiaTheme="minorEastAsia" w:cstheme="minorBidi"/>
              <w:noProof/>
              <w:kern w:val="2"/>
              <w:sz w:val="24"/>
              <w:szCs w:val="24"/>
              <w:lang w:eastAsia="en-GB"/>
              <w14:ligatures w14:val="standardContextual"/>
            </w:rPr>
          </w:pPr>
          <w:hyperlink w:anchor="_Toc135384264" w:history="1">
            <w:r w:rsidRPr="00EF528F">
              <w:rPr>
                <w:rStyle w:val="Hyperlink"/>
                <w:b/>
                <w:bCs/>
                <w:noProof/>
              </w:rPr>
              <w:t>2.2 Objective</w:t>
            </w:r>
            <w:r w:rsidR="00426F53">
              <w:rPr>
                <w:rStyle w:val="Hyperlink"/>
                <w:b/>
                <w:bCs/>
                <w:noProof/>
              </w:rPr>
              <w:t>s</w:t>
            </w:r>
            <w:r>
              <w:rPr>
                <w:noProof/>
                <w:webHidden/>
              </w:rPr>
              <w:tab/>
            </w:r>
            <w:r>
              <w:rPr>
                <w:noProof/>
                <w:webHidden/>
              </w:rPr>
              <w:fldChar w:fldCharType="begin"/>
            </w:r>
            <w:r>
              <w:rPr>
                <w:noProof/>
                <w:webHidden/>
              </w:rPr>
              <w:instrText xml:space="preserve"> PAGEREF _Toc135384264 \h </w:instrText>
            </w:r>
            <w:r>
              <w:rPr>
                <w:noProof/>
                <w:webHidden/>
              </w:rPr>
            </w:r>
            <w:r>
              <w:rPr>
                <w:noProof/>
                <w:webHidden/>
              </w:rPr>
              <w:fldChar w:fldCharType="separate"/>
            </w:r>
            <w:r w:rsidR="003A67BA">
              <w:rPr>
                <w:noProof/>
                <w:webHidden/>
              </w:rPr>
              <w:t>56</w:t>
            </w:r>
            <w:r>
              <w:rPr>
                <w:noProof/>
                <w:webHidden/>
              </w:rPr>
              <w:fldChar w:fldCharType="end"/>
            </w:r>
          </w:hyperlink>
        </w:p>
        <w:p w14:paraId="24AE2238" w14:textId="6DA54ECE" w:rsidR="00DE64E0" w:rsidRDefault="00DE64E0">
          <w:pPr>
            <w:pStyle w:val="TOC2"/>
            <w:rPr>
              <w:rFonts w:eastAsiaTheme="minorEastAsia" w:cstheme="minorBidi"/>
              <w:noProof/>
              <w:kern w:val="2"/>
              <w:sz w:val="24"/>
              <w:szCs w:val="24"/>
              <w:lang w:eastAsia="en-GB"/>
              <w14:ligatures w14:val="standardContextual"/>
            </w:rPr>
          </w:pPr>
          <w:hyperlink w:anchor="_Toc135384265" w:history="1">
            <w:r w:rsidRPr="00EF528F">
              <w:rPr>
                <w:rStyle w:val="Hyperlink"/>
                <w:b/>
                <w:bCs/>
                <w:noProof/>
              </w:rPr>
              <w:t>2.3 Covid-19 statement</w:t>
            </w:r>
            <w:r>
              <w:rPr>
                <w:noProof/>
                <w:webHidden/>
              </w:rPr>
              <w:tab/>
            </w:r>
            <w:r>
              <w:rPr>
                <w:noProof/>
                <w:webHidden/>
              </w:rPr>
              <w:fldChar w:fldCharType="begin"/>
            </w:r>
            <w:r>
              <w:rPr>
                <w:noProof/>
                <w:webHidden/>
              </w:rPr>
              <w:instrText xml:space="preserve"> PAGEREF _Toc135384265 \h </w:instrText>
            </w:r>
            <w:r>
              <w:rPr>
                <w:noProof/>
                <w:webHidden/>
              </w:rPr>
            </w:r>
            <w:r>
              <w:rPr>
                <w:noProof/>
                <w:webHidden/>
              </w:rPr>
              <w:fldChar w:fldCharType="separate"/>
            </w:r>
            <w:r w:rsidR="003A67BA">
              <w:rPr>
                <w:noProof/>
                <w:webHidden/>
              </w:rPr>
              <w:t>57</w:t>
            </w:r>
            <w:r>
              <w:rPr>
                <w:noProof/>
                <w:webHidden/>
              </w:rPr>
              <w:fldChar w:fldCharType="end"/>
            </w:r>
          </w:hyperlink>
        </w:p>
        <w:p w14:paraId="47637D35" w14:textId="79CD1D22"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266" w:history="1">
            <w:r w:rsidRPr="00EF528F">
              <w:rPr>
                <w:rStyle w:val="Hyperlink"/>
                <w:noProof/>
              </w:rPr>
              <w:t>Chapter 3: Amendment and validation of a dietary protein screener tool.</w:t>
            </w:r>
            <w:r>
              <w:rPr>
                <w:noProof/>
                <w:webHidden/>
              </w:rPr>
              <w:tab/>
            </w:r>
            <w:r>
              <w:rPr>
                <w:noProof/>
                <w:webHidden/>
              </w:rPr>
              <w:fldChar w:fldCharType="begin"/>
            </w:r>
            <w:r>
              <w:rPr>
                <w:noProof/>
                <w:webHidden/>
              </w:rPr>
              <w:instrText xml:space="preserve"> PAGEREF _Toc135384266 \h </w:instrText>
            </w:r>
            <w:r>
              <w:rPr>
                <w:noProof/>
                <w:webHidden/>
              </w:rPr>
            </w:r>
            <w:r>
              <w:rPr>
                <w:noProof/>
                <w:webHidden/>
              </w:rPr>
              <w:fldChar w:fldCharType="separate"/>
            </w:r>
            <w:r w:rsidR="003A67BA">
              <w:rPr>
                <w:noProof/>
                <w:webHidden/>
              </w:rPr>
              <w:t>60</w:t>
            </w:r>
            <w:r>
              <w:rPr>
                <w:noProof/>
                <w:webHidden/>
              </w:rPr>
              <w:fldChar w:fldCharType="end"/>
            </w:r>
          </w:hyperlink>
        </w:p>
        <w:p w14:paraId="4EC7434E" w14:textId="4CE39B8F" w:rsidR="00DE64E0" w:rsidRDefault="00DE64E0">
          <w:pPr>
            <w:pStyle w:val="TOC2"/>
            <w:rPr>
              <w:rFonts w:eastAsiaTheme="minorEastAsia" w:cstheme="minorBidi"/>
              <w:noProof/>
              <w:kern w:val="2"/>
              <w:sz w:val="24"/>
              <w:szCs w:val="24"/>
              <w:lang w:eastAsia="en-GB"/>
              <w14:ligatures w14:val="standardContextual"/>
            </w:rPr>
          </w:pPr>
          <w:hyperlink w:anchor="_Toc135384267" w:history="1">
            <w:r w:rsidRPr="00EF528F">
              <w:rPr>
                <w:rStyle w:val="Hyperlink"/>
                <w:b/>
                <w:bCs/>
                <w:noProof/>
              </w:rPr>
              <w:t>3.1. Introduction</w:t>
            </w:r>
            <w:r>
              <w:rPr>
                <w:noProof/>
                <w:webHidden/>
              </w:rPr>
              <w:tab/>
            </w:r>
            <w:r>
              <w:rPr>
                <w:noProof/>
                <w:webHidden/>
              </w:rPr>
              <w:fldChar w:fldCharType="begin"/>
            </w:r>
            <w:r>
              <w:rPr>
                <w:noProof/>
                <w:webHidden/>
              </w:rPr>
              <w:instrText xml:space="preserve"> PAGEREF _Toc135384267 \h </w:instrText>
            </w:r>
            <w:r>
              <w:rPr>
                <w:noProof/>
                <w:webHidden/>
              </w:rPr>
            </w:r>
            <w:r>
              <w:rPr>
                <w:noProof/>
                <w:webHidden/>
              </w:rPr>
              <w:fldChar w:fldCharType="separate"/>
            </w:r>
            <w:r w:rsidR="003A67BA">
              <w:rPr>
                <w:noProof/>
                <w:webHidden/>
              </w:rPr>
              <w:t>60</w:t>
            </w:r>
            <w:r>
              <w:rPr>
                <w:noProof/>
                <w:webHidden/>
              </w:rPr>
              <w:fldChar w:fldCharType="end"/>
            </w:r>
          </w:hyperlink>
        </w:p>
        <w:p w14:paraId="4D6DD423" w14:textId="52D3A0AE" w:rsidR="00DE64E0" w:rsidRDefault="00DE64E0">
          <w:pPr>
            <w:pStyle w:val="TOC3"/>
            <w:rPr>
              <w:rFonts w:eastAsiaTheme="minorEastAsia" w:cstheme="minorBidi"/>
              <w:noProof/>
              <w:kern w:val="2"/>
              <w:sz w:val="24"/>
              <w:szCs w:val="24"/>
              <w:lang w:eastAsia="en-GB"/>
              <w14:ligatures w14:val="standardContextual"/>
            </w:rPr>
          </w:pPr>
          <w:hyperlink w:anchor="_Toc135384268" w:history="1">
            <w:r w:rsidRPr="00EF528F">
              <w:rPr>
                <w:rStyle w:val="Hyperlink"/>
                <w:noProof/>
              </w:rPr>
              <w:t>3.1.1 Screening tools</w:t>
            </w:r>
            <w:r>
              <w:rPr>
                <w:noProof/>
                <w:webHidden/>
              </w:rPr>
              <w:tab/>
            </w:r>
            <w:r>
              <w:rPr>
                <w:noProof/>
                <w:webHidden/>
              </w:rPr>
              <w:fldChar w:fldCharType="begin"/>
            </w:r>
            <w:r>
              <w:rPr>
                <w:noProof/>
                <w:webHidden/>
              </w:rPr>
              <w:instrText xml:space="preserve"> PAGEREF _Toc135384268 \h </w:instrText>
            </w:r>
            <w:r>
              <w:rPr>
                <w:noProof/>
                <w:webHidden/>
              </w:rPr>
            </w:r>
            <w:r>
              <w:rPr>
                <w:noProof/>
                <w:webHidden/>
              </w:rPr>
              <w:fldChar w:fldCharType="separate"/>
            </w:r>
            <w:r w:rsidR="003A67BA">
              <w:rPr>
                <w:noProof/>
                <w:webHidden/>
              </w:rPr>
              <w:t>60</w:t>
            </w:r>
            <w:r>
              <w:rPr>
                <w:noProof/>
                <w:webHidden/>
              </w:rPr>
              <w:fldChar w:fldCharType="end"/>
            </w:r>
          </w:hyperlink>
        </w:p>
        <w:p w14:paraId="09702387" w14:textId="1BC803FC" w:rsidR="00DE64E0" w:rsidRDefault="00DE64E0">
          <w:pPr>
            <w:pStyle w:val="TOC3"/>
            <w:rPr>
              <w:rFonts w:eastAsiaTheme="minorEastAsia" w:cstheme="minorBidi"/>
              <w:noProof/>
              <w:kern w:val="2"/>
              <w:sz w:val="24"/>
              <w:szCs w:val="24"/>
              <w:lang w:eastAsia="en-GB"/>
              <w14:ligatures w14:val="standardContextual"/>
            </w:rPr>
          </w:pPr>
          <w:hyperlink w:anchor="_Toc135384269" w:history="1">
            <w:r w:rsidRPr="00EF528F">
              <w:rPr>
                <w:rStyle w:val="Hyperlink"/>
                <w:noProof/>
              </w:rPr>
              <w:t>3.1.2 Protein screener, Pro55+</w:t>
            </w:r>
            <w:r>
              <w:rPr>
                <w:noProof/>
                <w:webHidden/>
              </w:rPr>
              <w:tab/>
            </w:r>
            <w:r>
              <w:rPr>
                <w:noProof/>
                <w:webHidden/>
              </w:rPr>
              <w:fldChar w:fldCharType="begin"/>
            </w:r>
            <w:r>
              <w:rPr>
                <w:noProof/>
                <w:webHidden/>
              </w:rPr>
              <w:instrText xml:space="preserve"> PAGEREF _Toc135384269 \h </w:instrText>
            </w:r>
            <w:r>
              <w:rPr>
                <w:noProof/>
                <w:webHidden/>
              </w:rPr>
            </w:r>
            <w:r>
              <w:rPr>
                <w:noProof/>
                <w:webHidden/>
              </w:rPr>
              <w:fldChar w:fldCharType="separate"/>
            </w:r>
            <w:r w:rsidR="003A67BA">
              <w:rPr>
                <w:noProof/>
                <w:webHidden/>
              </w:rPr>
              <w:t>61</w:t>
            </w:r>
            <w:r>
              <w:rPr>
                <w:noProof/>
                <w:webHidden/>
              </w:rPr>
              <w:fldChar w:fldCharType="end"/>
            </w:r>
          </w:hyperlink>
        </w:p>
        <w:p w14:paraId="2E0F993B" w14:textId="634DAD0B" w:rsidR="00DE64E0" w:rsidRDefault="00DE64E0">
          <w:pPr>
            <w:pStyle w:val="TOC3"/>
            <w:rPr>
              <w:rFonts w:eastAsiaTheme="minorEastAsia" w:cstheme="minorBidi"/>
              <w:noProof/>
              <w:kern w:val="2"/>
              <w:sz w:val="24"/>
              <w:szCs w:val="24"/>
              <w:lang w:eastAsia="en-GB"/>
              <w14:ligatures w14:val="standardContextual"/>
            </w:rPr>
          </w:pPr>
          <w:hyperlink w:anchor="_Toc135384270" w:history="1">
            <w:r w:rsidRPr="00EF528F">
              <w:rPr>
                <w:rStyle w:val="Hyperlink"/>
                <w:noProof/>
              </w:rPr>
              <w:t>3.1.3 Dietary assessment tools</w:t>
            </w:r>
            <w:r>
              <w:rPr>
                <w:noProof/>
                <w:webHidden/>
              </w:rPr>
              <w:tab/>
            </w:r>
            <w:r>
              <w:rPr>
                <w:noProof/>
                <w:webHidden/>
              </w:rPr>
              <w:fldChar w:fldCharType="begin"/>
            </w:r>
            <w:r>
              <w:rPr>
                <w:noProof/>
                <w:webHidden/>
              </w:rPr>
              <w:instrText xml:space="preserve"> PAGEREF _Toc135384270 \h </w:instrText>
            </w:r>
            <w:r>
              <w:rPr>
                <w:noProof/>
                <w:webHidden/>
              </w:rPr>
            </w:r>
            <w:r>
              <w:rPr>
                <w:noProof/>
                <w:webHidden/>
              </w:rPr>
              <w:fldChar w:fldCharType="separate"/>
            </w:r>
            <w:r w:rsidR="003A67BA">
              <w:rPr>
                <w:noProof/>
                <w:webHidden/>
              </w:rPr>
              <w:t>61</w:t>
            </w:r>
            <w:r>
              <w:rPr>
                <w:noProof/>
                <w:webHidden/>
              </w:rPr>
              <w:fldChar w:fldCharType="end"/>
            </w:r>
          </w:hyperlink>
        </w:p>
        <w:p w14:paraId="27764633" w14:textId="35F45850" w:rsidR="00DE64E0" w:rsidRDefault="00DE64E0">
          <w:pPr>
            <w:pStyle w:val="TOC3"/>
            <w:rPr>
              <w:rFonts w:eastAsiaTheme="minorEastAsia" w:cstheme="minorBidi"/>
              <w:noProof/>
              <w:kern w:val="2"/>
              <w:sz w:val="24"/>
              <w:szCs w:val="24"/>
              <w:lang w:eastAsia="en-GB"/>
              <w14:ligatures w14:val="standardContextual"/>
            </w:rPr>
          </w:pPr>
          <w:hyperlink w:anchor="_Toc135384271" w:history="1">
            <w:r w:rsidRPr="00EF528F">
              <w:rPr>
                <w:rStyle w:val="Hyperlink"/>
                <w:noProof/>
              </w:rPr>
              <w:t>3.1.4 Validation methods</w:t>
            </w:r>
            <w:r>
              <w:rPr>
                <w:noProof/>
                <w:webHidden/>
              </w:rPr>
              <w:tab/>
            </w:r>
            <w:r>
              <w:rPr>
                <w:noProof/>
                <w:webHidden/>
              </w:rPr>
              <w:fldChar w:fldCharType="begin"/>
            </w:r>
            <w:r>
              <w:rPr>
                <w:noProof/>
                <w:webHidden/>
              </w:rPr>
              <w:instrText xml:space="preserve"> PAGEREF _Toc135384271 \h </w:instrText>
            </w:r>
            <w:r>
              <w:rPr>
                <w:noProof/>
                <w:webHidden/>
              </w:rPr>
            </w:r>
            <w:r>
              <w:rPr>
                <w:noProof/>
                <w:webHidden/>
              </w:rPr>
              <w:fldChar w:fldCharType="separate"/>
            </w:r>
            <w:r w:rsidR="003A67BA">
              <w:rPr>
                <w:noProof/>
                <w:webHidden/>
              </w:rPr>
              <w:t>62</w:t>
            </w:r>
            <w:r>
              <w:rPr>
                <w:noProof/>
                <w:webHidden/>
              </w:rPr>
              <w:fldChar w:fldCharType="end"/>
            </w:r>
          </w:hyperlink>
        </w:p>
        <w:p w14:paraId="7F6FDD3A" w14:textId="79ECBC51" w:rsidR="00DE64E0" w:rsidRDefault="00DE64E0">
          <w:pPr>
            <w:pStyle w:val="TOC2"/>
            <w:rPr>
              <w:rFonts w:eastAsiaTheme="minorEastAsia" w:cstheme="minorBidi"/>
              <w:noProof/>
              <w:kern w:val="2"/>
              <w:sz w:val="24"/>
              <w:szCs w:val="24"/>
              <w:lang w:eastAsia="en-GB"/>
              <w14:ligatures w14:val="standardContextual"/>
            </w:rPr>
          </w:pPr>
          <w:hyperlink w:anchor="_Toc135384272" w:history="1">
            <w:r w:rsidRPr="00EF528F">
              <w:rPr>
                <w:rStyle w:val="Hyperlink"/>
                <w:b/>
                <w:bCs/>
                <w:noProof/>
              </w:rPr>
              <w:t>3.2 Part A - ProScreenerUK</w:t>
            </w:r>
            <w:r>
              <w:rPr>
                <w:noProof/>
                <w:webHidden/>
              </w:rPr>
              <w:tab/>
            </w:r>
            <w:r>
              <w:rPr>
                <w:noProof/>
                <w:webHidden/>
              </w:rPr>
              <w:fldChar w:fldCharType="begin"/>
            </w:r>
            <w:r>
              <w:rPr>
                <w:noProof/>
                <w:webHidden/>
              </w:rPr>
              <w:instrText xml:space="preserve"> PAGEREF _Toc135384272 \h </w:instrText>
            </w:r>
            <w:r>
              <w:rPr>
                <w:noProof/>
                <w:webHidden/>
              </w:rPr>
            </w:r>
            <w:r>
              <w:rPr>
                <w:noProof/>
                <w:webHidden/>
              </w:rPr>
              <w:fldChar w:fldCharType="separate"/>
            </w:r>
            <w:r w:rsidR="003A67BA">
              <w:rPr>
                <w:noProof/>
                <w:webHidden/>
              </w:rPr>
              <w:t>63</w:t>
            </w:r>
            <w:r>
              <w:rPr>
                <w:noProof/>
                <w:webHidden/>
              </w:rPr>
              <w:fldChar w:fldCharType="end"/>
            </w:r>
          </w:hyperlink>
        </w:p>
        <w:p w14:paraId="0186FDF3" w14:textId="0A0165AB" w:rsidR="00DE64E0" w:rsidRDefault="00DE64E0">
          <w:pPr>
            <w:pStyle w:val="TOC3"/>
            <w:rPr>
              <w:rFonts w:eastAsiaTheme="minorEastAsia" w:cstheme="minorBidi"/>
              <w:noProof/>
              <w:kern w:val="2"/>
              <w:sz w:val="24"/>
              <w:szCs w:val="24"/>
              <w:lang w:eastAsia="en-GB"/>
              <w14:ligatures w14:val="standardContextual"/>
            </w:rPr>
          </w:pPr>
          <w:hyperlink w:anchor="_Toc135384273" w:history="1">
            <w:r w:rsidRPr="00EF528F">
              <w:rPr>
                <w:rStyle w:val="Hyperlink"/>
                <w:noProof/>
              </w:rPr>
              <w:t>3.2.1 Part A aims, hypothesis and objectives.</w:t>
            </w:r>
            <w:r>
              <w:rPr>
                <w:noProof/>
                <w:webHidden/>
              </w:rPr>
              <w:tab/>
            </w:r>
            <w:r>
              <w:rPr>
                <w:noProof/>
                <w:webHidden/>
              </w:rPr>
              <w:fldChar w:fldCharType="begin"/>
            </w:r>
            <w:r>
              <w:rPr>
                <w:noProof/>
                <w:webHidden/>
              </w:rPr>
              <w:instrText xml:space="preserve"> PAGEREF _Toc135384273 \h </w:instrText>
            </w:r>
            <w:r>
              <w:rPr>
                <w:noProof/>
                <w:webHidden/>
              </w:rPr>
            </w:r>
            <w:r>
              <w:rPr>
                <w:noProof/>
                <w:webHidden/>
              </w:rPr>
              <w:fldChar w:fldCharType="separate"/>
            </w:r>
            <w:r w:rsidR="003A67BA">
              <w:rPr>
                <w:noProof/>
                <w:webHidden/>
              </w:rPr>
              <w:t>63</w:t>
            </w:r>
            <w:r>
              <w:rPr>
                <w:noProof/>
                <w:webHidden/>
              </w:rPr>
              <w:fldChar w:fldCharType="end"/>
            </w:r>
          </w:hyperlink>
        </w:p>
        <w:p w14:paraId="32C8FAC4" w14:textId="72A5F682" w:rsidR="00DE64E0" w:rsidRDefault="00DE64E0">
          <w:pPr>
            <w:pStyle w:val="TOC3"/>
            <w:rPr>
              <w:rFonts w:eastAsiaTheme="minorEastAsia" w:cstheme="minorBidi"/>
              <w:noProof/>
              <w:kern w:val="2"/>
              <w:sz w:val="24"/>
              <w:szCs w:val="24"/>
              <w:lang w:eastAsia="en-GB"/>
              <w14:ligatures w14:val="standardContextual"/>
            </w:rPr>
          </w:pPr>
          <w:hyperlink w:anchor="_Toc135384274" w:history="1">
            <w:r w:rsidRPr="00EF528F">
              <w:rPr>
                <w:rStyle w:val="Hyperlink"/>
                <w:noProof/>
              </w:rPr>
              <w:t>3.2.2 Part A Study design</w:t>
            </w:r>
            <w:r>
              <w:rPr>
                <w:noProof/>
                <w:webHidden/>
              </w:rPr>
              <w:tab/>
            </w:r>
            <w:r>
              <w:rPr>
                <w:noProof/>
                <w:webHidden/>
              </w:rPr>
              <w:fldChar w:fldCharType="begin"/>
            </w:r>
            <w:r>
              <w:rPr>
                <w:noProof/>
                <w:webHidden/>
              </w:rPr>
              <w:instrText xml:space="preserve"> PAGEREF _Toc135384274 \h </w:instrText>
            </w:r>
            <w:r>
              <w:rPr>
                <w:noProof/>
                <w:webHidden/>
              </w:rPr>
            </w:r>
            <w:r>
              <w:rPr>
                <w:noProof/>
                <w:webHidden/>
              </w:rPr>
              <w:fldChar w:fldCharType="separate"/>
            </w:r>
            <w:r w:rsidR="003A67BA">
              <w:rPr>
                <w:noProof/>
                <w:webHidden/>
              </w:rPr>
              <w:t>63</w:t>
            </w:r>
            <w:r>
              <w:rPr>
                <w:noProof/>
                <w:webHidden/>
              </w:rPr>
              <w:fldChar w:fldCharType="end"/>
            </w:r>
          </w:hyperlink>
        </w:p>
        <w:p w14:paraId="6349007A" w14:textId="63EECB91" w:rsidR="00DE64E0" w:rsidRDefault="00DE64E0">
          <w:pPr>
            <w:pStyle w:val="TOC3"/>
            <w:rPr>
              <w:rFonts w:eastAsiaTheme="minorEastAsia" w:cstheme="minorBidi"/>
              <w:noProof/>
              <w:kern w:val="2"/>
              <w:sz w:val="24"/>
              <w:szCs w:val="24"/>
              <w:lang w:eastAsia="en-GB"/>
              <w14:ligatures w14:val="standardContextual"/>
            </w:rPr>
          </w:pPr>
          <w:hyperlink w:anchor="_Toc135384275" w:history="1">
            <w:r w:rsidRPr="00EF528F">
              <w:rPr>
                <w:rStyle w:val="Hyperlink"/>
                <w:noProof/>
              </w:rPr>
              <w:t>3.2.4 Publication</w:t>
            </w:r>
            <w:r>
              <w:rPr>
                <w:noProof/>
                <w:webHidden/>
              </w:rPr>
              <w:tab/>
            </w:r>
            <w:r>
              <w:rPr>
                <w:noProof/>
                <w:webHidden/>
              </w:rPr>
              <w:fldChar w:fldCharType="begin"/>
            </w:r>
            <w:r>
              <w:rPr>
                <w:noProof/>
                <w:webHidden/>
              </w:rPr>
              <w:instrText xml:space="preserve"> PAGEREF _Toc135384275 \h </w:instrText>
            </w:r>
            <w:r>
              <w:rPr>
                <w:noProof/>
                <w:webHidden/>
              </w:rPr>
            </w:r>
            <w:r>
              <w:rPr>
                <w:noProof/>
                <w:webHidden/>
              </w:rPr>
              <w:fldChar w:fldCharType="separate"/>
            </w:r>
            <w:r w:rsidR="003A67BA">
              <w:rPr>
                <w:noProof/>
                <w:webHidden/>
              </w:rPr>
              <w:t>65</w:t>
            </w:r>
            <w:r>
              <w:rPr>
                <w:noProof/>
                <w:webHidden/>
              </w:rPr>
              <w:fldChar w:fldCharType="end"/>
            </w:r>
          </w:hyperlink>
        </w:p>
        <w:p w14:paraId="02A43469" w14:textId="5B045AB5" w:rsidR="00DE64E0" w:rsidRDefault="00DE64E0">
          <w:pPr>
            <w:pStyle w:val="TOC3"/>
            <w:rPr>
              <w:rFonts w:eastAsiaTheme="minorEastAsia" w:cstheme="minorBidi"/>
              <w:noProof/>
              <w:kern w:val="2"/>
              <w:sz w:val="24"/>
              <w:szCs w:val="24"/>
              <w:lang w:eastAsia="en-GB"/>
              <w14:ligatures w14:val="standardContextual"/>
            </w:rPr>
          </w:pPr>
          <w:hyperlink w:anchor="_Toc135384276" w:history="1">
            <w:r>
              <w:rPr>
                <w:noProof/>
                <w:webHidden/>
              </w:rPr>
              <w:tab/>
            </w:r>
            <w:r>
              <w:rPr>
                <w:noProof/>
                <w:webHidden/>
              </w:rPr>
              <w:fldChar w:fldCharType="begin"/>
            </w:r>
            <w:r>
              <w:rPr>
                <w:noProof/>
                <w:webHidden/>
              </w:rPr>
              <w:instrText xml:space="preserve"> PAGEREF _Toc135384276 \h </w:instrText>
            </w:r>
            <w:r>
              <w:rPr>
                <w:noProof/>
                <w:webHidden/>
              </w:rPr>
            </w:r>
            <w:r>
              <w:rPr>
                <w:noProof/>
                <w:webHidden/>
              </w:rPr>
              <w:fldChar w:fldCharType="separate"/>
            </w:r>
            <w:r w:rsidR="003A67BA">
              <w:rPr>
                <w:noProof/>
                <w:webHidden/>
              </w:rPr>
              <w:t>72</w:t>
            </w:r>
            <w:r>
              <w:rPr>
                <w:noProof/>
                <w:webHidden/>
              </w:rPr>
              <w:fldChar w:fldCharType="end"/>
            </w:r>
          </w:hyperlink>
        </w:p>
        <w:p w14:paraId="707B411C" w14:textId="5118B435" w:rsidR="00DE64E0" w:rsidRDefault="00DE64E0">
          <w:pPr>
            <w:pStyle w:val="TOC3"/>
            <w:rPr>
              <w:rFonts w:eastAsiaTheme="minorEastAsia" w:cstheme="minorBidi"/>
              <w:noProof/>
              <w:kern w:val="2"/>
              <w:sz w:val="24"/>
              <w:szCs w:val="24"/>
              <w:lang w:eastAsia="en-GB"/>
              <w14:ligatures w14:val="standardContextual"/>
            </w:rPr>
          </w:pPr>
          <w:hyperlink w:anchor="_Toc135384277" w:history="1">
            <w:r w:rsidRPr="00EF528F">
              <w:rPr>
                <w:rStyle w:val="Hyperlink"/>
                <w:noProof/>
              </w:rPr>
              <w:t>3.2.5 Summary of Part A findings</w:t>
            </w:r>
            <w:r>
              <w:rPr>
                <w:noProof/>
                <w:webHidden/>
              </w:rPr>
              <w:tab/>
            </w:r>
            <w:r>
              <w:rPr>
                <w:noProof/>
                <w:webHidden/>
              </w:rPr>
              <w:fldChar w:fldCharType="begin"/>
            </w:r>
            <w:r>
              <w:rPr>
                <w:noProof/>
                <w:webHidden/>
              </w:rPr>
              <w:instrText xml:space="preserve"> PAGEREF _Toc135384277 \h </w:instrText>
            </w:r>
            <w:r>
              <w:rPr>
                <w:noProof/>
                <w:webHidden/>
              </w:rPr>
            </w:r>
            <w:r>
              <w:rPr>
                <w:noProof/>
                <w:webHidden/>
              </w:rPr>
              <w:fldChar w:fldCharType="separate"/>
            </w:r>
            <w:r w:rsidR="003A67BA">
              <w:rPr>
                <w:noProof/>
                <w:webHidden/>
              </w:rPr>
              <w:t>72</w:t>
            </w:r>
            <w:r>
              <w:rPr>
                <w:noProof/>
                <w:webHidden/>
              </w:rPr>
              <w:fldChar w:fldCharType="end"/>
            </w:r>
          </w:hyperlink>
        </w:p>
        <w:p w14:paraId="437DCC61" w14:textId="3BC64905" w:rsidR="00DE64E0" w:rsidRDefault="00DE64E0">
          <w:pPr>
            <w:pStyle w:val="TOC2"/>
            <w:rPr>
              <w:rFonts w:eastAsiaTheme="minorEastAsia" w:cstheme="minorBidi"/>
              <w:noProof/>
              <w:kern w:val="2"/>
              <w:sz w:val="24"/>
              <w:szCs w:val="24"/>
              <w:lang w:eastAsia="en-GB"/>
              <w14:ligatures w14:val="standardContextual"/>
            </w:rPr>
          </w:pPr>
          <w:hyperlink w:anchor="_Toc135384278" w:history="1">
            <w:r w:rsidRPr="00EF528F">
              <w:rPr>
                <w:rStyle w:val="Hyperlink"/>
                <w:noProof/>
              </w:rPr>
              <w:t>3.3 Part B - SheffProUK</w:t>
            </w:r>
            <w:r>
              <w:rPr>
                <w:noProof/>
                <w:webHidden/>
              </w:rPr>
              <w:tab/>
            </w:r>
            <w:r>
              <w:rPr>
                <w:noProof/>
                <w:webHidden/>
              </w:rPr>
              <w:fldChar w:fldCharType="begin"/>
            </w:r>
            <w:r>
              <w:rPr>
                <w:noProof/>
                <w:webHidden/>
              </w:rPr>
              <w:instrText xml:space="preserve"> PAGEREF _Toc135384278 \h </w:instrText>
            </w:r>
            <w:r>
              <w:rPr>
                <w:noProof/>
                <w:webHidden/>
              </w:rPr>
            </w:r>
            <w:r>
              <w:rPr>
                <w:noProof/>
                <w:webHidden/>
              </w:rPr>
              <w:fldChar w:fldCharType="separate"/>
            </w:r>
            <w:r w:rsidR="003A67BA">
              <w:rPr>
                <w:noProof/>
                <w:webHidden/>
              </w:rPr>
              <w:t>73</w:t>
            </w:r>
            <w:r>
              <w:rPr>
                <w:noProof/>
                <w:webHidden/>
              </w:rPr>
              <w:fldChar w:fldCharType="end"/>
            </w:r>
          </w:hyperlink>
        </w:p>
        <w:p w14:paraId="4C1683B9" w14:textId="40EC10A5" w:rsidR="00DE64E0" w:rsidRDefault="00DE64E0">
          <w:pPr>
            <w:pStyle w:val="TOC3"/>
            <w:rPr>
              <w:rFonts w:eastAsiaTheme="minorEastAsia" w:cstheme="minorBidi"/>
              <w:noProof/>
              <w:kern w:val="2"/>
              <w:sz w:val="24"/>
              <w:szCs w:val="24"/>
              <w:lang w:eastAsia="en-GB"/>
              <w14:ligatures w14:val="standardContextual"/>
            </w:rPr>
          </w:pPr>
          <w:hyperlink w:anchor="_Toc135384279" w:history="1">
            <w:r w:rsidRPr="00EF528F">
              <w:rPr>
                <w:rStyle w:val="Hyperlink"/>
                <w:noProof/>
              </w:rPr>
              <w:t>3.3.1 Rationale</w:t>
            </w:r>
            <w:r>
              <w:rPr>
                <w:noProof/>
                <w:webHidden/>
              </w:rPr>
              <w:tab/>
            </w:r>
            <w:r>
              <w:rPr>
                <w:noProof/>
                <w:webHidden/>
              </w:rPr>
              <w:fldChar w:fldCharType="begin"/>
            </w:r>
            <w:r>
              <w:rPr>
                <w:noProof/>
                <w:webHidden/>
              </w:rPr>
              <w:instrText xml:space="preserve"> PAGEREF _Toc135384279 \h </w:instrText>
            </w:r>
            <w:r>
              <w:rPr>
                <w:noProof/>
                <w:webHidden/>
              </w:rPr>
            </w:r>
            <w:r>
              <w:rPr>
                <w:noProof/>
                <w:webHidden/>
              </w:rPr>
              <w:fldChar w:fldCharType="separate"/>
            </w:r>
            <w:r w:rsidR="003A67BA">
              <w:rPr>
                <w:noProof/>
                <w:webHidden/>
              </w:rPr>
              <w:t>73</w:t>
            </w:r>
            <w:r>
              <w:rPr>
                <w:noProof/>
                <w:webHidden/>
              </w:rPr>
              <w:fldChar w:fldCharType="end"/>
            </w:r>
          </w:hyperlink>
        </w:p>
        <w:p w14:paraId="16C82BEC" w14:textId="3B475CE3" w:rsidR="00DE64E0" w:rsidRDefault="00DE64E0">
          <w:pPr>
            <w:pStyle w:val="TOC3"/>
            <w:rPr>
              <w:rFonts w:eastAsiaTheme="minorEastAsia" w:cstheme="minorBidi"/>
              <w:noProof/>
              <w:kern w:val="2"/>
              <w:sz w:val="24"/>
              <w:szCs w:val="24"/>
              <w:lang w:eastAsia="en-GB"/>
              <w14:ligatures w14:val="standardContextual"/>
            </w:rPr>
          </w:pPr>
          <w:hyperlink w:anchor="_Toc135384280" w:history="1">
            <w:r w:rsidRPr="00EF528F">
              <w:rPr>
                <w:rStyle w:val="Hyperlink"/>
                <w:noProof/>
              </w:rPr>
              <w:t>3.3.1 Part B aims, hypothesis and objectives.</w:t>
            </w:r>
            <w:r>
              <w:rPr>
                <w:noProof/>
                <w:webHidden/>
              </w:rPr>
              <w:tab/>
            </w:r>
            <w:r>
              <w:rPr>
                <w:noProof/>
                <w:webHidden/>
              </w:rPr>
              <w:fldChar w:fldCharType="begin"/>
            </w:r>
            <w:r>
              <w:rPr>
                <w:noProof/>
                <w:webHidden/>
              </w:rPr>
              <w:instrText xml:space="preserve"> PAGEREF _Toc135384280 \h </w:instrText>
            </w:r>
            <w:r>
              <w:rPr>
                <w:noProof/>
                <w:webHidden/>
              </w:rPr>
            </w:r>
            <w:r>
              <w:rPr>
                <w:noProof/>
                <w:webHidden/>
              </w:rPr>
              <w:fldChar w:fldCharType="separate"/>
            </w:r>
            <w:r w:rsidR="003A67BA">
              <w:rPr>
                <w:noProof/>
                <w:webHidden/>
              </w:rPr>
              <w:t>74</w:t>
            </w:r>
            <w:r>
              <w:rPr>
                <w:noProof/>
                <w:webHidden/>
              </w:rPr>
              <w:fldChar w:fldCharType="end"/>
            </w:r>
          </w:hyperlink>
        </w:p>
        <w:p w14:paraId="1849BCCD" w14:textId="3BC34D3A" w:rsidR="00DE64E0" w:rsidRDefault="00DE64E0">
          <w:pPr>
            <w:pStyle w:val="TOC2"/>
            <w:rPr>
              <w:rFonts w:eastAsiaTheme="minorEastAsia" w:cstheme="minorBidi"/>
              <w:noProof/>
              <w:kern w:val="2"/>
              <w:sz w:val="24"/>
              <w:szCs w:val="24"/>
              <w:lang w:eastAsia="en-GB"/>
              <w14:ligatures w14:val="standardContextual"/>
            </w:rPr>
          </w:pPr>
          <w:hyperlink w:anchor="_Toc135384281" w:history="1">
            <w:r w:rsidRPr="00EF528F">
              <w:rPr>
                <w:rStyle w:val="Hyperlink"/>
                <w:noProof/>
              </w:rPr>
              <w:t>3.4 Methods for SheffProUK.</w:t>
            </w:r>
            <w:r>
              <w:rPr>
                <w:noProof/>
                <w:webHidden/>
              </w:rPr>
              <w:tab/>
            </w:r>
            <w:r>
              <w:rPr>
                <w:noProof/>
                <w:webHidden/>
              </w:rPr>
              <w:fldChar w:fldCharType="begin"/>
            </w:r>
            <w:r>
              <w:rPr>
                <w:noProof/>
                <w:webHidden/>
              </w:rPr>
              <w:instrText xml:space="preserve"> PAGEREF _Toc135384281 \h </w:instrText>
            </w:r>
            <w:r>
              <w:rPr>
                <w:noProof/>
                <w:webHidden/>
              </w:rPr>
            </w:r>
            <w:r>
              <w:rPr>
                <w:noProof/>
                <w:webHidden/>
              </w:rPr>
              <w:fldChar w:fldCharType="separate"/>
            </w:r>
            <w:r w:rsidR="003A67BA">
              <w:rPr>
                <w:noProof/>
                <w:webHidden/>
              </w:rPr>
              <w:t>74</w:t>
            </w:r>
            <w:r>
              <w:rPr>
                <w:noProof/>
                <w:webHidden/>
              </w:rPr>
              <w:fldChar w:fldCharType="end"/>
            </w:r>
          </w:hyperlink>
        </w:p>
        <w:p w14:paraId="5FDCC390" w14:textId="4E767EF7" w:rsidR="00DE64E0" w:rsidRDefault="00DE64E0">
          <w:pPr>
            <w:pStyle w:val="TOC3"/>
            <w:rPr>
              <w:rFonts w:eastAsiaTheme="minorEastAsia" w:cstheme="minorBidi"/>
              <w:noProof/>
              <w:kern w:val="2"/>
              <w:sz w:val="24"/>
              <w:szCs w:val="24"/>
              <w:lang w:eastAsia="en-GB"/>
              <w14:ligatures w14:val="standardContextual"/>
            </w:rPr>
          </w:pPr>
          <w:hyperlink w:anchor="_Toc135384282" w:history="1">
            <w:r w:rsidRPr="00EF528F">
              <w:rPr>
                <w:rStyle w:val="Hyperlink"/>
                <w:noProof/>
              </w:rPr>
              <w:t>3.4.1 Ethics</w:t>
            </w:r>
            <w:r>
              <w:rPr>
                <w:noProof/>
                <w:webHidden/>
              </w:rPr>
              <w:tab/>
            </w:r>
            <w:r>
              <w:rPr>
                <w:noProof/>
                <w:webHidden/>
              </w:rPr>
              <w:fldChar w:fldCharType="begin"/>
            </w:r>
            <w:r>
              <w:rPr>
                <w:noProof/>
                <w:webHidden/>
              </w:rPr>
              <w:instrText xml:space="preserve"> PAGEREF _Toc135384282 \h </w:instrText>
            </w:r>
            <w:r>
              <w:rPr>
                <w:noProof/>
                <w:webHidden/>
              </w:rPr>
            </w:r>
            <w:r>
              <w:rPr>
                <w:noProof/>
                <w:webHidden/>
              </w:rPr>
              <w:fldChar w:fldCharType="separate"/>
            </w:r>
            <w:r w:rsidR="003A67BA">
              <w:rPr>
                <w:noProof/>
                <w:webHidden/>
              </w:rPr>
              <w:t>74</w:t>
            </w:r>
            <w:r>
              <w:rPr>
                <w:noProof/>
                <w:webHidden/>
              </w:rPr>
              <w:fldChar w:fldCharType="end"/>
            </w:r>
          </w:hyperlink>
        </w:p>
        <w:p w14:paraId="334742E8" w14:textId="32F19BDA" w:rsidR="00DE64E0" w:rsidRDefault="00DE64E0">
          <w:pPr>
            <w:pStyle w:val="TOC3"/>
            <w:rPr>
              <w:rFonts w:eastAsiaTheme="minorEastAsia" w:cstheme="minorBidi"/>
              <w:noProof/>
              <w:kern w:val="2"/>
              <w:sz w:val="24"/>
              <w:szCs w:val="24"/>
              <w:lang w:eastAsia="en-GB"/>
              <w14:ligatures w14:val="standardContextual"/>
            </w:rPr>
          </w:pPr>
          <w:hyperlink w:anchor="_Toc135384283" w:history="1">
            <w:r w:rsidRPr="00EF528F">
              <w:rPr>
                <w:rStyle w:val="Hyperlink"/>
                <w:noProof/>
              </w:rPr>
              <w:t>3.4.2 Study design</w:t>
            </w:r>
            <w:r>
              <w:rPr>
                <w:noProof/>
                <w:webHidden/>
              </w:rPr>
              <w:tab/>
            </w:r>
            <w:r>
              <w:rPr>
                <w:noProof/>
                <w:webHidden/>
              </w:rPr>
              <w:fldChar w:fldCharType="begin"/>
            </w:r>
            <w:r>
              <w:rPr>
                <w:noProof/>
                <w:webHidden/>
              </w:rPr>
              <w:instrText xml:space="preserve"> PAGEREF _Toc135384283 \h </w:instrText>
            </w:r>
            <w:r>
              <w:rPr>
                <w:noProof/>
                <w:webHidden/>
              </w:rPr>
            </w:r>
            <w:r>
              <w:rPr>
                <w:noProof/>
                <w:webHidden/>
              </w:rPr>
              <w:fldChar w:fldCharType="separate"/>
            </w:r>
            <w:r w:rsidR="003A67BA">
              <w:rPr>
                <w:noProof/>
                <w:webHidden/>
              </w:rPr>
              <w:t>74</w:t>
            </w:r>
            <w:r>
              <w:rPr>
                <w:noProof/>
                <w:webHidden/>
              </w:rPr>
              <w:fldChar w:fldCharType="end"/>
            </w:r>
          </w:hyperlink>
        </w:p>
        <w:p w14:paraId="4FDE7EB8" w14:textId="79F4D707" w:rsidR="00DE64E0" w:rsidRDefault="00DE64E0">
          <w:pPr>
            <w:pStyle w:val="TOC3"/>
            <w:rPr>
              <w:rFonts w:eastAsiaTheme="minorEastAsia" w:cstheme="minorBidi"/>
              <w:noProof/>
              <w:kern w:val="2"/>
              <w:sz w:val="24"/>
              <w:szCs w:val="24"/>
              <w:lang w:eastAsia="en-GB"/>
              <w14:ligatures w14:val="standardContextual"/>
            </w:rPr>
          </w:pPr>
          <w:hyperlink w:anchor="_Toc135384284" w:history="1">
            <w:r w:rsidRPr="00EF528F">
              <w:rPr>
                <w:rStyle w:val="Hyperlink"/>
                <w:noProof/>
              </w:rPr>
              <w:t>3.4.2.1 Protein knowledge questionnaire content</w:t>
            </w:r>
            <w:r>
              <w:rPr>
                <w:noProof/>
                <w:webHidden/>
              </w:rPr>
              <w:tab/>
            </w:r>
            <w:r>
              <w:rPr>
                <w:noProof/>
                <w:webHidden/>
              </w:rPr>
              <w:fldChar w:fldCharType="begin"/>
            </w:r>
            <w:r>
              <w:rPr>
                <w:noProof/>
                <w:webHidden/>
              </w:rPr>
              <w:instrText xml:space="preserve"> PAGEREF _Toc135384284 \h </w:instrText>
            </w:r>
            <w:r>
              <w:rPr>
                <w:noProof/>
                <w:webHidden/>
              </w:rPr>
            </w:r>
            <w:r>
              <w:rPr>
                <w:noProof/>
                <w:webHidden/>
              </w:rPr>
              <w:fldChar w:fldCharType="separate"/>
            </w:r>
            <w:r w:rsidR="003A67BA">
              <w:rPr>
                <w:noProof/>
                <w:webHidden/>
              </w:rPr>
              <w:t>75</w:t>
            </w:r>
            <w:r>
              <w:rPr>
                <w:noProof/>
                <w:webHidden/>
              </w:rPr>
              <w:fldChar w:fldCharType="end"/>
            </w:r>
          </w:hyperlink>
        </w:p>
        <w:p w14:paraId="25B03AC7" w14:textId="40EA29C5" w:rsidR="00DE64E0" w:rsidRDefault="00DE64E0">
          <w:pPr>
            <w:pStyle w:val="TOC3"/>
            <w:rPr>
              <w:rFonts w:eastAsiaTheme="minorEastAsia" w:cstheme="minorBidi"/>
              <w:noProof/>
              <w:kern w:val="2"/>
              <w:sz w:val="24"/>
              <w:szCs w:val="24"/>
              <w:lang w:eastAsia="en-GB"/>
              <w14:ligatures w14:val="standardContextual"/>
            </w:rPr>
          </w:pPr>
          <w:hyperlink w:anchor="_Toc135384285" w:history="1">
            <w:r w:rsidRPr="00EF528F">
              <w:rPr>
                <w:rStyle w:val="Hyperlink"/>
                <w:noProof/>
              </w:rPr>
              <w:t>3.4.3 Pilot study (n=10)</w:t>
            </w:r>
            <w:r>
              <w:rPr>
                <w:noProof/>
                <w:webHidden/>
              </w:rPr>
              <w:tab/>
            </w:r>
            <w:r>
              <w:rPr>
                <w:noProof/>
                <w:webHidden/>
              </w:rPr>
              <w:fldChar w:fldCharType="begin"/>
            </w:r>
            <w:r>
              <w:rPr>
                <w:noProof/>
                <w:webHidden/>
              </w:rPr>
              <w:instrText xml:space="preserve"> PAGEREF _Toc135384285 \h </w:instrText>
            </w:r>
            <w:r>
              <w:rPr>
                <w:noProof/>
                <w:webHidden/>
              </w:rPr>
            </w:r>
            <w:r>
              <w:rPr>
                <w:noProof/>
                <w:webHidden/>
              </w:rPr>
              <w:fldChar w:fldCharType="separate"/>
            </w:r>
            <w:r w:rsidR="003A67BA">
              <w:rPr>
                <w:noProof/>
                <w:webHidden/>
              </w:rPr>
              <w:t>76</w:t>
            </w:r>
            <w:r>
              <w:rPr>
                <w:noProof/>
                <w:webHidden/>
              </w:rPr>
              <w:fldChar w:fldCharType="end"/>
            </w:r>
          </w:hyperlink>
        </w:p>
        <w:p w14:paraId="74CBA747" w14:textId="725138B7" w:rsidR="00DE64E0" w:rsidRDefault="00DE64E0">
          <w:pPr>
            <w:pStyle w:val="TOC3"/>
            <w:rPr>
              <w:rFonts w:eastAsiaTheme="minorEastAsia" w:cstheme="minorBidi"/>
              <w:noProof/>
              <w:kern w:val="2"/>
              <w:sz w:val="24"/>
              <w:szCs w:val="24"/>
              <w:lang w:eastAsia="en-GB"/>
              <w14:ligatures w14:val="standardContextual"/>
            </w:rPr>
          </w:pPr>
          <w:hyperlink w:anchor="_Toc135384286" w:history="1">
            <w:r w:rsidRPr="00EF528F">
              <w:rPr>
                <w:rStyle w:val="Hyperlink"/>
                <w:noProof/>
              </w:rPr>
              <w:t>3.4.4 Participant recruitment</w:t>
            </w:r>
            <w:r>
              <w:rPr>
                <w:noProof/>
                <w:webHidden/>
              </w:rPr>
              <w:tab/>
            </w:r>
            <w:r>
              <w:rPr>
                <w:noProof/>
                <w:webHidden/>
              </w:rPr>
              <w:fldChar w:fldCharType="begin"/>
            </w:r>
            <w:r>
              <w:rPr>
                <w:noProof/>
                <w:webHidden/>
              </w:rPr>
              <w:instrText xml:space="preserve"> PAGEREF _Toc135384286 \h </w:instrText>
            </w:r>
            <w:r>
              <w:rPr>
                <w:noProof/>
                <w:webHidden/>
              </w:rPr>
            </w:r>
            <w:r>
              <w:rPr>
                <w:noProof/>
                <w:webHidden/>
              </w:rPr>
              <w:fldChar w:fldCharType="separate"/>
            </w:r>
            <w:r w:rsidR="003A67BA">
              <w:rPr>
                <w:noProof/>
                <w:webHidden/>
              </w:rPr>
              <w:t>78</w:t>
            </w:r>
            <w:r>
              <w:rPr>
                <w:noProof/>
                <w:webHidden/>
              </w:rPr>
              <w:fldChar w:fldCharType="end"/>
            </w:r>
          </w:hyperlink>
        </w:p>
        <w:p w14:paraId="43DD3778" w14:textId="30F9AFA1" w:rsidR="00DE64E0" w:rsidRDefault="00DE64E0">
          <w:pPr>
            <w:pStyle w:val="TOC3"/>
            <w:rPr>
              <w:rFonts w:eastAsiaTheme="minorEastAsia" w:cstheme="minorBidi"/>
              <w:noProof/>
              <w:kern w:val="2"/>
              <w:sz w:val="24"/>
              <w:szCs w:val="24"/>
              <w:lang w:eastAsia="en-GB"/>
              <w14:ligatures w14:val="standardContextual"/>
            </w:rPr>
          </w:pPr>
          <w:hyperlink w:anchor="_Toc135384287" w:history="1">
            <w:r w:rsidRPr="00EF528F">
              <w:rPr>
                <w:rStyle w:val="Hyperlink"/>
                <w:noProof/>
              </w:rPr>
              <w:t>3.5.6 Prize draw</w:t>
            </w:r>
            <w:r>
              <w:rPr>
                <w:noProof/>
                <w:webHidden/>
              </w:rPr>
              <w:tab/>
            </w:r>
            <w:r>
              <w:rPr>
                <w:noProof/>
                <w:webHidden/>
              </w:rPr>
              <w:fldChar w:fldCharType="begin"/>
            </w:r>
            <w:r>
              <w:rPr>
                <w:noProof/>
                <w:webHidden/>
              </w:rPr>
              <w:instrText xml:space="preserve"> PAGEREF _Toc135384287 \h </w:instrText>
            </w:r>
            <w:r>
              <w:rPr>
                <w:noProof/>
                <w:webHidden/>
              </w:rPr>
            </w:r>
            <w:r>
              <w:rPr>
                <w:noProof/>
                <w:webHidden/>
              </w:rPr>
              <w:fldChar w:fldCharType="separate"/>
            </w:r>
            <w:r w:rsidR="003A67BA">
              <w:rPr>
                <w:noProof/>
                <w:webHidden/>
              </w:rPr>
              <w:t>80</w:t>
            </w:r>
            <w:r>
              <w:rPr>
                <w:noProof/>
                <w:webHidden/>
              </w:rPr>
              <w:fldChar w:fldCharType="end"/>
            </w:r>
          </w:hyperlink>
        </w:p>
        <w:p w14:paraId="18A5C6FF" w14:textId="75D383BC" w:rsidR="00DE64E0" w:rsidRDefault="00DE64E0">
          <w:pPr>
            <w:pStyle w:val="TOC3"/>
            <w:rPr>
              <w:rFonts w:eastAsiaTheme="minorEastAsia" w:cstheme="minorBidi"/>
              <w:noProof/>
              <w:kern w:val="2"/>
              <w:sz w:val="24"/>
              <w:szCs w:val="24"/>
              <w:lang w:eastAsia="en-GB"/>
              <w14:ligatures w14:val="standardContextual"/>
            </w:rPr>
          </w:pPr>
          <w:hyperlink w:anchor="_Toc135384288" w:history="1">
            <w:r w:rsidRPr="00EF528F">
              <w:rPr>
                <w:rStyle w:val="Hyperlink"/>
                <w:noProof/>
              </w:rPr>
              <w:t>3.4.7 Data analysis</w:t>
            </w:r>
            <w:r>
              <w:rPr>
                <w:noProof/>
                <w:webHidden/>
              </w:rPr>
              <w:tab/>
            </w:r>
            <w:r>
              <w:rPr>
                <w:noProof/>
                <w:webHidden/>
              </w:rPr>
              <w:fldChar w:fldCharType="begin"/>
            </w:r>
            <w:r>
              <w:rPr>
                <w:noProof/>
                <w:webHidden/>
              </w:rPr>
              <w:instrText xml:space="preserve"> PAGEREF _Toc135384288 \h </w:instrText>
            </w:r>
            <w:r>
              <w:rPr>
                <w:noProof/>
                <w:webHidden/>
              </w:rPr>
            </w:r>
            <w:r>
              <w:rPr>
                <w:noProof/>
                <w:webHidden/>
              </w:rPr>
              <w:fldChar w:fldCharType="separate"/>
            </w:r>
            <w:r w:rsidR="003A67BA">
              <w:rPr>
                <w:noProof/>
                <w:webHidden/>
              </w:rPr>
              <w:t>80</w:t>
            </w:r>
            <w:r>
              <w:rPr>
                <w:noProof/>
                <w:webHidden/>
              </w:rPr>
              <w:fldChar w:fldCharType="end"/>
            </w:r>
          </w:hyperlink>
        </w:p>
        <w:p w14:paraId="2ACFD44B" w14:textId="4E71B1BE" w:rsidR="00DE64E0" w:rsidRDefault="00DE64E0">
          <w:pPr>
            <w:pStyle w:val="TOC3"/>
            <w:rPr>
              <w:rFonts w:eastAsiaTheme="minorEastAsia" w:cstheme="minorBidi"/>
              <w:noProof/>
              <w:kern w:val="2"/>
              <w:sz w:val="24"/>
              <w:szCs w:val="24"/>
              <w:lang w:eastAsia="en-GB"/>
              <w14:ligatures w14:val="standardContextual"/>
            </w:rPr>
          </w:pPr>
          <w:hyperlink w:anchor="_Toc135384289" w:history="1">
            <w:r w:rsidRPr="00EF528F">
              <w:rPr>
                <w:rStyle w:val="Hyperlink"/>
                <w:noProof/>
              </w:rPr>
              <w:t>3.4.8 Dietary data</w:t>
            </w:r>
            <w:r>
              <w:rPr>
                <w:noProof/>
                <w:webHidden/>
              </w:rPr>
              <w:tab/>
            </w:r>
            <w:r>
              <w:rPr>
                <w:noProof/>
                <w:webHidden/>
              </w:rPr>
              <w:fldChar w:fldCharType="begin"/>
            </w:r>
            <w:r>
              <w:rPr>
                <w:noProof/>
                <w:webHidden/>
              </w:rPr>
              <w:instrText xml:space="preserve"> PAGEREF _Toc135384289 \h </w:instrText>
            </w:r>
            <w:r>
              <w:rPr>
                <w:noProof/>
                <w:webHidden/>
              </w:rPr>
            </w:r>
            <w:r>
              <w:rPr>
                <w:noProof/>
                <w:webHidden/>
              </w:rPr>
              <w:fldChar w:fldCharType="separate"/>
            </w:r>
            <w:r w:rsidR="003A67BA">
              <w:rPr>
                <w:noProof/>
                <w:webHidden/>
              </w:rPr>
              <w:t>80</w:t>
            </w:r>
            <w:r>
              <w:rPr>
                <w:noProof/>
                <w:webHidden/>
              </w:rPr>
              <w:fldChar w:fldCharType="end"/>
            </w:r>
          </w:hyperlink>
        </w:p>
        <w:p w14:paraId="021008CF" w14:textId="7ABC95F8" w:rsidR="00DE64E0" w:rsidRDefault="00DE64E0">
          <w:pPr>
            <w:pStyle w:val="TOC3"/>
            <w:rPr>
              <w:rFonts w:eastAsiaTheme="minorEastAsia" w:cstheme="minorBidi"/>
              <w:noProof/>
              <w:kern w:val="2"/>
              <w:sz w:val="24"/>
              <w:szCs w:val="24"/>
              <w:lang w:eastAsia="en-GB"/>
              <w14:ligatures w14:val="standardContextual"/>
            </w:rPr>
          </w:pPr>
          <w:hyperlink w:anchor="_Toc135384290" w:history="1">
            <w:r w:rsidRPr="00EF528F">
              <w:rPr>
                <w:rStyle w:val="Hyperlink"/>
                <w:noProof/>
              </w:rPr>
              <w:t>3.4.8.1 Assessment of misreporting</w:t>
            </w:r>
            <w:r>
              <w:rPr>
                <w:noProof/>
                <w:webHidden/>
              </w:rPr>
              <w:tab/>
            </w:r>
            <w:r>
              <w:rPr>
                <w:noProof/>
                <w:webHidden/>
              </w:rPr>
              <w:fldChar w:fldCharType="begin"/>
            </w:r>
            <w:r>
              <w:rPr>
                <w:noProof/>
                <w:webHidden/>
              </w:rPr>
              <w:instrText xml:space="preserve"> PAGEREF _Toc135384290 \h </w:instrText>
            </w:r>
            <w:r>
              <w:rPr>
                <w:noProof/>
                <w:webHidden/>
              </w:rPr>
            </w:r>
            <w:r>
              <w:rPr>
                <w:noProof/>
                <w:webHidden/>
              </w:rPr>
              <w:fldChar w:fldCharType="separate"/>
            </w:r>
            <w:r w:rsidR="003A67BA">
              <w:rPr>
                <w:noProof/>
                <w:webHidden/>
              </w:rPr>
              <w:t>80</w:t>
            </w:r>
            <w:r>
              <w:rPr>
                <w:noProof/>
                <w:webHidden/>
              </w:rPr>
              <w:fldChar w:fldCharType="end"/>
            </w:r>
          </w:hyperlink>
        </w:p>
        <w:p w14:paraId="3C2E8C38" w14:textId="2FD24408" w:rsidR="00DE64E0" w:rsidRDefault="00DE64E0">
          <w:pPr>
            <w:pStyle w:val="TOC3"/>
            <w:rPr>
              <w:rFonts w:eastAsiaTheme="minorEastAsia" w:cstheme="minorBidi"/>
              <w:noProof/>
              <w:kern w:val="2"/>
              <w:sz w:val="24"/>
              <w:szCs w:val="24"/>
              <w:lang w:eastAsia="en-GB"/>
              <w14:ligatures w14:val="standardContextual"/>
            </w:rPr>
          </w:pPr>
          <w:hyperlink w:anchor="_Toc135384291" w:history="1">
            <w:r w:rsidRPr="00EF528F">
              <w:rPr>
                <w:rStyle w:val="Hyperlink"/>
                <w:noProof/>
              </w:rPr>
              <w:t>3.4.9 Protein knowledge scores</w:t>
            </w:r>
            <w:r>
              <w:rPr>
                <w:noProof/>
                <w:webHidden/>
              </w:rPr>
              <w:tab/>
            </w:r>
            <w:r>
              <w:rPr>
                <w:noProof/>
                <w:webHidden/>
              </w:rPr>
              <w:fldChar w:fldCharType="begin"/>
            </w:r>
            <w:r>
              <w:rPr>
                <w:noProof/>
                <w:webHidden/>
              </w:rPr>
              <w:instrText xml:space="preserve"> PAGEREF _Toc135384291 \h </w:instrText>
            </w:r>
            <w:r>
              <w:rPr>
                <w:noProof/>
                <w:webHidden/>
              </w:rPr>
            </w:r>
            <w:r>
              <w:rPr>
                <w:noProof/>
                <w:webHidden/>
              </w:rPr>
              <w:fldChar w:fldCharType="separate"/>
            </w:r>
            <w:r w:rsidR="003A67BA">
              <w:rPr>
                <w:noProof/>
                <w:webHidden/>
              </w:rPr>
              <w:t>81</w:t>
            </w:r>
            <w:r>
              <w:rPr>
                <w:noProof/>
                <w:webHidden/>
              </w:rPr>
              <w:fldChar w:fldCharType="end"/>
            </w:r>
          </w:hyperlink>
        </w:p>
        <w:p w14:paraId="60C621D3" w14:textId="3088A0FA" w:rsidR="00DE64E0" w:rsidRDefault="00DE64E0">
          <w:pPr>
            <w:pStyle w:val="TOC3"/>
            <w:rPr>
              <w:rFonts w:eastAsiaTheme="minorEastAsia" w:cstheme="minorBidi"/>
              <w:noProof/>
              <w:kern w:val="2"/>
              <w:sz w:val="24"/>
              <w:szCs w:val="24"/>
              <w:lang w:eastAsia="en-GB"/>
              <w14:ligatures w14:val="standardContextual"/>
            </w:rPr>
          </w:pPr>
          <w:hyperlink w:anchor="_Toc135384292" w:history="1">
            <w:r w:rsidRPr="00EF528F">
              <w:rPr>
                <w:rStyle w:val="Hyperlink"/>
                <w:noProof/>
              </w:rPr>
              <w:t>3.4.10 Statistical analysis</w:t>
            </w:r>
            <w:r>
              <w:rPr>
                <w:noProof/>
                <w:webHidden/>
              </w:rPr>
              <w:tab/>
            </w:r>
            <w:r>
              <w:rPr>
                <w:noProof/>
                <w:webHidden/>
              </w:rPr>
              <w:fldChar w:fldCharType="begin"/>
            </w:r>
            <w:r>
              <w:rPr>
                <w:noProof/>
                <w:webHidden/>
              </w:rPr>
              <w:instrText xml:space="preserve"> PAGEREF _Toc135384292 \h </w:instrText>
            </w:r>
            <w:r>
              <w:rPr>
                <w:noProof/>
                <w:webHidden/>
              </w:rPr>
            </w:r>
            <w:r>
              <w:rPr>
                <w:noProof/>
                <w:webHidden/>
              </w:rPr>
              <w:fldChar w:fldCharType="separate"/>
            </w:r>
            <w:r w:rsidR="003A67BA">
              <w:rPr>
                <w:noProof/>
                <w:webHidden/>
              </w:rPr>
              <w:t>81</w:t>
            </w:r>
            <w:r>
              <w:rPr>
                <w:noProof/>
                <w:webHidden/>
              </w:rPr>
              <w:fldChar w:fldCharType="end"/>
            </w:r>
          </w:hyperlink>
        </w:p>
        <w:p w14:paraId="2C0C988F" w14:textId="049467E6" w:rsidR="00DE64E0" w:rsidRDefault="00DE64E0">
          <w:pPr>
            <w:pStyle w:val="TOC3"/>
            <w:rPr>
              <w:rFonts w:eastAsiaTheme="minorEastAsia" w:cstheme="minorBidi"/>
              <w:noProof/>
              <w:kern w:val="2"/>
              <w:sz w:val="24"/>
              <w:szCs w:val="24"/>
              <w:lang w:eastAsia="en-GB"/>
              <w14:ligatures w14:val="standardContextual"/>
            </w:rPr>
          </w:pPr>
          <w:hyperlink w:anchor="_Toc135384293" w:history="1">
            <w:r w:rsidRPr="00EF528F">
              <w:rPr>
                <w:rStyle w:val="Hyperlink"/>
                <w:noProof/>
              </w:rPr>
              <w:t>3.4.10.1 Protein screener statistical analysis</w:t>
            </w:r>
            <w:r>
              <w:rPr>
                <w:noProof/>
                <w:webHidden/>
              </w:rPr>
              <w:tab/>
            </w:r>
            <w:r>
              <w:rPr>
                <w:noProof/>
                <w:webHidden/>
              </w:rPr>
              <w:fldChar w:fldCharType="begin"/>
            </w:r>
            <w:r>
              <w:rPr>
                <w:noProof/>
                <w:webHidden/>
              </w:rPr>
              <w:instrText xml:space="preserve"> PAGEREF _Toc135384293 \h </w:instrText>
            </w:r>
            <w:r>
              <w:rPr>
                <w:noProof/>
                <w:webHidden/>
              </w:rPr>
            </w:r>
            <w:r>
              <w:rPr>
                <w:noProof/>
                <w:webHidden/>
              </w:rPr>
              <w:fldChar w:fldCharType="separate"/>
            </w:r>
            <w:r w:rsidR="003A67BA">
              <w:rPr>
                <w:noProof/>
                <w:webHidden/>
              </w:rPr>
              <w:t>81</w:t>
            </w:r>
            <w:r>
              <w:rPr>
                <w:noProof/>
                <w:webHidden/>
              </w:rPr>
              <w:fldChar w:fldCharType="end"/>
            </w:r>
          </w:hyperlink>
        </w:p>
        <w:p w14:paraId="7A4577EB" w14:textId="4C628432" w:rsidR="00DE64E0" w:rsidRDefault="00DE64E0">
          <w:pPr>
            <w:pStyle w:val="TOC3"/>
            <w:rPr>
              <w:rFonts w:eastAsiaTheme="minorEastAsia" w:cstheme="minorBidi"/>
              <w:noProof/>
              <w:kern w:val="2"/>
              <w:sz w:val="24"/>
              <w:szCs w:val="24"/>
              <w:lang w:eastAsia="en-GB"/>
              <w14:ligatures w14:val="standardContextual"/>
            </w:rPr>
          </w:pPr>
          <w:hyperlink w:anchor="_Toc135384294" w:history="1">
            <w:r w:rsidRPr="00EF528F">
              <w:rPr>
                <w:rStyle w:val="Hyperlink"/>
                <w:noProof/>
              </w:rPr>
              <w:t>3.4.10.2 Protein knowledge statistical analysis</w:t>
            </w:r>
            <w:r>
              <w:rPr>
                <w:noProof/>
                <w:webHidden/>
              </w:rPr>
              <w:tab/>
            </w:r>
            <w:r>
              <w:rPr>
                <w:noProof/>
                <w:webHidden/>
              </w:rPr>
              <w:fldChar w:fldCharType="begin"/>
            </w:r>
            <w:r>
              <w:rPr>
                <w:noProof/>
                <w:webHidden/>
              </w:rPr>
              <w:instrText xml:space="preserve"> PAGEREF _Toc135384294 \h </w:instrText>
            </w:r>
            <w:r>
              <w:rPr>
                <w:noProof/>
                <w:webHidden/>
              </w:rPr>
            </w:r>
            <w:r>
              <w:rPr>
                <w:noProof/>
                <w:webHidden/>
              </w:rPr>
              <w:fldChar w:fldCharType="separate"/>
            </w:r>
            <w:r w:rsidR="003A67BA">
              <w:rPr>
                <w:noProof/>
                <w:webHidden/>
              </w:rPr>
              <w:t>82</w:t>
            </w:r>
            <w:r>
              <w:rPr>
                <w:noProof/>
                <w:webHidden/>
              </w:rPr>
              <w:fldChar w:fldCharType="end"/>
            </w:r>
          </w:hyperlink>
        </w:p>
        <w:p w14:paraId="561667A2" w14:textId="7A76615B" w:rsidR="00DE64E0" w:rsidRDefault="00DE64E0">
          <w:pPr>
            <w:pStyle w:val="TOC2"/>
            <w:rPr>
              <w:rFonts w:eastAsiaTheme="minorEastAsia" w:cstheme="minorBidi"/>
              <w:noProof/>
              <w:kern w:val="2"/>
              <w:sz w:val="24"/>
              <w:szCs w:val="24"/>
              <w:lang w:eastAsia="en-GB"/>
              <w14:ligatures w14:val="standardContextual"/>
            </w:rPr>
          </w:pPr>
          <w:hyperlink w:anchor="_Toc135384295" w:history="1">
            <w:r w:rsidRPr="00EF528F">
              <w:rPr>
                <w:rStyle w:val="Hyperlink"/>
                <w:noProof/>
              </w:rPr>
              <w:t>3.5 Results</w:t>
            </w:r>
            <w:r w:rsidR="00104343">
              <w:rPr>
                <w:rStyle w:val="Hyperlink"/>
                <w:noProof/>
              </w:rPr>
              <w:t>..</w:t>
            </w:r>
            <w:r>
              <w:rPr>
                <w:noProof/>
                <w:webHidden/>
              </w:rPr>
              <w:tab/>
            </w:r>
            <w:r>
              <w:rPr>
                <w:noProof/>
                <w:webHidden/>
              </w:rPr>
              <w:fldChar w:fldCharType="begin"/>
            </w:r>
            <w:r>
              <w:rPr>
                <w:noProof/>
                <w:webHidden/>
              </w:rPr>
              <w:instrText xml:space="preserve"> PAGEREF _Toc135384295 \h </w:instrText>
            </w:r>
            <w:r>
              <w:rPr>
                <w:noProof/>
                <w:webHidden/>
              </w:rPr>
            </w:r>
            <w:r>
              <w:rPr>
                <w:noProof/>
                <w:webHidden/>
              </w:rPr>
              <w:fldChar w:fldCharType="separate"/>
            </w:r>
            <w:r w:rsidR="003A67BA">
              <w:rPr>
                <w:noProof/>
                <w:webHidden/>
              </w:rPr>
              <w:t>82</w:t>
            </w:r>
            <w:r>
              <w:rPr>
                <w:noProof/>
                <w:webHidden/>
              </w:rPr>
              <w:fldChar w:fldCharType="end"/>
            </w:r>
          </w:hyperlink>
        </w:p>
        <w:p w14:paraId="34929608" w14:textId="2A81CF2E" w:rsidR="00DE64E0" w:rsidRDefault="00DE64E0">
          <w:pPr>
            <w:pStyle w:val="TOC3"/>
            <w:rPr>
              <w:rFonts w:eastAsiaTheme="minorEastAsia" w:cstheme="minorBidi"/>
              <w:noProof/>
              <w:kern w:val="2"/>
              <w:sz w:val="24"/>
              <w:szCs w:val="24"/>
              <w:lang w:eastAsia="en-GB"/>
              <w14:ligatures w14:val="standardContextual"/>
            </w:rPr>
          </w:pPr>
          <w:hyperlink w:anchor="_Toc135384296" w:history="1">
            <w:r w:rsidRPr="00EF528F">
              <w:rPr>
                <w:rStyle w:val="Hyperlink"/>
                <w:noProof/>
              </w:rPr>
              <w:t>3.5.1 Final survey responses</w:t>
            </w:r>
            <w:r>
              <w:rPr>
                <w:noProof/>
                <w:webHidden/>
              </w:rPr>
              <w:tab/>
            </w:r>
            <w:r>
              <w:rPr>
                <w:noProof/>
                <w:webHidden/>
              </w:rPr>
              <w:fldChar w:fldCharType="begin"/>
            </w:r>
            <w:r>
              <w:rPr>
                <w:noProof/>
                <w:webHidden/>
              </w:rPr>
              <w:instrText xml:space="preserve"> PAGEREF _Toc135384296 \h </w:instrText>
            </w:r>
            <w:r>
              <w:rPr>
                <w:noProof/>
                <w:webHidden/>
              </w:rPr>
            </w:r>
            <w:r>
              <w:rPr>
                <w:noProof/>
                <w:webHidden/>
              </w:rPr>
              <w:fldChar w:fldCharType="separate"/>
            </w:r>
            <w:r w:rsidR="003A67BA">
              <w:rPr>
                <w:noProof/>
                <w:webHidden/>
              </w:rPr>
              <w:t>82</w:t>
            </w:r>
            <w:r>
              <w:rPr>
                <w:noProof/>
                <w:webHidden/>
              </w:rPr>
              <w:fldChar w:fldCharType="end"/>
            </w:r>
          </w:hyperlink>
        </w:p>
        <w:p w14:paraId="7692851F" w14:textId="50F5D992" w:rsidR="00DE64E0" w:rsidRDefault="00DE64E0">
          <w:pPr>
            <w:pStyle w:val="TOC3"/>
            <w:rPr>
              <w:rFonts w:eastAsiaTheme="minorEastAsia" w:cstheme="minorBidi"/>
              <w:noProof/>
              <w:kern w:val="2"/>
              <w:sz w:val="24"/>
              <w:szCs w:val="24"/>
              <w:lang w:eastAsia="en-GB"/>
              <w14:ligatures w14:val="standardContextual"/>
            </w:rPr>
          </w:pPr>
          <w:hyperlink w:anchor="_Toc135384297" w:history="1">
            <w:r w:rsidRPr="00EF528F">
              <w:rPr>
                <w:rStyle w:val="Hyperlink"/>
                <w:noProof/>
              </w:rPr>
              <w:t>3.5.2 Removal of misreporters</w:t>
            </w:r>
            <w:r>
              <w:rPr>
                <w:noProof/>
                <w:webHidden/>
              </w:rPr>
              <w:tab/>
            </w:r>
            <w:r>
              <w:rPr>
                <w:noProof/>
                <w:webHidden/>
              </w:rPr>
              <w:fldChar w:fldCharType="begin"/>
            </w:r>
            <w:r>
              <w:rPr>
                <w:noProof/>
                <w:webHidden/>
              </w:rPr>
              <w:instrText xml:space="preserve"> PAGEREF _Toc135384297 \h </w:instrText>
            </w:r>
            <w:r>
              <w:rPr>
                <w:noProof/>
                <w:webHidden/>
              </w:rPr>
            </w:r>
            <w:r>
              <w:rPr>
                <w:noProof/>
                <w:webHidden/>
              </w:rPr>
              <w:fldChar w:fldCharType="separate"/>
            </w:r>
            <w:r w:rsidR="003A67BA">
              <w:rPr>
                <w:noProof/>
                <w:webHidden/>
              </w:rPr>
              <w:t>82</w:t>
            </w:r>
            <w:r>
              <w:rPr>
                <w:noProof/>
                <w:webHidden/>
              </w:rPr>
              <w:fldChar w:fldCharType="end"/>
            </w:r>
          </w:hyperlink>
        </w:p>
        <w:p w14:paraId="6E09FCC1" w14:textId="02A8A948" w:rsidR="00DE64E0" w:rsidRDefault="00DE64E0">
          <w:pPr>
            <w:pStyle w:val="TOC3"/>
            <w:rPr>
              <w:rFonts w:eastAsiaTheme="minorEastAsia" w:cstheme="minorBidi"/>
              <w:noProof/>
              <w:kern w:val="2"/>
              <w:sz w:val="24"/>
              <w:szCs w:val="24"/>
              <w:lang w:eastAsia="en-GB"/>
              <w14:ligatures w14:val="standardContextual"/>
            </w:rPr>
          </w:pPr>
          <w:hyperlink w:anchor="_Toc135384298" w:history="1">
            <w:r w:rsidRPr="00EF528F">
              <w:rPr>
                <w:rStyle w:val="Hyperlink"/>
                <w:noProof/>
              </w:rPr>
              <w:t>3.5.3 Final participants’ characteristics</w:t>
            </w:r>
            <w:r>
              <w:rPr>
                <w:noProof/>
                <w:webHidden/>
              </w:rPr>
              <w:tab/>
            </w:r>
            <w:r>
              <w:rPr>
                <w:noProof/>
                <w:webHidden/>
              </w:rPr>
              <w:fldChar w:fldCharType="begin"/>
            </w:r>
            <w:r>
              <w:rPr>
                <w:noProof/>
                <w:webHidden/>
              </w:rPr>
              <w:instrText xml:space="preserve"> PAGEREF _Toc135384298 \h </w:instrText>
            </w:r>
            <w:r>
              <w:rPr>
                <w:noProof/>
                <w:webHidden/>
              </w:rPr>
            </w:r>
            <w:r>
              <w:rPr>
                <w:noProof/>
                <w:webHidden/>
              </w:rPr>
              <w:fldChar w:fldCharType="separate"/>
            </w:r>
            <w:r w:rsidR="003A67BA">
              <w:rPr>
                <w:noProof/>
                <w:webHidden/>
              </w:rPr>
              <w:t>85</w:t>
            </w:r>
            <w:r>
              <w:rPr>
                <w:noProof/>
                <w:webHidden/>
              </w:rPr>
              <w:fldChar w:fldCharType="end"/>
            </w:r>
          </w:hyperlink>
        </w:p>
        <w:p w14:paraId="10327A1E" w14:textId="1B72F092" w:rsidR="00DE64E0" w:rsidRDefault="00DE64E0">
          <w:pPr>
            <w:pStyle w:val="TOC3"/>
            <w:rPr>
              <w:rFonts w:eastAsiaTheme="minorEastAsia" w:cstheme="minorBidi"/>
              <w:noProof/>
              <w:kern w:val="2"/>
              <w:sz w:val="24"/>
              <w:szCs w:val="24"/>
              <w:lang w:eastAsia="en-GB"/>
              <w14:ligatures w14:val="standardContextual"/>
            </w:rPr>
          </w:pPr>
          <w:hyperlink w:anchor="_Toc135384299" w:history="1">
            <w:r w:rsidRPr="00EF528F">
              <w:rPr>
                <w:rStyle w:val="Hyperlink"/>
                <w:noProof/>
              </w:rPr>
              <w:t>3.5.4 Dietary data</w:t>
            </w:r>
            <w:r>
              <w:rPr>
                <w:noProof/>
                <w:webHidden/>
              </w:rPr>
              <w:tab/>
            </w:r>
            <w:r>
              <w:rPr>
                <w:noProof/>
                <w:webHidden/>
              </w:rPr>
              <w:fldChar w:fldCharType="begin"/>
            </w:r>
            <w:r>
              <w:rPr>
                <w:noProof/>
                <w:webHidden/>
              </w:rPr>
              <w:instrText xml:space="preserve"> PAGEREF _Toc135384299 \h </w:instrText>
            </w:r>
            <w:r>
              <w:rPr>
                <w:noProof/>
                <w:webHidden/>
              </w:rPr>
            </w:r>
            <w:r>
              <w:rPr>
                <w:noProof/>
                <w:webHidden/>
              </w:rPr>
              <w:fldChar w:fldCharType="separate"/>
            </w:r>
            <w:r w:rsidR="003A67BA">
              <w:rPr>
                <w:noProof/>
                <w:webHidden/>
              </w:rPr>
              <w:t>86</w:t>
            </w:r>
            <w:r>
              <w:rPr>
                <w:noProof/>
                <w:webHidden/>
              </w:rPr>
              <w:fldChar w:fldCharType="end"/>
            </w:r>
          </w:hyperlink>
        </w:p>
        <w:p w14:paraId="7B838A11" w14:textId="2383DA79" w:rsidR="00DE64E0" w:rsidRDefault="00DE64E0">
          <w:pPr>
            <w:pStyle w:val="TOC3"/>
            <w:rPr>
              <w:rFonts w:eastAsiaTheme="minorEastAsia" w:cstheme="minorBidi"/>
              <w:noProof/>
              <w:kern w:val="2"/>
              <w:sz w:val="24"/>
              <w:szCs w:val="24"/>
              <w:lang w:eastAsia="en-GB"/>
              <w14:ligatures w14:val="standardContextual"/>
            </w:rPr>
          </w:pPr>
          <w:hyperlink w:anchor="_Toc135384300" w:history="1">
            <w:r w:rsidRPr="00EF528F">
              <w:rPr>
                <w:rStyle w:val="Hyperlink"/>
                <w:noProof/>
              </w:rPr>
              <w:t>3.5.4.1 Protein intakes</w:t>
            </w:r>
            <w:r>
              <w:rPr>
                <w:noProof/>
                <w:webHidden/>
              </w:rPr>
              <w:tab/>
            </w:r>
            <w:r>
              <w:rPr>
                <w:noProof/>
                <w:webHidden/>
              </w:rPr>
              <w:fldChar w:fldCharType="begin"/>
            </w:r>
            <w:r>
              <w:rPr>
                <w:noProof/>
                <w:webHidden/>
              </w:rPr>
              <w:instrText xml:space="preserve"> PAGEREF _Toc135384300 \h </w:instrText>
            </w:r>
            <w:r>
              <w:rPr>
                <w:noProof/>
                <w:webHidden/>
              </w:rPr>
            </w:r>
            <w:r>
              <w:rPr>
                <w:noProof/>
                <w:webHidden/>
              </w:rPr>
              <w:fldChar w:fldCharType="separate"/>
            </w:r>
            <w:r w:rsidR="003A67BA">
              <w:rPr>
                <w:noProof/>
                <w:webHidden/>
              </w:rPr>
              <w:t>87</w:t>
            </w:r>
            <w:r>
              <w:rPr>
                <w:noProof/>
                <w:webHidden/>
              </w:rPr>
              <w:fldChar w:fldCharType="end"/>
            </w:r>
          </w:hyperlink>
        </w:p>
        <w:p w14:paraId="00549EB9" w14:textId="14611EBD" w:rsidR="00DE64E0" w:rsidRDefault="00DE64E0">
          <w:pPr>
            <w:pStyle w:val="TOC3"/>
            <w:rPr>
              <w:rFonts w:eastAsiaTheme="minorEastAsia" w:cstheme="minorBidi"/>
              <w:noProof/>
              <w:kern w:val="2"/>
              <w:sz w:val="24"/>
              <w:szCs w:val="24"/>
              <w:lang w:eastAsia="en-GB"/>
              <w14:ligatures w14:val="standardContextual"/>
            </w:rPr>
          </w:pPr>
          <w:hyperlink w:anchor="_Toc135384301" w:history="1">
            <w:r w:rsidRPr="00EF528F">
              <w:rPr>
                <w:rStyle w:val="Hyperlink"/>
                <w:noProof/>
              </w:rPr>
              <w:t>3.5.5 Validation Analysis</w:t>
            </w:r>
            <w:r>
              <w:rPr>
                <w:noProof/>
                <w:webHidden/>
              </w:rPr>
              <w:tab/>
            </w:r>
            <w:r>
              <w:rPr>
                <w:noProof/>
                <w:webHidden/>
              </w:rPr>
              <w:fldChar w:fldCharType="begin"/>
            </w:r>
            <w:r>
              <w:rPr>
                <w:noProof/>
                <w:webHidden/>
              </w:rPr>
              <w:instrText xml:space="preserve"> PAGEREF _Toc135384301 \h </w:instrText>
            </w:r>
            <w:r>
              <w:rPr>
                <w:noProof/>
                <w:webHidden/>
              </w:rPr>
            </w:r>
            <w:r>
              <w:rPr>
                <w:noProof/>
                <w:webHidden/>
              </w:rPr>
              <w:fldChar w:fldCharType="separate"/>
            </w:r>
            <w:r w:rsidR="003A67BA">
              <w:rPr>
                <w:noProof/>
                <w:webHidden/>
              </w:rPr>
              <w:t>88</w:t>
            </w:r>
            <w:r>
              <w:rPr>
                <w:noProof/>
                <w:webHidden/>
              </w:rPr>
              <w:fldChar w:fldCharType="end"/>
            </w:r>
          </w:hyperlink>
        </w:p>
        <w:p w14:paraId="4959CC17" w14:textId="6CE4F6C6" w:rsidR="00DE64E0" w:rsidRDefault="00DE64E0">
          <w:pPr>
            <w:pStyle w:val="TOC3"/>
            <w:rPr>
              <w:rFonts w:eastAsiaTheme="minorEastAsia" w:cstheme="minorBidi"/>
              <w:noProof/>
              <w:kern w:val="2"/>
              <w:sz w:val="24"/>
              <w:szCs w:val="24"/>
              <w:lang w:eastAsia="en-GB"/>
              <w14:ligatures w14:val="standardContextual"/>
            </w:rPr>
          </w:pPr>
          <w:hyperlink w:anchor="_Toc135384302" w:history="1">
            <w:r w:rsidRPr="00EF528F">
              <w:rPr>
                <w:rStyle w:val="Hyperlink"/>
                <w:noProof/>
              </w:rPr>
              <w:t>3.5.5.1 ROC analysis</w:t>
            </w:r>
            <w:r>
              <w:rPr>
                <w:noProof/>
                <w:webHidden/>
              </w:rPr>
              <w:tab/>
            </w:r>
            <w:r>
              <w:rPr>
                <w:noProof/>
                <w:webHidden/>
              </w:rPr>
              <w:fldChar w:fldCharType="begin"/>
            </w:r>
            <w:r>
              <w:rPr>
                <w:noProof/>
                <w:webHidden/>
              </w:rPr>
              <w:instrText xml:space="preserve"> PAGEREF _Toc135384302 \h </w:instrText>
            </w:r>
            <w:r>
              <w:rPr>
                <w:noProof/>
                <w:webHidden/>
              </w:rPr>
            </w:r>
            <w:r>
              <w:rPr>
                <w:noProof/>
                <w:webHidden/>
              </w:rPr>
              <w:fldChar w:fldCharType="separate"/>
            </w:r>
            <w:r w:rsidR="003A67BA">
              <w:rPr>
                <w:noProof/>
                <w:webHidden/>
              </w:rPr>
              <w:t>88</w:t>
            </w:r>
            <w:r>
              <w:rPr>
                <w:noProof/>
                <w:webHidden/>
              </w:rPr>
              <w:fldChar w:fldCharType="end"/>
            </w:r>
          </w:hyperlink>
        </w:p>
        <w:p w14:paraId="14F760A2" w14:textId="26DBFA06" w:rsidR="00DE64E0" w:rsidRDefault="00DE64E0">
          <w:pPr>
            <w:pStyle w:val="TOC3"/>
            <w:rPr>
              <w:rFonts w:eastAsiaTheme="minorEastAsia" w:cstheme="minorBidi"/>
              <w:noProof/>
              <w:kern w:val="2"/>
              <w:sz w:val="24"/>
              <w:szCs w:val="24"/>
              <w:lang w:eastAsia="en-GB"/>
              <w14:ligatures w14:val="standardContextual"/>
            </w:rPr>
          </w:pPr>
          <w:hyperlink w:anchor="_Toc135384303" w:history="1">
            <w:r w:rsidRPr="00EF528F">
              <w:rPr>
                <w:rStyle w:val="Hyperlink"/>
                <w:noProof/>
              </w:rPr>
              <w:t>3.5.6 Micronutrients exploration</w:t>
            </w:r>
            <w:r>
              <w:rPr>
                <w:noProof/>
                <w:webHidden/>
              </w:rPr>
              <w:tab/>
            </w:r>
            <w:r>
              <w:rPr>
                <w:noProof/>
                <w:webHidden/>
              </w:rPr>
              <w:fldChar w:fldCharType="begin"/>
            </w:r>
            <w:r>
              <w:rPr>
                <w:noProof/>
                <w:webHidden/>
              </w:rPr>
              <w:instrText xml:space="preserve"> PAGEREF _Toc135384303 \h </w:instrText>
            </w:r>
            <w:r>
              <w:rPr>
                <w:noProof/>
                <w:webHidden/>
              </w:rPr>
            </w:r>
            <w:r>
              <w:rPr>
                <w:noProof/>
                <w:webHidden/>
              </w:rPr>
              <w:fldChar w:fldCharType="separate"/>
            </w:r>
            <w:r w:rsidR="003A67BA">
              <w:rPr>
                <w:noProof/>
                <w:webHidden/>
              </w:rPr>
              <w:t>91</w:t>
            </w:r>
            <w:r>
              <w:rPr>
                <w:noProof/>
                <w:webHidden/>
              </w:rPr>
              <w:fldChar w:fldCharType="end"/>
            </w:r>
          </w:hyperlink>
        </w:p>
        <w:p w14:paraId="7142D348" w14:textId="601387D4" w:rsidR="00DE64E0" w:rsidRDefault="00DE64E0">
          <w:pPr>
            <w:pStyle w:val="TOC2"/>
            <w:rPr>
              <w:rFonts w:eastAsiaTheme="minorEastAsia" w:cstheme="minorBidi"/>
              <w:noProof/>
              <w:kern w:val="2"/>
              <w:sz w:val="24"/>
              <w:szCs w:val="24"/>
              <w:lang w:eastAsia="en-GB"/>
              <w14:ligatures w14:val="standardContextual"/>
            </w:rPr>
          </w:pPr>
          <w:hyperlink w:anchor="_Toc135384304" w:history="1">
            <w:r w:rsidRPr="00EF528F">
              <w:rPr>
                <w:rStyle w:val="Hyperlink"/>
                <w:b/>
                <w:bCs/>
                <w:noProof/>
              </w:rPr>
              <w:t>3.6 Discussion</w:t>
            </w:r>
            <w:r>
              <w:rPr>
                <w:noProof/>
                <w:webHidden/>
              </w:rPr>
              <w:tab/>
            </w:r>
            <w:r>
              <w:rPr>
                <w:noProof/>
                <w:webHidden/>
              </w:rPr>
              <w:fldChar w:fldCharType="begin"/>
            </w:r>
            <w:r>
              <w:rPr>
                <w:noProof/>
                <w:webHidden/>
              </w:rPr>
              <w:instrText xml:space="preserve"> PAGEREF _Toc135384304 \h </w:instrText>
            </w:r>
            <w:r>
              <w:rPr>
                <w:noProof/>
                <w:webHidden/>
              </w:rPr>
            </w:r>
            <w:r>
              <w:rPr>
                <w:noProof/>
                <w:webHidden/>
              </w:rPr>
              <w:fldChar w:fldCharType="separate"/>
            </w:r>
            <w:r w:rsidR="003A67BA">
              <w:rPr>
                <w:noProof/>
                <w:webHidden/>
              </w:rPr>
              <w:t>93</w:t>
            </w:r>
            <w:r>
              <w:rPr>
                <w:noProof/>
                <w:webHidden/>
              </w:rPr>
              <w:fldChar w:fldCharType="end"/>
            </w:r>
          </w:hyperlink>
        </w:p>
        <w:p w14:paraId="2BB06658" w14:textId="684EAD13"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305" w:history="1">
            <w:r w:rsidRPr="00EF528F">
              <w:rPr>
                <w:rStyle w:val="Hyperlink"/>
                <w:noProof/>
              </w:rPr>
              <w:t>Chapter 4: The factors determining protein intakes, including knowledge about protein.</w:t>
            </w:r>
            <w:r>
              <w:rPr>
                <w:noProof/>
                <w:webHidden/>
              </w:rPr>
              <w:tab/>
            </w:r>
            <w:r>
              <w:rPr>
                <w:noProof/>
                <w:webHidden/>
              </w:rPr>
              <w:fldChar w:fldCharType="begin"/>
            </w:r>
            <w:r>
              <w:rPr>
                <w:noProof/>
                <w:webHidden/>
              </w:rPr>
              <w:instrText xml:space="preserve"> PAGEREF _Toc135384305 \h </w:instrText>
            </w:r>
            <w:r>
              <w:rPr>
                <w:noProof/>
                <w:webHidden/>
              </w:rPr>
            </w:r>
            <w:r>
              <w:rPr>
                <w:noProof/>
                <w:webHidden/>
              </w:rPr>
              <w:fldChar w:fldCharType="separate"/>
            </w:r>
            <w:r w:rsidR="003A67BA">
              <w:rPr>
                <w:noProof/>
                <w:webHidden/>
              </w:rPr>
              <w:t>100</w:t>
            </w:r>
            <w:r>
              <w:rPr>
                <w:noProof/>
                <w:webHidden/>
              </w:rPr>
              <w:fldChar w:fldCharType="end"/>
            </w:r>
          </w:hyperlink>
        </w:p>
        <w:p w14:paraId="29531B1B" w14:textId="2D52A2AC" w:rsidR="00DE64E0" w:rsidRDefault="00DE64E0">
          <w:pPr>
            <w:pStyle w:val="TOC2"/>
            <w:rPr>
              <w:rFonts w:eastAsiaTheme="minorEastAsia" w:cstheme="minorBidi"/>
              <w:noProof/>
              <w:kern w:val="2"/>
              <w:sz w:val="24"/>
              <w:szCs w:val="24"/>
              <w:lang w:eastAsia="en-GB"/>
              <w14:ligatures w14:val="standardContextual"/>
            </w:rPr>
          </w:pPr>
          <w:hyperlink w:anchor="_Toc135384306" w:history="1">
            <w:r w:rsidRPr="00EF528F">
              <w:rPr>
                <w:rStyle w:val="Hyperlink"/>
                <w:b/>
                <w:bCs/>
                <w:noProof/>
              </w:rPr>
              <w:t>4.1 Introduction:</w:t>
            </w:r>
            <w:r>
              <w:rPr>
                <w:noProof/>
                <w:webHidden/>
              </w:rPr>
              <w:tab/>
            </w:r>
            <w:r>
              <w:rPr>
                <w:noProof/>
                <w:webHidden/>
              </w:rPr>
              <w:fldChar w:fldCharType="begin"/>
            </w:r>
            <w:r>
              <w:rPr>
                <w:noProof/>
                <w:webHidden/>
              </w:rPr>
              <w:instrText xml:space="preserve"> PAGEREF _Toc135384306 \h </w:instrText>
            </w:r>
            <w:r>
              <w:rPr>
                <w:noProof/>
                <w:webHidden/>
              </w:rPr>
            </w:r>
            <w:r>
              <w:rPr>
                <w:noProof/>
                <w:webHidden/>
              </w:rPr>
              <w:fldChar w:fldCharType="separate"/>
            </w:r>
            <w:r w:rsidR="003A67BA">
              <w:rPr>
                <w:noProof/>
                <w:webHidden/>
              </w:rPr>
              <w:t>100</w:t>
            </w:r>
            <w:r>
              <w:rPr>
                <w:noProof/>
                <w:webHidden/>
              </w:rPr>
              <w:fldChar w:fldCharType="end"/>
            </w:r>
          </w:hyperlink>
        </w:p>
        <w:p w14:paraId="7443AC2E" w14:textId="5637621F" w:rsidR="00DE64E0" w:rsidRDefault="00DE64E0">
          <w:pPr>
            <w:pStyle w:val="TOC2"/>
            <w:rPr>
              <w:rFonts w:eastAsiaTheme="minorEastAsia" w:cstheme="minorBidi"/>
              <w:noProof/>
              <w:kern w:val="2"/>
              <w:sz w:val="24"/>
              <w:szCs w:val="24"/>
              <w:lang w:eastAsia="en-GB"/>
              <w14:ligatures w14:val="standardContextual"/>
            </w:rPr>
          </w:pPr>
          <w:hyperlink w:anchor="_Toc135384307" w:history="1">
            <w:r w:rsidRPr="00EF528F">
              <w:rPr>
                <w:rStyle w:val="Hyperlink"/>
                <w:noProof/>
              </w:rPr>
              <w:t>4.1.1 Aims, hypothesis and objectives:</w:t>
            </w:r>
            <w:r>
              <w:rPr>
                <w:noProof/>
                <w:webHidden/>
              </w:rPr>
              <w:tab/>
            </w:r>
            <w:r>
              <w:rPr>
                <w:noProof/>
                <w:webHidden/>
              </w:rPr>
              <w:fldChar w:fldCharType="begin"/>
            </w:r>
            <w:r>
              <w:rPr>
                <w:noProof/>
                <w:webHidden/>
              </w:rPr>
              <w:instrText xml:space="preserve"> PAGEREF _Toc135384307 \h </w:instrText>
            </w:r>
            <w:r>
              <w:rPr>
                <w:noProof/>
                <w:webHidden/>
              </w:rPr>
            </w:r>
            <w:r>
              <w:rPr>
                <w:noProof/>
                <w:webHidden/>
              </w:rPr>
              <w:fldChar w:fldCharType="separate"/>
            </w:r>
            <w:r w:rsidR="003A67BA">
              <w:rPr>
                <w:noProof/>
                <w:webHidden/>
              </w:rPr>
              <w:t>102</w:t>
            </w:r>
            <w:r>
              <w:rPr>
                <w:noProof/>
                <w:webHidden/>
              </w:rPr>
              <w:fldChar w:fldCharType="end"/>
            </w:r>
          </w:hyperlink>
        </w:p>
        <w:p w14:paraId="63314497" w14:textId="25BC1D99" w:rsidR="00DE64E0" w:rsidRDefault="00DE64E0">
          <w:pPr>
            <w:pStyle w:val="TOC3"/>
            <w:rPr>
              <w:rFonts w:eastAsiaTheme="minorEastAsia" w:cstheme="minorBidi"/>
              <w:noProof/>
              <w:kern w:val="2"/>
              <w:sz w:val="24"/>
              <w:szCs w:val="24"/>
              <w:lang w:eastAsia="en-GB"/>
              <w14:ligatures w14:val="standardContextual"/>
            </w:rPr>
          </w:pPr>
          <w:hyperlink w:anchor="_Toc135384308" w:history="1">
            <w:r w:rsidRPr="00EF528F">
              <w:rPr>
                <w:rStyle w:val="Hyperlink"/>
                <w:noProof/>
              </w:rPr>
              <w:t>4.1.1.1 Aim:</w:t>
            </w:r>
            <w:r>
              <w:rPr>
                <w:noProof/>
                <w:webHidden/>
              </w:rPr>
              <w:tab/>
            </w:r>
            <w:r>
              <w:rPr>
                <w:noProof/>
                <w:webHidden/>
              </w:rPr>
              <w:fldChar w:fldCharType="begin"/>
            </w:r>
            <w:r>
              <w:rPr>
                <w:noProof/>
                <w:webHidden/>
              </w:rPr>
              <w:instrText xml:space="preserve"> PAGEREF _Toc135384308 \h </w:instrText>
            </w:r>
            <w:r>
              <w:rPr>
                <w:noProof/>
                <w:webHidden/>
              </w:rPr>
            </w:r>
            <w:r>
              <w:rPr>
                <w:noProof/>
                <w:webHidden/>
              </w:rPr>
              <w:fldChar w:fldCharType="separate"/>
            </w:r>
            <w:r w:rsidR="003A67BA">
              <w:rPr>
                <w:noProof/>
                <w:webHidden/>
              </w:rPr>
              <w:t>102</w:t>
            </w:r>
            <w:r>
              <w:rPr>
                <w:noProof/>
                <w:webHidden/>
              </w:rPr>
              <w:fldChar w:fldCharType="end"/>
            </w:r>
          </w:hyperlink>
        </w:p>
        <w:p w14:paraId="742133A3" w14:textId="3CC8445C" w:rsidR="00DE64E0" w:rsidRDefault="00DE64E0">
          <w:pPr>
            <w:pStyle w:val="TOC3"/>
            <w:rPr>
              <w:rFonts w:eastAsiaTheme="minorEastAsia" w:cstheme="minorBidi"/>
              <w:noProof/>
              <w:kern w:val="2"/>
              <w:sz w:val="24"/>
              <w:szCs w:val="24"/>
              <w:lang w:eastAsia="en-GB"/>
              <w14:ligatures w14:val="standardContextual"/>
            </w:rPr>
          </w:pPr>
          <w:hyperlink w:anchor="_Toc135384309" w:history="1">
            <w:r w:rsidRPr="00EF528F">
              <w:rPr>
                <w:rStyle w:val="Hyperlink"/>
                <w:noProof/>
              </w:rPr>
              <w:t>4.1.1.2 Hypothesis:</w:t>
            </w:r>
            <w:r>
              <w:rPr>
                <w:noProof/>
                <w:webHidden/>
              </w:rPr>
              <w:tab/>
            </w:r>
            <w:r>
              <w:rPr>
                <w:noProof/>
                <w:webHidden/>
              </w:rPr>
              <w:fldChar w:fldCharType="begin"/>
            </w:r>
            <w:r>
              <w:rPr>
                <w:noProof/>
                <w:webHidden/>
              </w:rPr>
              <w:instrText xml:space="preserve"> PAGEREF _Toc135384309 \h </w:instrText>
            </w:r>
            <w:r>
              <w:rPr>
                <w:noProof/>
                <w:webHidden/>
              </w:rPr>
            </w:r>
            <w:r>
              <w:rPr>
                <w:noProof/>
                <w:webHidden/>
              </w:rPr>
              <w:fldChar w:fldCharType="separate"/>
            </w:r>
            <w:r w:rsidR="003A67BA">
              <w:rPr>
                <w:noProof/>
                <w:webHidden/>
              </w:rPr>
              <w:t>102</w:t>
            </w:r>
            <w:r>
              <w:rPr>
                <w:noProof/>
                <w:webHidden/>
              </w:rPr>
              <w:fldChar w:fldCharType="end"/>
            </w:r>
          </w:hyperlink>
        </w:p>
        <w:p w14:paraId="38C6EBCD" w14:textId="4AF0BD10" w:rsidR="00DE64E0" w:rsidRDefault="00DE64E0" w:rsidP="004721C1">
          <w:pPr>
            <w:pStyle w:val="TOC3"/>
            <w:rPr>
              <w:rFonts w:eastAsiaTheme="minorEastAsia" w:cstheme="minorBidi"/>
              <w:noProof/>
              <w:kern w:val="2"/>
              <w:sz w:val="24"/>
              <w:szCs w:val="24"/>
              <w:lang w:eastAsia="en-GB"/>
              <w14:ligatures w14:val="standardContextual"/>
            </w:rPr>
          </w:pPr>
          <w:hyperlink w:anchor="_Toc135384310" w:history="1">
            <w:r w:rsidRPr="00EF528F">
              <w:rPr>
                <w:rStyle w:val="Hyperlink"/>
                <w:noProof/>
              </w:rPr>
              <w:t>4.1.1.3Objectives</w:t>
            </w:r>
            <w:r>
              <w:rPr>
                <w:noProof/>
                <w:webHidden/>
              </w:rPr>
              <w:tab/>
            </w:r>
            <w:r>
              <w:rPr>
                <w:noProof/>
                <w:webHidden/>
              </w:rPr>
              <w:fldChar w:fldCharType="begin"/>
            </w:r>
            <w:r>
              <w:rPr>
                <w:noProof/>
                <w:webHidden/>
              </w:rPr>
              <w:instrText xml:space="preserve"> PAGEREF _Toc135384310 \h </w:instrText>
            </w:r>
            <w:r>
              <w:rPr>
                <w:noProof/>
                <w:webHidden/>
              </w:rPr>
            </w:r>
            <w:r>
              <w:rPr>
                <w:noProof/>
                <w:webHidden/>
              </w:rPr>
              <w:fldChar w:fldCharType="separate"/>
            </w:r>
            <w:r w:rsidR="003A67BA">
              <w:rPr>
                <w:noProof/>
                <w:webHidden/>
              </w:rPr>
              <w:t>102</w:t>
            </w:r>
            <w:r>
              <w:rPr>
                <w:noProof/>
                <w:webHidden/>
              </w:rPr>
              <w:fldChar w:fldCharType="end"/>
            </w:r>
          </w:hyperlink>
        </w:p>
        <w:p w14:paraId="4250ED6A" w14:textId="1091F877" w:rsidR="00DE64E0" w:rsidRDefault="00DE64E0">
          <w:pPr>
            <w:pStyle w:val="TOC2"/>
            <w:rPr>
              <w:rFonts w:eastAsiaTheme="minorEastAsia" w:cstheme="minorBidi"/>
              <w:noProof/>
              <w:kern w:val="2"/>
              <w:sz w:val="24"/>
              <w:szCs w:val="24"/>
              <w:lang w:eastAsia="en-GB"/>
              <w14:ligatures w14:val="standardContextual"/>
            </w:rPr>
          </w:pPr>
          <w:hyperlink w:anchor="_Toc135384311" w:history="1">
            <w:r w:rsidRPr="00EF528F">
              <w:rPr>
                <w:rStyle w:val="Hyperlink"/>
                <w:b/>
                <w:bCs/>
                <w:noProof/>
              </w:rPr>
              <w:t>4.2 Methods</w:t>
            </w:r>
            <w:r>
              <w:rPr>
                <w:noProof/>
                <w:webHidden/>
              </w:rPr>
              <w:tab/>
            </w:r>
            <w:r>
              <w:rPr>
                <w:noProof/>
                <w:webHidden/>
              </w:rPr>
              <w:fldChar w:fldCharType="begin"/>
            </w:r>
            <w:r>
              <w:rPr>
                <w:noProof/>
                <w:webHidden/>
              </w:rPr>
              <w:instrText xml:space="preserve"> PAGEREF _Toc135384311 \h </w:instrText>
            </w:r>
            <w:r>
              <w:rPr>
                <w:noProof/>
                <w:webHidden/>
              </w:rPr>
            </w:r>
            <w:r>
              <w:rPr>
                <w:noProof/>
                <w:webHidden/>
              </w:rPr>
              <w:fldChar w:fldCharType="separate"/>
            </w:r>
            <w:r w:rsidR="003A67BA">
              <w:rPr>
                <w:noProof/>
                <w:webHidden/>
              </w:rPr>
              <w:t>103</w:t>
            </w:r>
            <w:r>
              <w:rPr>
                <w:noProof/>
                <w:webHidden/>
              </w:rPr>
              <w:fldChar w:fldCharType="end"/>
            </w:r>
          </w:hyperlink>
        </w:p>
        <w:p w14:paraId="35B0E276" w14:textId="4AF5A50D" w:rsidR="00DE64E0" w:rsidRDefault="00DE64E0">
          <w:pPr>
            <w:pStyle w:val="TOC2"/>
            <w:rPr>
              <w:rFonts w:eastAsiaTheme="minorEastAsia" w:cstheme="minorBidi"/>
              <w:noProof/>
              <w:kern w:val="2"/>
              <w:sz w:val="24"/>
              <w:szCs w:val="24"/>
              <w:lang w:eastAsia="en-GB"/>
              <w14:ligatures w14:val="standardContextual"/>
            </w:rPr>
          </w:pPr>
          <w:hyperlink w:anchor="_Toc135384312" w:history="1">
            <w:r w:rsidRPr="00EF528F">
              <w:rPr>
                <w:rStyle w:val="Hyperlink"/>
                <w:b/>
                <w:bCs/>
                <w:noProof/>
              </w:rPr>
              <w:t>4.3 Results</w:t>
            </w:r>
            <w:r w:rsidR="00582CD8">
              <w:rPr>
                <w:rStyle w:val="Hyperlink"/>
                <w:b/>
                <w:bCs/>
                <w:noProof/>
              </w:rPr>
              <w:t>…</w:t>
            </w:r>
            <w:r>
              <w:rPr>
                <w:noProof/>
                <w:webHidden/>
              </w:rPr>
              <w:tab/>
            </w:r>
            <w:r>
              <w:rPr>
                <w:noProof/>
                <w:webHidden/>
              </w:rPr>
              <w:fldChar w:fldCharType="begin"/>
            </w:r>
            <w:r>
              <w:rPr>
                <w:noProof/>
                <w:webHidden/>
              </w:rPr>
              <w:instrText xml:space="preserve"> PAGEREF _Toc135384312 \h </w:instrText>
            </w:r>
            <w:r>
              <w:rPr>
                <w:noProof/>
                <w:webHidden/>
              </w:rPr>
            </w:r>
            <w:r>
              <w:rPr>
                <w:noProof/>
                <w:webHidden/>
              </w:rPr>
              <w:fldChar w:fldCharType="separate"/>
            </w:r>
            <w:r w:rsidR="003A67BA">
              <w:rPr>
                <w:noProof/>
                <w:webHidden/>
              </w:rPr>
              <w:t>103</w:t>
            </w:r>
            <w:r>
              <w:rPr>
                <w:noProof/>
                <w:webHidden/>
              </w:rPr>
              <w:fldChar w:fldCharType="end"/>
            </w:r>
          </w:hyperlink>
        </w:p>
        <w:p w14:paraId="5DEC925F" w14:textId="4CC9C9ED" w:rsidR="00DE64E0" w:rsidRDefault="00DE64E0">
          <w:pPr>
            <w:pStyle w:val="TOC3"/>
            <w:rPr>
              <w:rFonts w:eastAsiaTheme="minorEastAsia" w:cstheme="minorBidi"/>
              <w:noProof/>
              <w:kern w:val="2"/>
              <w:sz w:val="24"/>
              <w:szCs w:val="24"/>
              <w:lang w:eastAsia="en-GB"/>
              <w14:ligatures w14:val="standardContextual"/>
            </w:rPr>
          </w:pPr>
          <w:hyperlink w:anchor="_Toc135384313" w:history="1">
            <w:r w:rsidRPr="00EF528F">
              <w:rPr>
                <w:rStyle w:val="Hyperlink"/>
                <w:noProof/>
              </w:rPr>
              <w:t>4.3.1 Participant characteristics</w:t>
            </w:r>
            <w:r>
              <w:rPr>
                <w:noProof/>
                <w:webHidden/>
              </w:rPr>
              <w:tab/>
            </w:r>
            <w:r>
              <w:rPr>
                <w:noProof/>
                <w:webHidden/>
              </w:rPr>
              <w:fldChar w:fldCharType="begin"/>
            </w:r>
            <w:r>
              <w:rPr>
                <w:noProof/>
                <w:webHidden/>
              </w:rPr>
              <w:instrText xml:space="preserve"> PAGEREF _Toc135384313 \h </w:instrText>
            </w:r>
            <w:r>
              <w:rPr>
                <w:noProof/>
                <w:webHidden/>
              </w:rPr>
            </w:r>
            <w:r>
              <w:rPr>
                <w:noProof/>
                <w:webHidden/>
              </w:rPr>
              <w:fldChar w:fldCharType="separate"/>
            </w:r>
            <w:r w:rsidR="003A67BA">
              <w:rPr>
                <w:noProof/>
                <w:webHidden/>
              </w:rPr>
              <w:t>103</w:t>
            </w:r>
            <w:r>
              <w:rPr>
                <w:noProof/>
                <w:webHidden/>
              </w:rPr>
              <w:fldChar w:fldCharType="end"/>
            </w:r>
          </w:hyperlink>
        </w:p>
        <w:p w14:paraId="57B8279E" w14:textId="745459A5" w:rsidR="00DE64E0" w:rsidRDefault="00DE64E0">
          <w:pPr>
            <w:pStyle w:val="TOC3"/>
            <w:rPr>
              <w:rFonts w:eastAsiaTheme="minorEastAsia" w:cstheme="minorBidi"/>
              <w:noProof/>
              <w:kern w:val="2"/>
              <w:sz w:val="24"/>
              <w:szCs w:val="24"/>
              <w:lang w:eastAsia="en-GB"/>
              <w14:ligatures w14:val="standardContextual"/>
            </w:rPr>
          </w:pPr>
          <w:hyperlink w:anchor="_Toc135384314" w:history="1">
            <w:r w:rsidRPr="00EF528F">
              <w:rPr>
                <w:rStyle w:val="Hyperlink"/>
                <w:noProof/>
              </w:rPr>
              <w:t>4.3.2 Checks for normality</w:t>
            </w:r>
            <w:r>
              <w:rPr>
                <w:noProof/>
                <w:webHidden/>
              </w:rPr>
              <w:tab/>
            </w:r>
            <w:r>
              <w:rPr>
                <w:noProof/>
                <w:webHidden/>
              </w:rPr>
              <w:fldChar w:fldCharType="begin"/>
            </w:r>
            <w:r>
              <w:rPr>
                <w:noProof/>
                <w:webHidden/>
              </w:rPr>
              <w:instrText xml:space="preserve"> PAGEREF _Toc135384314 \h </w:instrText>
            </w:r>
            <w:r>
              <w:rPr>
                <w:noProof/>
                <w:webHidden/>
              </w:rPr>
            </w:r>
            <w:r>
              <w:rPr>
                <w:noProof/>
                <w:webHidden/>
              </w:rPr>
              <w:fldChar w:fldCharType="separate"/>
            </w:r>
            <w:r w:rsidR="003A67BA">
              <w:rPr>
                <w:noProof/>
                <w:webHidden/>
              </w:rPr>
              <w:t>103</w:t>
            </w:r>
            <w:r>
              <w:rPr>
                <w:noProof/>
                <w:webHidden/>
              </w:rPr>
              <w:fldChar w:fldCharType="end"/>
            </w:r>
          </w:hyperlink>
        </w:p>
        <w:p w14:paraId="4ED4C1D2" w14:textId="62FFF2E5" w:rsidR="00DE64E0" w:rsidRDefault="00DE64E0">
          <w:pPr>
            <w:pStyle w:val="TOC3"/>
            <w:rPr>
              <w:rFonts w:eastAsiaTheme="minorEastAsia" w:cstheme="minorBidi"/>
              <w:noProof/>
              <w:kern w:val="2"/>
              <w:sz w:val="24"/>
              <w:szCs w:val="24"/>
              <w:lang w:eastAsia="en-GB"/>
              <w14:ligatures w14:val="standardContextual"/>
            </w:rPr>
          </w:pPr>
          <w:hyperlink w:anchor="_Toc135384315" w:history="1">
            <w:r w:rsidRPr="00EF528F">
              <w:rPr>
                <w:rStyle w:val="Hyperlink"/>
                <w:noProof/>
              </w:rPr>
              <w:t>4.3.3 Protein intakes</w:t>
            </w:r>
            <w:r>
              <w:rPr>
                <w:noProof/>
                <w:webHidden/>
              </w:rPr>
              <w:tab/>
            </w:r>
            <w:r>
              <w:rPr>
                <w:noProof/>
                <w:webHidden/>
              </w:rPr>
              <w:fldChar w:fldCharType="begin"/>
            </w:r>
            <w:r>
              <w:rPr>
                <w:noProof/>
                <w:webHidden/>
              </w:rPr>
              <w:instrText xml:space="preserve"> PAGEREF _Toc135384315 \h </w:instrText>
            </w:r>
            <w:r>
              <w:rPr>
                <w:noProof/>
                <w:webHidden/>
              </w:rPr>
            </w:r>
            <w:r>
              <w:rPr>
                <w:noProof/>
                <w:webHidden/>
              </w:rPr>
              <w:fldChar w:fldCharType="separate"/>
            </w:r>
            <w:r w:rsidR="003A67BA">
              <w:rPr>
                <w:noProof/>
                <w:webHidden/>
              </w:rPr>
              <w:t>105</w:t>
            </w:r>
            <w:r>
              <w:rPr>
                <w:noProof/>
                <w:webHidden/>
              </w:rPr>
              <w:fldChar w:fldCharType="end"/>
            </w:r>
          </w:hyperlink>
        </w:p>
        <w:p w14:paraId="531C84EE" w14:textId="10162106" w:rsidR="00DE64E0" w:rsidRDefault="00DE64E0">
          <w:pPr>
            <w:pStyle w:val="TOC3"/>
            <w:rPr>
              <w:rFonts w:eastAsiaTheme="minorEastAsia" w:cstheme="minorBidi"/>
              <w:noProof/>
              <w:kern w:val="2"/>
              <w:sz w:val="24"/>
              <w:szCs w:val="24"/>
              <w:lang w:eastAsia="en-GB"/>
              <w14:ligatures w14:val="standardContextual"/>
            </w:rPr>
          </w:pPr>
          <w:hyperlink w:anchor="_Toc135384316" w:history="1">
            <w:r w:rsidRPr="00EF528F">
              <w:rPr>
                <w:rStyle w:val="Hyperlink"/>
                <w:noProof/>
              </w:rPr>
              <w:t>4.3.4 Protein knowledge scores</w:t>
            </w:r>
            <w:r>
              <w:rPr>
                <w:noProof/>
                <w:webHidden/>
              </w:rPr>
              <w:tab/>
            </w:r>
            <w:r>
              <w:rPr>
                <w:noProof/>
                <w:webHidden/>
              </w:rPr>
              <w:fldChar w:fldCharType="begin"/>
            </w:r>
            <w:r>
              <w:rPr>
                <w:noProof/>
                <w:webHidden/>
              </w:rPr>
              <w:instrText xml:space="preserve"> PAGEREF _Toc135384316 \h </w:instrText>
            </w:r>
            <w:r>
              <w:rPr>
                <w:noProof/>
                <w:webHidden/>
              </w:rPr>
            </w:r>
            <w:r>
              <w:rPr>
                <w:noProof/>
                <w:webHidden/>
              </w:rPr>
              <w:fldChar w:fldCharType="separate"/>
            </w:r>
            <w:r w:rsidR="003A67BA">
              <w:rPr>
                <w:noProof/>
                <w:webHidden/>
              </w:rPr>
              <w:t>105</w:t>
            </w:r>
            <w:r>
              <w:rPr>
                <w:noProof/>
                <w:webHidden/>
              </w:rPr>
              <w:fldChar w:fldCharType="end"/>
            </w:r>
          </w:hyperlink>
        </w:p>
        <w:p w14:paraId="08249108" w14:textId="3BFD90E3" w:rsidR="00DE64E0" w:rsidRDefault="00DE64E0">
          <w:pPr>
            <w:pStyle w:val="TOC3"/>
            <w:rPr>
              <w:rFonts w:eastAsiaTheme="minorEastAsia" w:cstheme="minorBidi"/>
              <w:noProof/>
              <w:kern w:val="2"/>
              <w:sz w:val="24"/>
              <w:szCs w:val="24"/>
              <w:lang w:eastAsia="en-GB"/>
              <w14:ligatures w14:val="standardContextual"/>
            </w:rPr>
          </w:pPr>
          <w:hyperlink w:anchor="_Toc135384317" w:history="1">
            <w:r w:rsidRPr="00EF528F">
              <w:rPr>
                <w:rStyle w:val="Hyperlink"/>
                <w:noProof/>
              </w:rPr>
              <w:t>4.3.5 Further knowledge questionnaire responses exploration</w:t>
            </w:r>
            <w:r>
              <w:rPr>
                <w:noProof/>
                <w:webHidden/>
              </w:rPr>
              <w:tab/>
            </w:r>
            <w:r>
              <w:rPr>
                <w:noProof/>
                <w:webHidden/>
              </w:rPr>
              <w:fldChar w:fldCharType="begin"/>
            </w:r>
            <w:r>
              <w:rPr>
                <w:noProof/>
                <w:webHidden/>
              </w:rPr>
              <w:instrText xml:space="preserve"> PAGEREF _Toc135384317 \h </w:instrText>
            </w:r>
            <w:r>
              <w:rPr>
                <w:noProof/>
                <w:webHidden/>
              </w:rPr>
            </w:r>
            <w:r>
              <w:rPr>
                <w:noProof/>
                <w:webHidden/>
              </w:rPr>
              <w:fldChar w:fldCharType="separate"/>
            </w:r>
            <w:r w:rsidR="003A67BA">
              <w:rPr>
                <w:noProof/>
                <w:webHidden/>
              </w:rPr>
              <w:t>107</w:t>
            </w:r>
            <w:r>
              <w:rPr>
                <w:noProof/>
                <w:webHidden/>
              </w:rPr>
              <w:fldChar w:fldCharType="end"/>
            </w:r>
          </w:hyperlink>
        </w:p>
        <w:p w14:paraId="7DDC88F7" w14:textId="09AC26AA" w:rsidR="00DE64E0" w:rsidRDefault="00DE64E0">
          <w:pPr>
            <w:pStyle w:val="TOC3"/>
            <w:rPr>
              <w:rFonts w:eastAsiaTheme="minorEastAsia" w:cstheme="minorBidi"/>
              <w:noProof/>
              <w:kern w:val="2"/>
              <w:sz w:val="24"/>
              <w:szCs w:val="24"/>
              <w:lang w:eastAsia="en-GB"/>
              <w14:ligatures w14:val="standardContextual"/>
            </w:rPr>
          </w:pPr>
          <w:hyperlink w:anchor="_Toc135384318" w:history="1">
            <w:r w:rsidRPr="00EF528F">
              <w:rPr>
                <w:rStyle w:val="Hyperlink"/>
                <w:noProof/>
              </w:rPr>
              <w:t>4.3.6 Correlation analysis for protein knowledge scores and protein intakes.</w:t>
            </w:r>
            <w:r>
              <w:rPr>
                <w:noProof/>
                <w:webHidden/>
              </w:rPr>
              <w:tab/>
            </w:r>
            <w:r>
              <w:rPr>
                <w:noProof/>
                <w:webHidden/>
              </w:rPr>
              <w:fldChar w:fldCharType="begin"/>
            </w:r>
            <w:r>
              <w:rPr>
                <w:noProof/>
                <w:webHidden/>
              </w:rPr>
              <w:instrText xml:space="preserve"> PAGEREF _Toc135384318 \h </w:instrText>
            </w:r>
            <w:r>
              <w:rPr>
                <w:noProof/>
                <w:webHidden/>
              </w:rPr>
            </w:r>
            <w:r>
              <w:rPr>
                <w:noProof/>
                <w:webHidden/>
              </w:rPr>
              <w:fldChar w:fldCharType="separate"/>
            </w:r>
            <w:r w:rsidR="003A67BA">
              <w:rPr>
                <w:noProof/>
                <w:webHidden/>
              </w:rPr>
              <w:t>108</w:t>
            </w:r>
            <w:r>
              <w:rPr>
                <w:noProof/>
                <w:webHidden/>
              </w:rPr>
              <w:fldChar w:fldCharType="end"/>
            </w:r>
          </w:hyperlink>
        </w:p>
        <w:p w14:paraId="107F5A41" w14:textId="2C540533" w:rsidR="00DE64E0" w:rsidRDefault="00DE64E0">
          <w:pPr>
            <w:pStyle w:val="TOC3"/>
            <w:rPr>
              <w:rFonts w:eastAsiaTheme="minorEastAsia" w:cstheme="minorBidi"/>
              <w:noProof/>
              <w:kern w:val="2"/>
              <w:sz w:val="24"/>
              <w:szCs w:val="24"/>
              <w:lang w:eastAsia="en-GB"/>
              <w14:ligatures w14:val="standardContextual"/>
            </w:rPr>
          </w:pPr>
          <w:hyperlink w:anchor="_Toc135384319" w:history="1">
            <w:r w:rsidRPr="00EF528F">
              <w:rPr>
                <w:rStyle w:val="Hyperlink"/>
                <w:noProof/>
              </w:rPr>
              <w:t>4.3.5 Regression analysis</w:t>
            </w:r>
            <w:r>
              <w:rPr>
                <w:noProof/>
                <w:webHidden/>
              </w:rPr>
              <w:tab/>
            </w:r>
            <w:r>
              <w:rPr>
                <w:noProof/>
                <w:webHidden/>
              </w:rPr>
              <w:fldChar w:fldCharType="begin"/>
            </w:r>
            <w:r>
              <w:rPr>
                <w:noProof/>
                <w:webHidden/>
              </w:rPr>
              <w:instrText xml:space="preserve"> PAGEREF _Toc135384319 \h </w:instrText>
            </w:r>
            <w:r>
              <w:rPr>
                <w:noProof/>
                <w:webHidden/>
              </w:rPr>
            </w:r>
            <w:r>
              <w:rPr>
                <w:noProof/>
                <w:webHidden/>
              </w:rPr>
              <w:fldChar w:fldCharType="separate"/>
            </w:r>
            <w:r w:rsidR="003A67BA">
              <w:rPr>
                <w:noProof/>
                <w:webHidden/>
              </w:rPr>
              <w:t>108</w:t>
            </w:r>
            <w:r>
              <w:rPr>
                <w:noProof/>
                <w:webHidden/>
              </w:rPr>
              <w:fldChar w:fldCharType="end"/>
            </w:r>
          </w:hyperlink>
        </w:p>
        <w:p w14:paraId="00B62019" w14:textId="2E584D45" w:rsidR="00DE64E0" w:rsidRDefault="00DE64E0">
          <w:pPr>
            <w:pStyle w:val="TOC2"/>
            <w:rPr>
              <w:rFonts w:eastAsiaTheme="minorEastAsia" w:cstheme="minorBidi"/>
              <w:noProof/>
              <w:kern w:val="2"/>
              <w:sz w:val="24"/>
              <w:szCs w:val="24"/>
              <w:lang w:eastAsia="en-GB"/>
              <w14:ligatures w14:val="standardContextual"/>
            </w:rPr>
          </w:pPr>
          <w:hyperlink w:anchor="_Toc135384320" w:history="1">
            <w:r w:rsidRPr="00EF528F">
              <w:rPr>
                <w:rStyle w:val="Hyperlink"/>
                <w:b/>
                <w:bCs/>
                <w:noProof/>
              </w:rPr>
              <w:t>4.4 Discussion</w:t>
            </w:r>
            <w:r>
              <w:rPr>
                <w:noProof/>
                <w:webHidden/>
              </w:rPr>
              <w:tab/>
            </w:r>
            <w:r>
              <w:rPr>
                <w:noProof/>
                <w:webHidden/>
              </w:rPr>
              <w:fldChar w:fldCharType="begin"/>
            </w:r>
            <w:r>
              <w:rPr>
                <w:noProof/>
                <w:webHidden/>
              </w:rPr>
              <w:instrText xml:space="preserve"> PAGEREF _Toc135384320 \h </w:instrText>
            </w:r>
            <w:r>
              <w:rPr>
                <w:noProof/>
                <w:webHidden/>
              </w:rPr>
            </w:r>
            <w:r>
              <w:rPr>
                <w:noProof/>
                <w:webHidden/>
              </w:rPr>
              <w:fldChar w:fldCharType="separate"/>
            </w:r>
            <w:r w:rsidR="003A67BA">
              <w:rPr>
                <w:noProof/>
                <w:webHidden/>
              </w:rPr>
              <w:t>108</w:t>
            </w:r>
            <w:r>
              <w:rPr>
                <w:noProof/>
                <w:webHidden/>
              </w:rPr>
              <w:fldChar w:fldCharType="end"/>
            </w:r>
          </w:hyperlink>
        </w:p>
        <w:p w14:paraId="65FA0033" w14:textId="0C991E72" w:rsidR="00DE64E0" w:rsidRDefault="00DE64E0">
          <w:pPr>
            <w:pStyle w:val="TOC3"/>
            <w:rPr>
              <w:rFonts w:eastAsiaTheme="minorEastAsia" w:cstheme="minorBidi"/>
              <w:noProof/>
              <w:kern w:val="2"/>
              <w:sz w:val="24"/>
              <w:szCs w:val="24"/>
              <w:lang w:eastAsia="en-GB"/>
              <w14:ligatures w14:val="standardContextual"/>
            </w:rPr>
          </w:pPr>
          <w:hyperlink w:anchor="_Toc135384321" w:history="1">
            <w:r w:rsidRPr="00EF528F">
              <w:rPr>
                <w:rStyle w:val="Hyperlink"/>
                <w:noProof/>
              </w:rPr>
              <w:t>4.4.1 Overall findings</w:t>
            </w:r>
            <w:r>
              <w:rPr>
                <w:noProof/>
                <w:webHidden/>
              </w:rPr>
              <w:tab/>
            </w:r>
            <w:r>
              <w:rPr>
                <w:noProof/>
                <w:webHidden/>
              </w:rPr>
              <w:fldChar w:fldCharType="begin"/>
            </w:r>
            <w:r>
              <w:rPr>
                <w:noProof/>
                <w:webHidden/>
              </w:rPr>
              <w:instrText xml:space="preserve"> PAGEREF _Toc135384321 \h </w:instrText>
            </w:r>
            <w:r>
              <w:rPr>
                <w:noProof/>
                <w:webHidden/>
              </w:rPr>
            </w:r>
            <w:r>
              <w:rPr>
                <w:noProof/>
                <w:webHidden/>
              </w:rPr>
              <w:fldChar w:fldCharType="separate"/>
            </w:r>
            <w:r w:rsidR="003A67BA">
              <w:rPr>
                <w:noProof/>
                <w:webHidden/>
              </w:rPr>
              <w:t>108</w:t>
            </w:r>
            <w:r>
              <w:rPr>
                <w:noProof/>
                <w:webHidden/>
              </w:rPr>
              <w:fldChar w:fldCharType="end"/>
            </w:r>
          </w:hyperlink>
        </w:p>
        <w:p w14:paraId="42E6894F" w14:textId="6931AEBD" w:rsidR="00DE64E0" w:rsidRDefault="00DE64E0">
          <w:pPr>
            <w:pStyle w:val="TOC3"/>
            <w:rPr>
              <w:rFonts w:eastAsiaTheme="minorEastAsia" w:cstheme="minorBidi"/>
              <w:noProof/>
              <w:kern w:val="2"/>
              <w:sz w:val="24"/>
              <w:szCs w:val="24"/>
              <w:lang w:eastAsia="en-GB"/>
              <w14:ligatures w14:val="standardContextual"/>
            </w:rPr>
          </w:pPr>
          <w:hyperlink w:anchor="_Toc135384322" w:history="1">
            <w:r w:rsidRPr="00EF528F">
              <w:rPr>
                <w:rStyle w:val="Hyperlink"/>
                <w:noProof/>
              </w:rPr>
              <w:t>4.4.2 Age and protein intakes</w:t>
            </w:r>
            <w:r>
              <w:rPr>
                <w:noProof/>
                <w:webHidden/>
              </w:rPr>
              <w:tab/>
            </w:r>
            <w:r>
              <w:rPr>
                <w:noProof/>
                <w:webHidden/>
              </w:rPr>
              <w:fldChar w:fldCharType="begin"/>
            </w:r>
            <w:r>
              <w:rPr>
                <w:noProof/>
                <w:webHidden/>
              </w:rPr>
              <w:instrText xml:space="preserve"> PAGEREF _Toc135384322 \h </w:instrText>
            </w:r>
            <w:r>
              <w:rPr>
                <w:noProof/>
                <w:webHidden/>
              </w:rPr>
            </w:r>
            <w:r>
              <w:rPr>
                <w:noProof/>
                <w:webHidden/>
              </w:rPr>
              <w:fldChar w:fldCharType="separate"/>
            </w:r>
            <w:r w:rsidR="003A67BA">
              <w:rPr>
                <w:noProof/>
                <w:webHidden/>
              </w:rPr>
              <w:t>110</w:t>
            </w:r>
            <w:r>
              <w:rPr>
                <w:noProof/>
                <w:webHidden/>
              </w:rPr>
              <w:fldChar w:fldCharType="end"/>
            </w:r>
          </w:hyperlink>
        </w:p>
        <w:p w14:paraId="212E6668" w14:textId="320972C3" w:rsidR="00DE64E0" w:rsidRDefault="00DE64E0">
          <w:pPr>
            <w:pStyle w:val="TOC3"/>
            <w:rPr>
              <w:rFonts w:eastAsiaTheme="minorEastAsia" w:cstheme="minorBidi"/>
              <w:noProof/>
              <w:kern w:val="2"/>
              <w:sz w:val="24"/>
              <w:szCs w:val="24"/>
              <w:lang w:eastAsia="en-GB"/>
              <w14:ligatures w14:val="standardContextual"/>
            </w:rPr>
          </w:pPr>
          <w:hyperlink w:anchor="_Toc135384323" w:history="1">
            <w:r w:rsidRPr="00EF528F">
              <w:rPr>
                <w:rStyle w:val="Hyperlink"/>
                <w:noProof/>
              </w:rPr>
              <w:t>4.4.3 BMI/Physical activity and protein intake</w:t>
            </w:r>
            <w:r>
              <w:rPr>
                <w:noProof/>
                <w:webHidden/>
              </w:rPr>
              <w:tab/>
            </w:r>
            <w:r>
              <w:rPr>
                <w:noProof/>
                <w:webHidden/>
              </w:rPr>
              <w:fldChar w:fldCharType="begin"/>
            </w:r>
            <w:r>
              <w:rPr>
                <w:noProof/>
                <w:webHidden/>
              </w:rPr>
              <w:instrText xml:space="preserve"> PAGEREF _Toc135384323 \h </w:instrText>
            </w:r>
            <w:r>
              <w:rPr>
                <w:noProof/>
                <w:webHidden/>
              </w:rPr>
            </w:r>
            <w:r>
              <w:rPr>
                <w:noProof/>
                <w:webHidden/>
              </w:rPr>
              <w:fldChar w:fldCharType="separate"/>
            </w:r>
            <w:r w:rsidR="003A67BA">
              <w:rPr>
                <w:noProof/>
                <w:webHidden/>
              </w:rPr>
              <w:t>111</w:t>
            </w:r>
            <w:r>
              <w:rPr>
                <w:noProof/>
                <w:webHidden/>
              </w:rPr>
              <w:fldChar w:fldCharType="end"/>
            </w:r>
          </w:hyperlink>
        </w:p>
        <w:p w14:paraId="0C1B5AEF" w14:textId="2F845E1C" w:rsidR="00DE64E0" w:rsidRDefault="00DE64E0">
          <w:pPr>
            <w:pStyle w:val="TOC3"/>
            <w:rPr>
              <w:rFonts w:eastAsiaTheme="minorEastAsia" w:cstheme="minorBidi"/>
              <w:noProof/>
              <w:kern w:val="2"/>
              <w:sz w:val="24"/>
              <w:szCs w:val="24"/>
              <w:lang w:eastAsia="en-GB"/>
              <w14:ligatures w14:val="standardContextual"/>
            </w:rPr>
          </w:pPr>
          <w:hyperlink w:anchor="_Toc135384324" w:history="1">
            <w:r w:rsidRPr="00EF528F">
              <w:rPr>
                <w:rStyle w:val="Hyperlink"/>
                <w:noProof/>
              </w:rPr>
              <w:t>4.4.4 Non-meat eaters and protein intake</w:t>
            </w:r>
            <w:r>
              <w:rPr>
                <w:noProof/>
                <w:webHidden/>
              </w:rPr>
              <w:tab/>
            </w:r>
            <w:r>
              <w:rPr>
                <w:noProof/>
                <w:webHidden/>
              </w:rPr>
              <w:fldChar w:fldCharType="begin"/>
            </w:r>
            <w:r>
              <w:rPr>
                <w:noProof/>
                <w:webHidden/>
              </w:rPr>
              <w:instrText xml:space="preserve"> PAGEREF _Toc135384324 \h </w:instrText>
            </w:r>
            <w:r>
              <w:rPr>
                <w:noProof/>
                <w:webHidden/>
              </w:rPr>
            </w:r>
            <w:r>
              <w:rPr>
                <w:noProof/>
                <w:webHidden/>
              </w:rPr>
              <w:fldChar w:fldCharType="separate"/>
            </w:r>
            <w:r w:rsidR="003A67BA">
              <w:rPr>
                <w:noProof/>
                <w:webHidden/>
              </w:rPr>
              <w:t>112</w:t>
            </w:r>
            <w:r>
              <w:rPr>
                <w:noProof/>
                <w:webHidden/>
              </w:rPr>
              <w:fldChar w:fldCharType="end"/>
            </w:r>
          </w:hyperlink>
        </w:p>
        <w:p w14:paraId="107C2A51" w14:textId="041B25A7" w:rsidR="00DE64E0" w:rsidRDefault="00DE64E0">
          <w:pPr>
            <w:pStyle w:val="TOC3"/>
            <w:rPr>
              <w:rFonts w:eastAsiaTheme="minorEastAsia" w:cstheme="minorBidi"/>
              <w:noProof/>
              <w:kern w:val="2"/>
              <w:sz w:val="24"/>
              <w:szCs w:val="24"/>
              <w:lang w:eastAsia="en-GB"/>
              <w14:ligatures w14:val="standardContextual"/>
            </w:rPr>
          </w:pPr>
          <w:hyperlink w:anchor="_Toc135384325" w:history="1">
            <w:r w:rsidRPr="00EF528F">
              <w:rPr>
                <w:rStyle w:val="Hyperlink"/>
                <w:noProof/>
              </w:rPr>
              <w:t>4.4.5 Exploratory descriptive analysis.</w:t>
            </w:r>
            <w:r>
              <w:rPr>
                <w:noProof/>
                <w:webHidden/>
              </w:rPr>
              <w:tab/>
            </w:r>
            <w:r>
              <w:rPr>
                <w:noProof/>
                <w:webHidden/>
              </w:rPr>
              <w:fldChar w:fldCharType="begin"/>
            </w:r>
            <w:r>
              <w:rPr>
                <w:noProof/>
                <w:webHidden/>
              </w:rPr>
              <w:instrText xml:space="preserve"> PAGEREF _Toc135384325 \h </w:instrText>
            </w:r>
            <w:r>
              <w:rPr>
                <w:noProof/>
                <w:webHidden/>
              </w:rPr>
            </w:r>
            <w:r>
              <w:rPr>
                <w:noProof/>
                <w:webHidden/>
              </w:rPr>
              <w:fldChar w:fldCharType="separate"/>
            </w:r>
            <w:r w:rsidR="003A67BA">
              <w:rPr>
                <w:noProof/>
                <w:webHidden/>
              </w:rPr>
              <w:t>113</w:t>
            </w:r>
            <w:r>
              <w:rPr>
                <w:noProof/>
                <w:webHidden/>
              </w:rPr>
              <w:fldChar w:fldCharType="end"/>
            </w:r>
          </w:hyperlink>
        </w:p>
        <w:p w14:paraId="06700E57" w14:textId="2080241A" w:rsidR="00DE64E0" w:rsidRDefault="00DE64E0">
          <w:pPr>
            <w:pStyle w:val="TOC3"/>
            <w:rPr>
              <w:rFonts w:eastAsiaTheme="minorEastAsia" w:cstheme="minorBidi"/>
              <w:noProof/>
              <w:kern w:val="2"/>
              <w:sz w:val="24"/>
              <w:szCs w:val="24"/>
              <w:lang w:eastAsia="en-GB"/>
              <w14:ligatures w14:val="standardContextual"/>
            </w:rPr>
          </w:pPr>
          <w:hyperlink w:anchor="_Toc135384326" w:history="1">
            <w:r w:rsidRPr="00EF528F">
              <w:rPr>
                <w:rStyle w:val="Hyperlink"/>
                <w:noProof/>
              </w:rPr>
              <w:t>4.4.6 Strengths and limitations</w:t>
            </w:r>
            <w:r>
              <w:rPr>
                <w:noProof/>
                <w:webHidden/>
              </w:rPr>
              <w:tab/>
            </w:r>
            <w:r>
              <w:rPr>
                <w:noProof/>
                <w:webHidden/>
              </w:rPr>
              <w:fldChar w:fldCharType="begin"/>
            </w:r>
            <w:r>
              <w:rPr>
                <w:noProof/>
                <w:webHidden/>
              </w:rPr>
              <w:instrText xml:space="preserve"> PAGEREF _Toc135384326 \h </w:instrText>
            </w:r>
            <w:r>
              <w:rPr>
                <w:noProof/>
                <w:webHidden/>
              </w:rPr>
            </w:r>
            <w:r>
              <w:rPr>
                <w:noProof/>
                <w:webHidden/>
              </w:rPr>
              <w:fldChar w:fldCharType="separate"/>
            </w:r>
            <w:r w:rsidR="003A67BA">
              <w:rPr>
                <w:noProof/>
                <w:webHidden/>
              </w:rPr>
              <w:t>115</w:t>
            </w:r>
            <w:r>
              <w:rPr>
                <w:noProof/>
                <w:webHidden/>
              </w:rPr>
              <w:fldChar w:fldCharType="end"/>
            </w:r>
          </w:hyperlink>
        </w:p>
        <w:p w14:paraId="13E2D9D4" w14:textId="6EF5C844" w:rsidR="00DE64E0" w:rsidRDefault="00DE64E0">
          <w:pPr>
            <w:pStyle w:val="TOC3"/>
            <w:rPr>
              <w:rFonts w:eastAsiaTheme="minorEastAsia" w:cstheme="minorBidi"/>
              <w:noProof/>
              <w:kern w:val="2"/>
              <w:sz w:val="24"/>
              <w:szCs w:val="24"/>
              <w:lang w:eastAsia="en-GB"/>
              <w14:ligatures w14:val="standardContextual"/>
            </w:rPr>
          </w:pPr>
          <w:hyperlink w:anchor="_Toc135384327" w:history="1">
            <w:r w:rsidRPr="00EF528F">
              <w:rPr>
                <w:rStyle w:val="Hyperlink"/>
                <w:noProof/>
              </w:rPr>
              <w:t>4.4.7 Conclusion</w:t>
            </w:r>
            <w:r>
              <w:rPr>
                <w:noProof/>
                <w:webHidden/>
              </w:rPr>
              <w:tab/>
            </w:r>
            <w:r>
              <w:rPr>
                <w:noProof/>
                <w:webHidden/>
              </w:rPr>
              <w:fldChar w:fldCharType="begin"/>
            </w:r>
            <w:r>
              <w:rPr>
                <w:noProof/>
                <w:webHidden/>
              </w:rPr>
              <w:instrText xml:space="preserve"> PAGEREF _Toc135384327 \h </w:instrText>
            </w:r>
            <w:r>
              <w:rPr>
                <w:noProof/>
                <w:webHidden/>
              </w:rPr>
            </w:r>
            <w:r>
              <w:rPr>
                <w:noProof/>
                <w:webHidden/>
              </w:rPr>
              <w:fldChar w:fldCharType="separate"/>
            </w:r>
            <w:r w:rsidR="003A67BA">
              <w:rPr>
                <w:noProof/>
                <w:webHidden/>
              </w:rPr>
              <w:t>116</w:t>
            </w:r>
            <w:r>
              <w:rPr>
                <w:noProof/>
                <w:webHidden/>
              </w:rPr>
              <w:fldChar w:fldCharType="end"/>
            </w:r>
          </w:hyperlink>
        </w:p>
        <w:p w14:paraId="00CB52AA" w14:textId="6610DC33"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328" w:history="1">
            <w:r w:rsidRPr="00EF528F">
              <w:rPr>
                <w:rStyle w:val="Hyperlink"/>
                <w:noProof/>
              </w:rPr>
              <w:t>Chapter 5: Remote delivery of a resistance exercise and protein intervention to improve muscle parameters in 40-65 year-olds: a feasibility study. The REMEND trial.</w:t>
            </w:r>
            <w:r>
              <w:rPr>
                <w:noProof/>
                <w:webHidden/>
              </w:rPr>
              <w:tab/>
            </w:r>
            <w:r>
              <w:rPr>
                <w:noProof/>
                <w:webHidden/>
              </w:rPr>
              <w:fldChar w:fldCharType="begin"/>
            </w:r>
            <w:r>
              <w:rPr>
                <w:noProof/>
                <w:webHidden/>
              </w:rPr>
              <w:instrText xml:space="preserve"> PAGEREF _Toc135384328 \h </w:instrText>
            </w:r>
            <w:r>
              <w:rPr>
                <w:noProof/>
                <w:webHidden/>
              </w:rPr>
            </w:r>
            <w:r>
              <w:rPr>
                <w:noProof/>
                <w:webHidden/>
              </w:rPr>
              <w:fldChar w:fldCharType="separate"/>
            </w:r>
            <w:r w:rsidR="003A67BA">
              <w:rPr>
                <w:noProof/>
                <w:webHidden/>
              </w:rPr>
              <w:t>117</w:t>
            </w:r>
            <w:r>
              <w:rPr>
                <w:noProof/>
                <w:webHidden/>
              </w:rPr>
              <w:fldChar w:fldCharType="end"/>
            </w:r>
          </w:hyperlink>
        </w:p>
        <w:p w14:paraId="132F0386" w14:textId="2FDC8857" w:rsidR="00DE64E0" w:rsidRDefault="00DE64E0">
          <w:pPr>
            <w:pStyle w:val="TOC2"/>
            <w:rPr>
              <w:rFonts w:eastAsiaTheme="minorEastAsia" w:cstheme="minorBidi"/>
              <w:noProof/>
              <w:kern w:val="2"/>
              <w:sz w:val="24"/>
              <w:szCs w:val="24"/>
              <w:lang w:eastAsia="en-GB"/>
              <w14:ligatures w14:val="standardContextual"/>
            </w:rPr>
          </w:pPr>
          <w:hyperlink w:anchor="_Toc135384329" w:history="1">
            <w:r w:rsidRPr="00EF528F">
              <w:rPr>
                <w:rStyle w:val="Hyperlink"/>
                <w:b/>
                <w:bCs/>
                <w:noProof/>
              </w:rPr>
              <w:t>5.1 Introduction:</w:t>
            </w:r>
            <w:r>
              <w:rPr>
                <w:noProof/>
                <w:webHidden/>
              </w:rPr>
              <w:tab/>
            </w:r>
            <w:r>
              <w:rPr>
                <w:noProof/>
                <w:webHidden/>
              </w:rPr>
              <w:fldChar w:fldCharType="begin"/>
            </w:r>
            <w:r>
              <w:rPr>
                <w:noProof/>
                <w:webHidden/>
              </w:rPr>
              <w:instrText xml:space="preserve"> PAGEREF _Toc135384329 \h </w:instrText>
            </w:r>
            <w:r>
              <w:rPr>
                <w:noProof/>
                <w:webHidden/>
              </w:rPr>
            </w:r>
            <w:r>
              <w:rPr>
                <w:noProof/>
                <w:webHidden/>
              </w:rPr>
              <w:fldChar w:fldCharType="separate"/>
            </w:r>
            <w:r w:rsidR="003A67BA">
              <w:rPr>
                <w:noProof/>
                <w:webHidden/>
              </w:rPr>
              <w:t>117</w:t>
            </w:r>
            <w:r>
              <w:rPr>
                <w:noProof/>
                <w:webHidden/>
              </w:rPr>
              <w:fldChar w:fldCharType="end"/>
            </w:r>
          </w:hyperlink>
        </w:p>
        <w:p w14:paraId="0DA6F544" w14:textId="3A673617" w:rsidR="00DE64E0" w:rsidRDefault="00DE64E0">
          <w:pPr>
            <w:pStyle w:val="TOC3"/>
            <w:rPr>
              <w:rFonts w:eastAsiaTheme="minorEastAsia" w:cstheme="minorBidi"/>
              <w:noProof/>
              <w:kern w:val="2"/>
              <w:sz w:val="24"/>
              <w:szCs w:val="24"/>
              <w:lang w:eastAsia="en-GB"/>
              <w14:ligatures w14:val="standardContextual"/>
            </w:rPr>
          </w:pPr>
          <w:hyperlink w:anchor="_Toc135384330" w:history="1">
            <w:r w:rsidRPr="00EF528F">
              <w:rPr>
                <w:rStyle w:val="Hyperlink"/>
                <w:noProof/>
              </w:rPr>
              <w:t>5.1.1 Study rationale</w:t>
            </w:r>
            <w:r>
              <w:rPr>
                <w:noProof/>
                <w:webHidden/>
              </w:rPr>
              <w:tab/>
            </w:r>
            <w:r>
              <w:rPr>
                <w:noProof/>
                <w:webHidden/>
              </w:rPr>
              <w:fldChar w:fldCharType="begin"/>
            </w:r>
            <w:r>
              <w:rPr>
                <w:noProof/>
                <w:webHidden/>
              </w:rPr>
              <w:instrText xml:space="preserve"> PAGEREF _Toc135384330 \h </w:instrText>
            </w:r>
            <w:r>
              <w:rPr>
                <w:noProof/>
                <w:webHidden/>
              </w:rPr>
            </w:r>
            <w:r>
              <w:rPr>
                <w:noProof/>
                <w:webHidden/>
              </w:rPr>
              <w:fldChar w:fldCharType="separate"/>
            </w:r>
            <w:r w:rsidR="003A67BA">
              <w:rPr>
                <w:noProof/>
                <w:webHidden/>
              </w:rPr>
              <w:t>117</w:t>
            </w:r>
            <w:r>
              <w:rPr>
                <w:noProof/>
                <w:webHidden/>
              </w:rPr>
              <w:fldChar w:fldCharType="end"/>
            </w:r>
          </w:hyperlink>
        </w:p>
        <w:p w14:paraId="591BD88D" w14:textId="2492EAF2" w:rsidR="00DE64E0" w:rsidRDefault="00DE64E0">
          <w:pPr>
            <w:pStyle w:val="TOC3"/>
            <w:rPr>
              <w:rFonts w:eastAsiaTheme="minorEastAsia" w:cstheme="minorBidi"/>
              <w:noProof/>
              <w:kern w:val="2"/>
              <w:sz w:val="24"/>
              <w:szCs w:val="24"/>
              <w:lang w:eastAsia="en-GB"/>
              <w14:ligatures w14:val="standardContextual"/>
            </w:rPr>
          </w:pPr>
          <w:hyperlink w:anchor="_Toc135384331" w:history="1">
            <w:r w:rsidRPr="00EF528F">
              <w:rPr>
                <w:rStyle w:val="Hyperlink"/>
                <w:noProof/>
              </w:rPr>
              <w:t>5.1.2 Feasibility study definitions and guidelines</w:t>
            </w:r>
            <w:r>
              <w:rPr>
                <w:noProof/>
                <w:webHidden/>
              </w:rPr>
              <w:tab/>
            </w:r>
            <w:r>
              <w:rPr>
                <w:noProof/>
                <w:webHidden/>
              </w:rPr>
              <w:fldChar w:fldCharType="begin"/>
            </w:r>
            <w:r>
              <w:rPr>
                <w:noProof/>
                <w:webHidden/>
              </w:rPr>
              <w:instrText xml:space="preserve"> PAGEREF _Toc135384331 \h </w:instrText>
            </w:r>
            <w:r>
              <w:rPr>
                <w:noProof/>
                <w:webHidden/>
              </w:rPr>
            </w:r>
            <w:r>
              <w:rPr>
                <w:noProof/>
                <w:webHidden/>
              </w:rPr>
              <w:fldChar w:fldCharType="separate"/>
            </w:r>
            <w:r w:rsidR="003A67BA">
              <w:rPr>
                <w:noProof/>
                <w:webHidden/>
              </w:rPr>
              <w:t>118</w:t>
            </w:r>
            <w:r>
              <w:rPr>
                <w:noProof/>
                <w:webHidden/>
              </w:rPr>
              <w:fldChar w:fldCharType="end"/>
            </w:r>
          </w:hyperlink>
        </w:p>
        <w:p w14:paraId="1C4F8D2D" w14:textId="334C108B" w:rsidR="00DE64E0" w:rsidRDefault="00DE64E0">
          <w:pPr>
            <w:pStyle w:val="TOC3"/>
            <w:rPr>
              <w:rFonts w:eastAsiaTheme="minorEastAsia" w:cstheme="minorBidi"/>
              <w:noProof/>
              <w:kern w:val="2"/>
              <w:sz w:val="24"/>
              <w:szCs w:val="24"/>
              <w:lang w:eastAsia="en-GB"/>
              <w14:ligatures w14:val="standardContextual"/>
            </w:rPr>
          </w:pPr>
          <w:hyperlink w:anchor="_Toc135384332" w:history="1">
            <w:r w:rsidRPr="00EF528F">
              <w:rPr>
                <w:rStyle w:val="Hyperlink"/>
                <w:noProof/>
              </w:rPr>
              <w:t>5.1.3 Primary ai</w:t>
            </w:r>
            <w:r w:rsidR="00A657DA">
              <w:rPr>
                <w:rStyle w:val="Hyperlink"/>
                <w:noProof/>
              </w:rPr>
              <w:t>m</w:t>
            </w:r>
            <w:r>
              <w:rPr>
                <w:noProof/>
                <w:webHidden/>
              </w:rPr>
              <w:tab/>
            </w:r>
            <w:r>
              <w:rPr>
                <w:noProof/>
                <w:webHidden/>
              </w:rPr>
              <w:fldChar w:fldCharType="begin"/>
            </w:r>
            <w:r>
              <w:rPr>
                <w:noProof/>
                <w:webHidden/>
              </w:rPr>
              <w:instrText xml:space="preserve"> PAGEREF _Toc135384332 \h </w:instrText>
            </w:r>
            <w:r>
              <w:rPr>
                <w:noProof/>
                <w:webHidden/>
              </w:rPr>
            </w:r>
            <w:r>
              <w:rPr>
                <w:noProof/>
                <w:webHidden/>
              </w:rPr>
              <w:fldChar w:fldCharType="separate"/>
            </w:r>
            <w:r w:rsidR="003A67BA">
              <w:rPr>
                <w:noProof/>
                <w:webHidden/>
              </w:rPr>
              <w:t>119</w:t>
            </w:r>
            <w:r>
              <w:rPr>
                <w:noProof/>
                <w:webHidden/>
              </w:rPr>
              <w:fldChar w:fldCharType="end"/>
            </w:r>
          </w:hyperlink>
        </w:p>
        <w:p w14:paraId="32E7C161" w14:textId="08237B0B" w:rsidR="00DE64E0" w:rsidRDefault="00DE64E0">
          <w:pPr>
            <w:pStyle w:val="TOC3"/>
            <w:rPr>
              <w:rFonts w:eastAsiaTheme="minorEastAsia" w:cstheme="minorBidi"/>
              <w:noProof/>
              <w:kern w:val="2"/>
              <w:sz w:val="24"/>
              <w:szCs w:val="24"/>
              <w:lang w:eastAsia="en-GB"/>
              <w14:ligatures w14:val="standardContextual"/>
            </w:rPr>
          </w:pPr>
          <w:hyperlink w:anchor="_Toc135384333" w:history="1">
            <w:r w:rsidRPr="00EF528F">
              <w:rPr>
                <w:rStyle w:val="Hyperlink"/>
                <w:noProof/>
              </w:rPr>
              <w:t>5.1.4 Secondary aims.</w:t>
            </w:r>
            <w:r>
              <w:rPr>
                <w:noProof/>
                <w:webHidden/>
              </w:rPr>
              <w:tab/>
            </w:r>
            <w:r>
              <w:rPr>
                <w:noProof/>
                <w:webHidden/>
              </w:rPr>
              <w:fldChar w:fldCharType="begin"/>
            </w:r>
            <w:r>
              <w:rPr>
                <w:noProof/>
                <w:webHidden/>
              </w:rPr>
              <w:instrText xml:space="preserve"> PAGEREF _Toc135384333 \h </w:instrText>
            </w:r>
            <w:r>
              <w:rPr>
                <w:noProof/>
                <w:webHidden/>
              </w:rPr>
            </w:r>
            <w:r>
              <w:rPr>
                <w:noProof/>
                <w:webHidden/>
              </w:rPr>
              <w:fldChar w:fldCharType="separate"/>
            </w:r>
            <w:r w:rsidR="003A67BA">
              <w:rPr>
                <w:noProof/>
                <w:webHidden/>
              </w:rPr>
              <w:t>119</w:t>
            </w:r>
            <w:r>
              <w:rPr>
                <w:noProof/>
                <w:webHidden/>
              </w:rPr>
              <w:fldChar w:fldCharType="end"/>
            </w:r>
          </w:hyperlink>
        </w:p>
        <w:p w14:paraId="7FF26B65" w14:textId="5434009A" w:rsidR="00DE64E0" w:rsidRDefault="00DE64E0">
          <w:pPr>
            <w:pStyle w:val="TOC3"/>
            <w:rPr>
              <w:rFonts w:eastAsiaTheme="minorEastAsia" w:cstheme="minorBidi"/>
              <w:noProof/>
              <w:kern w:val="2"/>
              <w:sz w:val="24"/>
              <w:szCs w:val="24"/>
              <w:lang w:eastAsia="en-GB"/>
              <w14:ligatures w14:val="standardContextual"/>
            </w:rPr>
          </w:pPr>
          <w:hyperlink w:anchor="_Toc135384334" w:history="1">
            <w:r w:rsidRPr="00EF528F">
              <w:rPr>
                <w:rStyle w:val="Hyperlink"/>
                <w:noProof/>
              </w:rPr>
              <w:t>5.1.5 Objectives:</w:t>
            </w:r>
            <w:r>
              <w:rPr>
                <w:noProof/>
                <w:webHidden/>
              </w:rPr>
              <w:tab/>
            </w:r>
            <w:r>
              <w:rPr>
                <w:noProof/>
                <w:webHidden/>
              </w:rPr>
              <w:fldChar w:fldCharType="begin"/>
            </w:r>
            <w:r>
              <w:rPr>
                <w:noProof/>
                <w:webHidden/>
              </w:rPr>
              <w:instrText xml:space="preserve"> PAGEREF _Toc135384334 \h </w:instrText>
            </w:r>
            <w:r>
              <w:rPr>
                <w:noProof/>
                <w:webHidden/>
              </w:rPr>
            </w:r>
            <w:r>
              <w:rPr>
                <w:noProof/>
                <w:webHidden/>
              </w:rPr>
              <w:fldChar w:fldCharType="separate"/>
            </w:r>
            <w:r w:rsidR="003A67BA">
              <w:rPr>
                <w:noProof/>
                <w:webHidden/>
              </w:rPr>
              <w:t>119</w:t>
            </w:r>
            <w:r>
              <w:rPr>
                <w:noProof/>
                <w:webHidden/>
              </w:rPr>
              <w:fldChar w:fldCharType="end"/>
            </w:r>
          </w:hyperlink>
        </w:p>
        <w:p w14:paraId="120EF4A2" w14:textId="6A080935" w:rsidR="00DE64E0" w:rsidRDefault="00DE64E0">
          <w:pPr>
            <w:pStyle w:val="TOC2"/>
            <w:rPr>
              <w:rFonts w:eastAsiaTheme="minorEastAsia" w:cstheme="minorBidi"/>
              <w:noProof/>
              <w:kern w:val="2"/>
              <w:sz w:val="24"/>
              <w:szCs w:val="24"/>
              <w:lang w:eastAsia="en-GB"/>
              <w14:ligatures w14:val="standardContextual"/>
            </w:rPr>
          </w:pPr>
          <w:hyperlink w:anchor="_Toc135384335" w:history="1">
            <w:r w:rsidRPr="00EF528F">
              <w:rPr>
                <w:rStyle w:val="Hyperlink"/>
                <w:rFonts w:eastAsia="Times New Roman"/>
                <w:noProof/>
                <w:lang w:eastAsia="en-GB"/>
              </w:rPr>
              <w:t>5.2 Methods</w:t>
            </w:r>
            <w:r>
              <w:rPr>
                <w:noProof/>
                <w:webHidden/>
              </w:rPr>
              <w:tab/>
            </w:r>
            <w:r>
              <w:rPr>
                <w:noProof/>
                <w:webHidden/>
              </w:rPr>
              <w:fldChar w:fldCharType="begin"/>
            </w:r>
            <w:r>
              <w:rPr>
                <w:noProof/>
                <w:webHidden/>
              </w:rPr>
              <w:instrText xml:space="preserve"> PAGEREF _Toc135384335 \h </w:instrText>
            </w:r>
            <w:r>
              <w:rPr>
                <w:noProof/>
                <w:webHidden/>
              </w:rPr>
            </w:r>
            <w:r>
              <w:rPr>
                <w:noProof/>
                <w:webHidden/>
              </w:rPr>
              <w:fldChar w:fldCharType="separate"/>
            </w:r>
            <w:r w:rsidR="003A67BA">
              <w:rPr>
                <w:noProof/>
                <w:webHidden/>
              </w:rPr>
              <w:t>120</w:t>
            </w:r>
            <w:r>
              <w:rPr>
                <w:noProof/>
                <w:webHidden/>
              </w:rPr>
              <w:fldChar w:fldCharType="end"/>
            </w:r>
          </w:hyperlink>
        </w:p>
        <w:p w14:paraId="62CBB6E7" w14:textId="51561A5B" w:rsidR="00DE64E0" w:rsidRDefault="00DE64E0" w:rsidP="00104343">
          <w:pPr>
            <w:pStyle w:val="TOC3"/>
            <w:rPr>
              <w:rFonts w:eastAsiaTheme="minorEastAsia" w:cstheme="minorBidi"/>
              <w:noProof/>
              <w:kern w:val="2"/>
              <w:sz w:val="24"/>
              <w:szCs w:val="24"/>
              <w:lang w:eastAsia="en-GB"/>
              <w14:ligatures w14:val="standardContextual"/>
            </w:rPr>
          </w:pPr>
          <w:hyperlink w:anchor="_Toc135384336" w:history="1">
            <w:r w:rsidRPr="00EF528F">
              <w:rPr>
                <w:rStyle w:val="Hyperlink"/>
                <w:rFonts w:eastAsia="Times New Roman"/>
                <w:noProof/>
              </w:rPr>
              <w:t>5.2.1 Ethics and Consent</w:t>
            </w:r>
            <w:r>
              <w:rPr>
                <w:noProof/>
                <w:webHidden/>
              </w:rPr>
              <w:tab/>
            </w:r>
            <w:r>
              <w:rPr>
                <w:noProof/>
                <w:webHidden/>
              </w:rPr>
              <w:fldChar w:fldCharType="begin"/>
            </w:r>
            <w:r>
              <w:rPr>
                <w:noProof/>
                <w:webHidden/>
              </w:rPr>
              <w:instrText xml:space="preserve"> PAGEREF _Toc135384336 \h </w:instrText>
            </w:r>
            <w:r>
              <w:rPr>
                <w:noProof/>
                <w:webHidden/>
              </w:rPr>
            </w:r>
            <w:r>
              <w:rPr>
                <w:noProof/>
                <w:webHidden/>
              </w:rPr>
              <w:fldChar w:fldCharType="separate"/>
            </w:r>
            <w:r w:rsidR="003A67BA">
              <w:rPr>
                <w:noProof/>
                <w:webHidden/>
              </w:rPr>
              <w:t>120</w:t>
            </w:r>
            <w:r>
              <w:rPr>
                <w:noProof/>
                <w:webHidden/>
              </w:rPr>
              <w:fldChar w:fldCharType="end"/>
            </w:r>
          </w:hyperlink>
        </w:p>
        <w:p w14:paraId="00DBB5C1" w14:textId="6F3E08AC" w:rsidR="00DE64E0" w:rsidRDefault="00DE64E0" w:rsidP="00104343">
          <w:pPr>
            <w:pStyle w:val="TOC3"/>
            <w:rPr>
              <w:rFonts w:eastAsiaTheme="minorEastAsia" w:cstheme="minorBidi"/>
              <w:noProof/>
              <w:kern w:val="2"/>
              <w:sz w:val="24"/>
              <w:szCs w:val="24"/>
              <w:lang w:eastAsia="en-GB"/>
              <w14:ligatures w14:val="standardContextual"/>
            </w:rPr>
          </w:pPr>
          <w:hyperlink w:anchor="_Toc135384338" w:history="1">
            <w:r w:rsidRPr="00EF528F">
              <w:rPr>
                <w:rStyle w:val="Hyperlink"/>
                <w:rFonts w:eastAsia="Times New Roman"/>
                <w:noProof/>
              </w:rPr>
              <w:t>5.2.2 Study recruitment</w:t>
            </w:r>
            <w:r>
              <w:rPr>
                <w:noProof/>
                <w:webHidden/>
              </w:rPr>
              <w:tab/>
            </w:r>
            <w:r>
              <w:rPr>
                <w:noProof/>
                <w:webHidden/>
              </w:rPr>
              <w:fldChar w:fldCharType="begin"/>
            </w:r>
            <w:r>
              <w:rPr>
                <w:noProof/>
                <w:webHidden/>
              </w:rPr>
              <w:instrText xml:space="preserve"> PAGEREF _Toc135384338 \h </w:instrText>
            </w:r>
            <w:r>
              <w:rPr>
                <w:noProof/>
                <w:webHidden/>
              </w:rPr>
            </w:r>
            <w:r>
              <w:rPr>
                <w:noProof/>
                <w:webHidden/>
              </w:rPr>
              <w:fldChar w:fldCharType="separate"/>
            </w:r>
            <w:r w:rsidR="003A67BA">
              <w:rPr>
                <w:noProof/>
                <w:webHidden/>
              </w:rPr>
              <w:t>120</w:t>
            </w:r>
            <w:r>
              <w:rPr>
                <w:noProof/>
                <w:webHidden/>
              </w:rPr>
              <w:fldChar w:fldCharType="end"/>
            </w:r>
          </w:hyperlink>
        </w:p>
        <w:p w14:paraId="07D84E4F" w14:textId="39DF92BD" w:rsidR="00DE64E0" w:rsidRDefault="00DE64E0" w:rsidP="00104343">
          <w:pPr>
            <w:pStyle w:val="TOC3"/>
            <w:rPr>
              <w:rFonts w:eastAsiaTheme="minorEastAsia" w:cstheme="minorBidi"/>
              <w:noProof/>
              <w:kern w:val="2"/>
              <w:sz w:val="24"/>
              <w:szCs w:val="24"/>
              <w:lang w:eastAsia="en-GB"/>
              <w14:ligatures w14:val="standardContextual"/>
            </w:rPr>
          </w:pPr>
          <w:hyperlink w:anchor="_Toc135384340" w:history="1">
            <w:r w:rsidRPr="00EF528F">
              <w:rPr>
                <w:rStyle w:val="Hyperlink"/>
                <w:rFonts w:eastAsia="Times New Roman"/>
                <w:noProof/>
              </w:rPr>
              <w:t xml:space="preserve">5.2.3 </w:t>
            </w:r>
            <w:r w:rsidRPr="00EF528F">
              <w:rPr>
                <w:rStyle w:val="Hyperlink"/>
                <w:noProof/>
              </w:rPr>
              <w:t>Designing the resistance training programme</w:t>
            </w:r>
            <w:r>
              <w:rPr>
                <w:noProof/>
                <w:webHidden/>
              </w:rPr>
              <w:tab/>
            </w:r>
            <w:r>
              <w:rPr>
                <w:noProof/>
                <w:webHidden/>
              </w:rPr>
              <w:fldChar w:fldCharType="begin"/>
            </w:r>
            <w:r>
              <w:rPr>
                <w:noProof/>
                <w:webHidden/>
              </w:rPr>
              <w:instrText xml:space="preserve"> PAGEREF _Toc135384340 \h </w:instrText>
            </w:r>
            <w:r>
              <w:rPr>
                <w:noProof/>
                <w:webHidden/>
              </w:rPr>
            </w:r>
            <w:r>
              <w:rPr>
                <w:noProof/>
                <w:webHidden/>
              </w:rPr>
              <w:fldChar w:fldCharType="separate"/>
            </w:r>
            <w:r w:rsidR="003A67BA">
              <w:rPr>
                <w:noProof/>
                <w:webHidden/>
              </w:rPr>
              <w:t>121</w:t>
            </w:r>
            <w:r>
              <w:rPr>
                <w:noProof/>
                <w:webHidden/>
              </w:rPr>
              <w:fldChar w:fldCharType="end"/>
            </w:r>
          </w:hyperlink>
        </w:p>
        <w:p w14:paraId="2693FC9D" w14:textId="510D37FF" w:rsidR="00DE64E0" w:rsidRDefault="00DE64E0" w:rsidP="00104343">
          <w:pPr>
            <w:pStyle w:val="TOC3"/>
            <w:rPr>
              <w:rFonts w:eastAsiaTheme="minorEastAsia" w:cstheme="minorBidi"/>
              <w:noProof/>
              <w:kern w:val="2"/>
              <w:sz w:val="24"/>
              <w:szCs w:val="24"/>
              <w:lang w:eastAsia="en-GB"/>
              <w14:ligatures w14:val="standardContextual"/>
            </w:rPr>
          </w:pPr>
          <w:hyperlink w:anchor="_Toc135384342" w:history="1">
            <w:r w:rsidRPr="00EF528F">
              <w:rPr>
                <w:rStyle w:val="Hyperlink"/>
                <w:rFonts w:eastAsia="Times New Roman"/>
                <w:noProof/>
              </w:rPr>
              <w:t>5.2.4 Final Study Design</w:t>
            </w:r>
            <w:r>
              <w:rPr>
                <w:noProof/>
                <w:webHidden/>
              </w:rPr>
              <w:tab/>
            </w:r>
            <w:r>
              <w:rPr>
                <w:noProof/>
                <w:webHidden/>
              </w:rPr>
              <w:fldChar w:fldCharType="begin"/>
            </w:r>
            <w:r>
              <w:rPr>
                <w:noProof/>
                <w:webHidden/>
              </w:rPr>
              <w:instrText xml:space="preserve"> PAGEREF _Toc135384342 \h </w:instrText>
            </w:r>
            <w:r>
              <w:rPr>
                <w:noProof/>
                <w:webHidden/>
              </w:rPr>
            </w:r>
            <w:r>
              <w:rPr>
                <w:noProof/>
                <w:webHidden/>
              </w:rPr>
              <w:fldChar w:fldCharType="separate"/>
            </w:r>
            <w:r w:rsidR="003A67BA">
              <w:rPr>
                <w:noProof/>
                <w:webHidden/>
              </w:rPr>
              <w:t>124</w:t>
            </w:r>
            <w:r>
              <w:rPr>
                <w:noProof/>
                <w:webHidden/>
              </w:rPr>
              <w:fldChar w:fldCharType="end"/>
            </w:r>
          </w:hyperlink>
        </w:p>
        <w:p w14:paraId="6B232328" w14:textId="032A1B97" w:rsidR="00DE64E0" w:rsidRDefault="00DE64E0" w:rsidP="00104343">
          <w:pPr>
            <w:pStyle w:val="TOC3"/>
            <w:rPr>
              <w:rFonts w:eastAsiaTheme="minorEastAsia" w:cstheme="minorBidi"/>
              <w:noProof/>
              <w:kern w:val="2"/>
              <w:sz w:val="24"/>
              <w:szCs w:val="24"/>
              <w:lang w:eastAsia="en-GB"/>
              <w14:ligatures w14:val="standardContextual"/>
            </w:rPr>
          </w:pPr>
          <w:hyperlink w:anchor="_Toc135384344" w:history="1">
            <w:r w:rsidRPr="00EF528F">
              <w:rPr>
                <w:rStyle w:val="Hyperlink"/>
                <w:rFonts w:eastAsia="Times New Roman"/>
                <w:noProof/>
              </w:rPr>
              <w:t>5.2.5 Study interventions</w:t>
            </w:r>
            <w:r>
              <w:rPr>
                <w:noProof/>
                <w:webHidden/>
              </w:rPr>
              <w:tab/>
            </w:r>
            <w:r>
              <w:rPr>
                <w:noProof/>
                <w:webHidden/>
              </w:rPr>
              <w:fldChar w:fldCharType="begin"/>
            </w:r>
            <w:r>
              <w:rPr>
                <w:noProof/>
                <w:webHidden/>
              </w:rPr>
              <w:instrText xml:space="preserve"> PAGEREF _Toc135384344 \h </w:instrText>
            </w:r>
            <w:r>
              <w:rPr>
                <w:noProof/>
                <w:webHidden/>
              </w:rPr>
            </w:r>
            <w:r>
              <w:rPr>
                <w:noProof/>
                <w:webHidden/>
              </w:rPr>
              <w:fldChar w:fldCharType="separate"/>
            </w:r>
            <w:r w:rsidR="003A67BA">
              <w:rPr>
                <w:noProof/>
                <w:webHidden/>
              </w:rPr>
              <w:t>125</w:t>
            </w:r>
            <w:r>
              <w:rPr>
                <w:noProof/>
                <w:webHidden/>
              </w:rPr>
              <w:fldChar w:fldCharType="end"/>
            </w:r>
          </w:hyperlink>
        </w:p>
        <w:p w14:paraId="3E0896C0" w14:textId="01711D31" w:rsidR="00DE64E0" w:rsidRDefault="00DE64E0" w:rsidP="00104343">
          <w:pPr>
            <w:pStyle w:val="TOC3"/>
            <w:rPr>
              <w:rFonts w:eastAsiaTheme="minorEastAsia" w:cstheme="minorBidi"/>
              <w:noProof/>
              <w:kern w:val="2"/>
              <w:sz w:val="24"/>
              <w:szCs w:val="24"/>
              <w:lang w:eastAsia="en-GB"/>
              <w14:ligatures w14:val="standardContextual"/>
            </w:rPr>
          </w:pPr>
          <w:hyperlink w:anchor="_Toc135384345" w:history="1">
            <w:r w:rsidRPr="00EF528F">
              <w:rPr>
                <w:rStyle w:val="Hyperlink"/>
                <w:rFonts w:eastAsia="Times New Roman"/>
                <w:noProof/>
              </w:rPr>
              <w:t>5.2.5.1 Exercise intervention</w:t>
            </w:r>
            <w:r>
              <w:rPr>
                <w:noProof/>
                <w:webHidden/>
              </w:rPr>
              <w:tab/>
            </w:r>
            <w:r>
              <w:rPr>
                <w:noProof/>
                <w:webHidden/>
              </w:rPr>
              <w:fldChar w:fldCharType="begin"/>
            </w:r>
            <w:r>
              <w:rPr>
                <w:noProof/>
                <w:webHidden/>
              </w:rPr>
              <w:instrText xml:space="preserve"> PAGEREF _Toc135384345 \h </w:instrText>
            </w:r>
            <w:r>
              <w:rPr>
                <w:noProof/>
                <w:webHidden/>
              </w:rPr>
            </w:r>
            <w:r>
              <w:rPr>
                <w:noProof/>
                <w:webHidden/>
              </w:rPr>
              <w:fldChar w:fldCharType="separate"/>
            </w:r>
            <w:r w:rsidR="003A67BA">
              <w:rPr>
                <w:noProof/>
                <w:webHidden/>
              </w:rPr>
              <w:t>125</w:t>
            </w:r>
            <w:r>
              <w:rPr>
                <w:noProof/>
                <w:webHidden/>
              </w:rPr>
              <w:fldChar w:fldCharType="end"/>
            </w:r>
          </w:hyperlink>
        </w:p>
        <w:p w14:paraId="1D606FA2" w14:textId="6B799028" w:rsidR="00DE64E0" w:rsidRDefault="00DE64E0" w:rsidP="00104343">
          <w:pPr>
            <w:pStyle w:val="TOC3"/>
            <w:rPr>
              <w:rFonts w:eastAsiaTheme="minorEastAsia" w:cstheme="minorBidi"/>
              <w:noProof/>
              <w:kern w:val="2"/>
              <w:sz w:val="24"/>
              <w:szCs w:val="24"/>
              <w:lang w:eastAsia="en-GB"/>
              <w14:ligatures w14:val="standardContextual"/>
            </w:rPr>
          </w:pPr>
          <w:hyperlink w:anchor="_Toc135384347" w:history="1">
            <w:r w:rsidRPr="00EF528F">
              <w:rPr>
                <w:rStyle w:val="Hyperlink"/>
                <w:rFonts w:eastAsia="Times New Roman"/>
                <w:noProof/>
              </w:rPr>
              <w:t>5.2.6 Study Measures</w:t>
            </w:r>
            <w:r>
              <w:rPr>
                <w:noProof/>
                <w:webHidden/>
              </w:rPr>
              <w:tab/>
            </w:r>
            <w:r>
              <w:rPr>
                <w:noProof/>
                <w:webHidden/>
              </w:rPr>
              <w:fldChar w:fldCharType="begin"/>
            </w:r>
            <w:r>
              <w:rPr>
                <w:noProof/>
                <w:webHidden/>
              </w:rPr>
              <w:instrText xml:space="preserve"> PAGEREF _Toc135384347 \h </w:instrText>
            </w:r>
            <w:r>
              <w:rPr>
                <w:noProof/>
                <w:webHidden/>
              </w:rPr>
            </w:r>
            <w:r>
              <w:rPr>
                <w:noProof/>
                <w:webHidden/>
              </w:rPr>
              <w:fldChar w:fldCharType="separate"/>
            </w:r>
            <w:r w:rsidR="003A67BA">
              <w:rPr>
                <w:noProof/>
                <w:webHidden/>
              </w:rPr>
              <w:t>127</w:t>
            </w:r>
            <w:r>
              <w:rPr>
                <w:noProof/>
                <w:webHidden/>
              </w:rPr>
              <w:fldChar w:fldCharType="end"/>
            </w:r>
          </w:hyperlink>
        </w:p>
        <w:p w14:paraId="17A75160" w14:textId="319C3793" w:rsidR="00DE64E0" w:rsidRDefault="00DE64E0" w:rsidP="00104343">
          <w:pPr>
            <w:pStyle w:val="TOC3"/>
            <w:rPr>
              <w:rFonts w:eastAsiaTheme="minorEastAsia" w:cstheme="minorBidi"/>
              <w:noProof/>
              <w:kern w:val="2"/>
              <w:sz w:val="24"/>
              <w:szCs w:val="24"/>
              <w:lang w:eastAsia="en-GB"/>
              <w14:ligatures w14:val="standardContextual"/>
            </w:rPr>
          </w:pPr>
          <w:hyperlink w:anchor="_Toc135384348" w:history="1">
            <w:r w:rsidRPr="00EF528F">
              <w:rPr>
                <w:rStyle w:val="Hyperlink"/>
                <w:rFonts w:eastAsia="Times New Roman"/>
                <w:noProof/>
              </w:rPr>
              <w:t>5.2.6.1 Feasibility measurements</w:t>
            </w:r>
            <w:r>
              <w:rPr>
                <w:noProof/>
                <w:webHidden/>
              </w:rPr>
              <w:tab/>
            </w:r>
            <w:r>
              <w:rPr>
                <w:noProof/>
                <w:webHidden/>
              </w:rPr>
              <w:fldChar w:fldCharType="begin"/>
            </w:r>
            <w:r>
              <w:rPr>
                <w:noProof/>
                <w:webHidden/>
              </w:rPr>
              <w:instrText xml:space="preserve"> PAGEREF _Toc135384348 \h </w:instrText>
            </w:r>
            <w:r>
              <w:rPr>
                <w:noProof/>
                <w:webHidden/>
              </w:rPr>
            </w:r>
            <w:r>
              <w:rPr>
                <w:noProof/>
                <w:webHidden/>
              </w:rPr>
              <w:fldChar w:fldCharType="separate"/>
            </w:r>
            <w:r w:rsidR="003A67BA">
              <w:rPr>
                <w:noProof/>
                <w:webHidden/>
              </w:rPr>
              <w:t>127</w:t>
            </w:r>
            <w:r>
              <w:rPr>
                <w:noProof/>
                <w:webHidden/>
              </w:rPr>
              <w:fldChar w:fldCharType="end"/>
            </w:r>
          </w:hyperlink>
        </w:p>
        <w:p w14:paraId="5F304930" w14:textId="510CE289" w:rsidR="00DE64E0" w:rsidRDefault="00DE64E0" w:rsidP="00104343">
          <w:pPr>
            <w:pStyle w:val="TOC3"/>
            <w:rPr>
              <w:rFonts w:eastAsiaTheme="minorEastAsia" w:cstheme="minorBidi"/>
              <w:noProof/>
              <w:kern w:val="2"/>
              <w:sz w:val="24"/>
              <w:szCs w:val="24"/>
              <w:lang w:eastAsia="en-GB"/>
              <w14:ligatures w14:val="standardContextual"/>
            </w:rPr>
          </w:pPr>
          <w:hyperlink w:anchor="_Toc135384351" w:history="1">
            <w:r w:rsidRPr="00EF528F">
              <w:rPr>
                <w:rStyle w:val="Hyperlink"/>
                <w:rFonts w:eastAsia="Times New Roman"/>
                <w:noProof/>
              </w:rPr>
              <w:t>5.2.6.2 Semi-structured interviews</w:t>
            </w:r>
            <w:r>
              <w:rPr>
                <w:noProof/>
                <w:webHidden/>
              </w:rPr>
              <w:tab/>
            </w:r>
            <w:r>
              <w:rPr>
                <w:noProof/>
                <w:webHidden/>
              </w:rPr>
              <w:fldChar w:fldCharType="begin"/>
            </w:r>
            <w:r>
              <w:rPr>
                <w:noProof/>
                <w:webHidden/>
              </w:rPr>
              <w:instrText xml:space="preserve"> PAGEREF _Toc135384351 \h </w:instrText>
            </w:r>
            <w:r>
              <w:rPr>
                <w:noProof/>
                <w:webHidden/>
              </w:rPr>
            </w:r>
            <w:r>
              <w:rPr>
                <w:noProof/>
                <w:webHidden/>
              </w:rPr>
              <w:fldChar w:fldCharType="separate"/>
            </w:r>
            <w:r w:rsidR="003A67BA">
              <w:rPr>
                <w:noProof/>
                <w:webHidden/>
              </w:rPr>
              <w:t>127</w:t>
            </w:r>
            <w:r>
              <w:rPr>
                <w:noProof/>
                <w:webHidden/>
              </w:rPr>
              <w:fldChar w:fldCharType="end"/>
            </w:r>
          </w:hyperlink>
        </w:p>
        <w:p w14:paraId="5A74AA33" w14:textId="765B7D54" w:rsidR="00DE64E0" w:rsidRDefault="00DE64E0" w:rsidP="00104343">
          <w:pPr>
            <w:pStyle w:val="TOC3"/>
            <w:rPr>
              <w:rFonts w:eastAsiaTheme="minorEastAsia" w:cstheme="minorBidi"/>
              <w:noProof/>
              <w:kern w:val="2"/>
              <w:sz w:val="24"/>
              <w:szCs w:val="24"/>
              <w:lang w:eastAsia="en-GB"/>
              <w14:ligatures w14:val="standardContextual"/>
            </w:rPr>
          </w:pPr>
          <w:hyperlink w:anchor="_Toc135384352" w:history="1">
            <w:r w:rsidRPr="00EF528F">
              <w:rPr>
                <w:rStyle w:val="Hyperlink"/>
                <w:rFonts w:eastAsia="Times New Roman"/>
                <w:noProof/>
              </w:rPr>
              <w:t>5.2.6.3 Two-month follow-up</w:t>
            </w:r>
            <w:r>
              <w:rPr>
                <w:noProof/>
                <w:webHidden/>
              </w:rPr>
              <w:tab/>
            </w:r>
            <w:r>
              <w:rPr>
                <w:noProof/>
                <w:webHidden/>
              </w:rPr>
              <w:fldChar w:fldCharType="begin"/>
            </w:r>
            <w:r>
              <w:rPr>
                <w:noProof/>
                <w:webHidden/>
              </w:rPr>
              <w:instrText xml:space="preserve"> PAGEREF _Toc135384352 \h </w:instrText>
            </w:r>
            <w:r>
              <w:rPr>
                <w:noProof/>
                <w:webHidden/>
              </w:rPr>
            </w:r>
            <w:r>
              <w:rPr>
                <w:noProof/>
                <w:webHidden/>
              </w:rPr>
              <w:fldChar w:fldCharType="separate"/>
            </w:r>
            <w:r w:rsidR="003A67BA">
              <w:rPr>
                <w:noProof/>
                <w:webHidden/>
              </w:rPr>
              <w:t>128</w:t>
            </w:r>
            <w:r>
              <w:rPr>
                <w:noProof/>
                <w:webHidden/>
              </w:rPr>
              <w:fldChar w:fldCharType="end"/>
            </w:r>
          </w:hyperlink>
        </w:p>
        <w:p w14:paraId="48B258B8" w14:textId="2EE3FE5F" w:rsidR="00DE64E0" w:rsidRDefault="00DE64E0" w:rsidP="00104343">
          <w:pPr>
            <w:pStyle w:val="TOC3"/>
            <w:rPr>
              <w:rFonts w:eastAsiaTheme="minorEastAsia" w:cstheme="minorBidi"/>
              <w:noProof/>
              <w:kern w:val="2"/>
              <w:sz w:val="24"/>
              <w:szCs w:val="24"/>
              <w:lang w:eastAsia="en-GB"/>
              <w14:ligatures w14:val="standardContextual"/>
            </w:rPr>
          </w:pPr>
          <w:hyperlink w:anchor="_Toc135384353" w:history="1">
            <w:r w:rsidRPr="00EF528F">
              <w:rPr>
                <w:rStyle w:val="Hyperlink"/>
                <w:rFonts w:eastAsia="Times New Roman"/>
                <w:noProof/>
              </w:rPr>
              <w:t>5.2.6.3 Secondary measurements</w:t>
            </w:r>
            <w:r>
              <w:rPr>
                <w:noProof/>
                <w:webHidden/>
              </w:rPr>
              <w:tab/>
            </w:r>
            <w:r>
              <w:rPr>
                <w:noProof/>
                <w:webHidden/>
              </w:rPr>
              <w:fldChar w:fldCharType="begin"/>
            </w:r>
            <w:r>
              <w:rPr>
                <w:noProof/>
                <w:webHidden/>
              </w:rPr>
              <w:instrText xml:space="preserve"> PAGEREF _Toc135384353 \h </w:instrText>
            </w:r>
            <w:r>
              <w:rPr>
                <w:noProof/>
                <w:webHidden/>
              </w:rPr>
            </w:r>
            <w:r>
              <w:rPr>
                <w:noProof/>
                <w:webHidden/>
              </w:rPr>
              <w:fldChar w:fldCharType="separate"/>
            </w:r>
            <w:r w:rsidR="003A67BA">
              <w:rPr>
                <w:noProof/>
                <w:webHidden/>
              </w:rPr>
              <w:t>129</w:t>
            </w:r>
            <w:r>
              <w:rPr>
                <w:noProof/>
                <w:webHidden/>
              </w:rPr>
              <w:fldChar w:fldCharType="end"/>
            </w:r>
          </w:hyperlink>
        </w:p>
        <w:p w14:paraId="7D025DC9" w14:textId="7BA249EA" w:rsidR="00DE64E0" w:rsidRDefault="00DE64E0" w:rsidP="00104343">
          <w:pPr>
            <w:pStyle w:val="TOC3"/>
            <w:rPr>
              <w:rFonts w:eastAsiaTheme="minorEastAsia" w:cstheme="minorBidi"/>
              <w:noProof/>
              <w:kern w:val="2"/>
              <w:sz w:val="24"/>
              <w:szCs w:val="24"/>
              <w:lang w:eastAsia="en-GB"/>
              <w14:ligatures w14:val="standardContextual"/>
            </w:rPr>
          </w:pPr>
          <w:hyperlink w:anchor="_Toc135384354" w:history="1">
            <w:r w:rsidRPr="00EF528F">
              <w:rPr>
                <w:rStyle w:val="Hyperlink"/>
                <w:rFonts w:eastAsia="Times New Roman"/>
                <w:noProof/>
              </w:rPr>
              <w:t>5.2.7 Study Setting</w:t>
            </w:r>
            <w:r>
              <w:rPr>
                <w:noProof/>
                <w:webHidden/>
              </w:rPr>
              <w:tab/>
            </w:r>
            <w:r>
              <w:rPr>
                <w:noProof/>
                <w:webHidden/>
              </w:rPr>
              <w:fldChar w:fldCharType="begin"/>
            </w:r>
            <w:r>
              <w:rPr>
                <w:noProof/>
                <w:webHidden/>
              </w:rPr>
              <w:instrText xml:space="preserve"> PAGEREF _Toc135384354 \h </w:instrText>
            </w:r>
            <w:r>
              <w:rPr>
                <w:noProof/>
                <w:webHidden/>
              </w:rPr>
            </w:r>
            <w:r>
              <w:rPr>
                <w:noProof/>
                <w:webHidden/>
              </w:rPr>
              <w:fldChar w:fldCharType="separate"/>
            </w:r>
            <w:r w:rsidR="003A67BA">
              <w:rPr>
                <w:noProof/>
                <w:webHidden/>
              </w:rPr>
              <w:t>131</w:t>
            </w:r>
            <w:r>
              <w:rPr>
                <w:noProof/>
                <w:webHidden/>
              </w:rPr>
              <w:fldChar w:fldCharType="end"/>
            </w:r>
          </w:hyperlink>
        </w:p>
        <w:p w14:paraId="294DBF7D" w14:textId="1BFA9A2F" w:rsidR="00DE64E0" w:rsidRDefault="00DE64E0" w:rsidP="00104343">
          <w:pPr>
            <w:pStyle w:val="TOC3"/>
            <w:rPr>
              <w:rFonts w:eastAsiaTheme="minorEastAsia" w:cstheme="minorBidi"/>
              <w:noProof/>
              <w:kern w:val="2"/>
              <w:sz w:val="24"/>
              <w:szCs w:val="24"/>
              <w:lang w:eastAsia="en-GB"/>
              <w14:ligatures w14:val="standardContextual"/>
            </w:rPr>
          </w:pPr>
          <w:hyperlink w:anchor="_Toc135384356" w:history="1">
            <w:r w:rsidRPr="00EF528F">
              <w:rPr>
                <w:rStyle w:val="Hyperlink"/>
                <w:rFonts w:eastAsia="Times New Roman"/>
                <w:noProof/>
              </w:rPr>
              <w:t>5.2.8 Procedure</w:t>
            </w:r>
            <w:r>
              <w:rPr>
                <w:noProof/>
                <w:webHidden/>
              </w:rPr>
              <w:tab/>
            </w:r>
            <w:r>
              <w:rPr>
                <w:noProof/>
                <w:webHidden/>
              </w:rPr>
              <w:fldChar w:fldCharType="begin"/>
            </w:r>
            <w:r>
              <w:rPr>
                <w:noProof/>
                <w:webHidden/>
              </w:rPr>
              <w:instrText xml:space="preserve"> PAGEREF _Toc135384356 \h </w:instrText>
            </w:r>
            <w:r>
              <w:rPr>
                <w:noProof/>
                <w:webHidden/>
              </w:rPr>
            </w:r>
            <w:r>
              <w:rPr>
                <w:noProof/>
                <w:webHidden/>
              </w:rPr>
              <w:fldChar w:fldCharType="separate"/>
            </w:r>
            <w:r w:rsidR="003A67BA">
              <w:rPr>
                <w:noProof/>
                <w:webHidden/>
              </w:rPr>
              <w:t>132</w:t>
            </w:r>
            <w:r>
              <w:rPr>
                <w:noProof/>
                <w:webHidden/>
              </w:rPr>
              <w:fldChar w:fldCharType="end"/>
            </w:r>
          </w:hyperlink>
        </w:p>
        <w:p w14:paraId="75EA5866" w14:textId="77F9C06F" w:rsidR="00DE64E0" w:rsidRDefault="00DE64E0" w:rsidP="00104343">
          <w:pPr>
            <w:pStyle w:val="TOC3"/>
            <w:rPr>
              <w:rFonts w:eastAsiaTheme="minorEastAsia" w:cstheme="minorBidi"/>
              <w:noProof/>
              <w:kern w:val="2"/>
              <w:sz w:val="24"/>
              <w:szCs w:val="24"/>
              <w:lang w:eastAsia="en-GB"/>
              <w14:ligatures w14:val="standardContextual"/>
            </w:rPr>
          </w:pPr>
          <w:hyperlink w:anchor="_Toc135384358" w:history="1">
            <w:r w:rsidRPr="00EF528F">
              <w:rPr>
                <w:rStyle w:val="Hyperlink"/>
                <w:noProof/>
              </w:rPr>
              <w:t>5.2.8 Data Processing</w:t>
            </w:r>
            <w:r>
              <w:rPr>
                <w:noProof/>
                <w:webHidden/>
              </w:rPr>
              <w:tab/>
            </w:r>
            <w:r>
              <w:rPr>
                <w:noProof/>
                <w:webHidden/>
              </w:rPr>
              <w:fldChar w:fldCharType="begin"/>
            </w:r>
            <w:r>
              <w:rPr>
                <w:noProof/>
                <w:webHidden/>
              </w:rPr>
              <w:instrText xml:space="preserve"> PAGEREF _Toc135384358 \h </w:instrText>
            </w:r>
            <w:r>
              <w:rPr>
                <w:noProof/>
                <w:webHidden/>
              </w:rPr>
            </w:r>
            <w:r>
              <w:rPr>
                <w:noProof/>
                <w:webHidden/>
              </w:rPr>
              <w:fldChar w:fldCharType="separate"/>
            </w:r>
            <w:r w:rsidR="003A67BA">
              <w:rPr>
                <w:noProof/>
                <w:webHidden/>
              </w:rPr>
              <w:t>133</w:t>
            </w:r>
            <w:r>
              <w:rPr>
                <w:noProof/>
                <w:webHidden/>
              </w:rPr>
              <w:fldChar w:fldCharType="end"/>
            </w:r>
          </w:hyperlink>
        </w:p>
        <w:p w14:paraId="4DDED1A6" w14:textId="2CBAF58E" w:rsidR="00DE64E0" w:rsidRDefault="00DE64E0" w:rsidP="00104343">
          <w:pPr>
            <w:pStyle w:val="TOC3"/>
            <w:rPr>
              <w:rFonts w:eastAsiaTheme="minorEastAsia" w:cstheme="minorBidi"/>
              <w:noProof/>
              <w:kern w:val="2"/>
              <w:sz w:val="24"/>
              <w:szCs w:val="24"/>
              <w:lang w:eastAsia="en-GB"/>
              <w14:ligatures w14:val="standardContextual"/>
            </w:rPr>
          </w:pPr>
          <w:hyperlink w:anchor="_Toc135384361" w:history="1">
            <w:r w:rsidRPr="00EF528F">
              <w:rPr>
                <w:rStyle w:val="Hyperlink"/>
                <w:noProof/>
              </w:rPr>
              <w:t>5.2.10 Statistical analysis</w:t>
            </w:r>
            <w:r>
              <w:rPr>
                <w:noProof/>
                <w:webHidden/>
              </w:rPr>
              <w:tab/>
            </w:r>
            <w:r>
              <w:rPr>
                <w:noProof/>
                <w:webHidden/>
              </w:rPr>
              <w:fldChar w:fldCharType="begin"/>
            </w:r>
            <w:r>
              <w:rPr>
                <w:noProof/>
                <w:webHidden/>
              </w:rPr>
              <w:instrText xml:space="preserve"> PAGEREF _Toc135384361 \h </w:instrText>
            </w:r>
            <w:r>
              <w:rPr>
                <w:noProof/>
                <w:webHidden/>
              </w:rPr>
            </w:r>
            <w:r>
              <w:rPr>
                <w:noProof/>
                <w:webHidden/>
              </w:rPr>
              <w:fldChar w:fldCharType="separate"/>
            </w:r>
            <w:r w:rsidR="003A67BA">
              <w:rPr>
                <w:noProof/>
                <w:webHidden/>
              </w:rPr>
              <w:t>134</w:t>
            </w:r>
            <w:r>
              <w:rPr>
                <w:noProof/>
                <w:webHidden/>
              </w:rPr>
              <w:fldChar w:fldCharType="end"/>
            </w:r>
          </w:hyperlink>
        </w:p>
        <w:p w14:paraId="24F8443C" w14:textId="1549FC1D" w:rsidR="00DE64E0" w:rsidRDefault="00DE64E0">
          <w:pPr>
            <w:pStyle w:val="TOC2"/>
            <w:rPr>
              <w:rFonts w:eastAsiaTheme="minorEastAsia" w:cstheme="minorBidi"/>
              <w:noProof/>
              <w:kern w:val="2"/>
              <w:sz w:val="24"/>
              <w:szCs w:val="24"/>
              <w:lang w:eastAsia="en-GB"/>
              <w14:ligatures w14:val="standardContextual"/>
            </w:rPr>
          </w:pPr>
          <w:hyperlink w:anchor="_Toc135384363" w:history="1">
            <w:r w:rsidRPr="00EF528F">
              <w:rPr>
                <w:rStyle w:val="Hyperlink"/>
                <w:b/>
                <w:bCs/>
                <w:noProof/>
              </w:rPr>
              <w:t>5.3</w:t>
            </w:r>
            <w:r w:rsidR="00404C90">
              <w:rPr>
                <w:rStyle w:val="Hyperlink"/>
                <w:b/>
                <w:bCs/>
                <w:noProof/>
              </w:rPr>
              <w:t xml:space="preserve"> </w:t>
            </w:r>
            <w:r w:rsidRPr="00EF528F">
              <w:rPr>
                <w:rStyle w:val="Hyperlink"/>
                <w:b/>
                <w:bCs/>
                <w:noProof/>
              </w:rPr>
              <w:t>Results</w:t>
            </w:r>
            <w:r w:rsidR="00404C90">
              <w:rPr>
                <w:rStyle w:val="Hyperlink"/>
                <w:b/>
                <w:bCs/>
                <w:noProof/>
              </w:rPr>
              <w:t>…</w:t>
            </w:r>
            <w:r>
              <w:rPr>
                <w:noProof/>
                <w:webHidden/>
              </w:rPr>
              <w:tab/>
            </w:r>
            <w:r>
              <w:rPr>
                <w:noProof/>
                <w:webHidden/>
              </w:rPr>
              <w:fldChar w:fldCharType="begin"/>
            </w:r>
            <w:r>
              <w:rPr>
                <w:noProof/>
                <w:webHidden/>
              </w:rPr>
              <w:instrText xml:space="preserve"> PAGEREF _Toc135384363 \h </w:instrText>
            </w:r>
            <w:r>
              <w:rPr>
                <w:noProof/>
                <w:webHidden/>
              </w:rPr>
            </w:r>
            <w:r>
              <w:rPr>
                <w:noProof/>
                <w:webHidden/>
              </w:rPr>
              <w:fldChar w:fldCharType="separate"/>
            </w:r>
            <w:r w:rsidR="003A67BA">
              <w:rPr>
                <w:noProof/>
                <w:webHidden/>
              </w:rPr>
              <w:t>136</w:t>
            </w:r>
            <w:r>
              <w:rPr>
                <w:noProof/>
                <w:webHidden/>
              </w:rPr>
              <w:fldChar w:fldCharType="end"/>
            </w:r>
          </w:hyperlink>
        </w:p>
        <w:p w14:paraId="635E82A5" w14:textId="5259A57F" w:rsidR="00DE64E0" w:rsidRDefault="00DE64E0">
          <w:pPr>
            <w:pStyle w:val="TOC2"/>
            <w:rPr>
              <w:rFonts w:eastAsiaTheme="minorEastAsia" w:cstheme="minorBidi"/>
              <w:noProof/>
              <w:kern w:val="2"/>
              <w:sz w:val="24"/>
              <w:szCs w:val="24"/>
              <w:lang w:eastAsia="en-GB"/>
              <w14:ligatures w14:val="standardContextual"/>
            </w:rPr>
          </w:pPr>
          <w:hyperlink w:anchor="_Toc135384364" w:history="1">
            <w:r w:rsidRPr="00EF528F">
              <w:rPr>
                <w:rStyle w:val="Hyperlink"/>
                <w:b/>
                <w:bCs/>
                <w:noProof/>
              </w:rPr>
              <w:t>Part A - Quantitative results</w:t>
            </w:r>
            <w:r>
              <w:rPr>
                <w:noProof/>
                <w:webHidden/>
              </w:rPr>
              <w:tab/>
            </w:r>
            <w:r>
              <w:rPr>
                <w:noProof/>
                <w:webHidden/>
              </w:rPr>
              <w:fldChar w:fldCharType="begin"/>
            </w:r>
            <w:r>
              <w:rPr>
                <w:noProof/>
                <w:webHidden/>
              </w:rPr>
              <w:instrText xml:space="preserve"> PAGEREF _Toc135384364 \h </w:instrText>
            </w:r>
            <w:r>
              <w:rPr>
                <w:noProof/>
                <w:webHidden/>
              </w:rPr>
            </w:r>
            <w:r>
              <w:rPr>
                <w:noProof/>
                <w:webHidden/>
              </w:rPr>
              <w:fldChar w:fldCharType="separate"/>
            </w:r>
            <w:r w:rsidR="003A67BA">
              <w:rPr>
                <w:noProof/>
                <w:webHidden/>
              </w:rPr>
              <w:t>136</w:t>
            </w:r>
            <w:r>
              <w:rPr>
                <w:noProof/>
                <w:webHidden/>
              </w:rPr>
              <w:fldChar w:fldCharType="end"/>
            </w:r>
          </w:hyperlink>
        </w:p>
        <w:p w14:paraId="3BC6CD68" w14:textId="2626928D" w:rsidR="00DE64E0" w:rsidRDefault="00DE64E0" w:rsidP="004721C1">
          <w:pPr>
            <w:pStyle w:val="TOC3"/>
            <w:rPr>
              <w:rFonts w:eastAsiaTheme="minorEastAsia" w:cstheme="minorBidi"/>
              <w:noProof/>
              <w:kern w:val="2"/>
              <w:sz w:val="24"/>
              <w:szCs w:val="24"/>
              <w:lang w:eastAsia="en-GB"/>
              <w14:ligatures w14:val="standardContextual"/>
            </w:rPr>
          </w:pPr>
          <w:hyperlink w:anchor="_Toc135384365" w:history="1">
            <w:r w:rsidRPr="00EF528F">
              <w:rPr>
                <w:rStyle w:val="Hyperlink"/>
                <w:noProof/>
                <w:lang w:bidi="en-US"/>
              </w:rPr>
              <w:t>5.3.1Participant characteristics</w:t>
            </w:r>
            <w:r>
              <w:rPr>
                <w:noProof/>
                <w:webHidden/>
              </w:rPr>
              <w:tab/>
            </w:r>
            <w:r>
              <w:rPr>
                <w:noProof/>
                <w:webHidden/>
              </w:rPr>
              <w:fldChar w:fldCharType="begin"/>
            </w:r>
            <w:r>
              <w:rPr>
                <w:noProof/>
                <w:webHidden/>
              </w:rPr>
              <w:instrText xml:space="preserve"> PAGEREF _Toc135384365 \h </w:instrText>
            </w:r>
            <w:r>
              <w:rPr>
                <w:noProof/>
                <w:webHidden/>
              </w:rPr>
            </w:r>
            <w:r>
              <w:rPr>
                <w:noProof/>
                <w:webHidden/>
              </w:rPr>
              <w:fldChar w:fldCharType="separate"/>
            </w:r>
            <w:r w:rsidR="003A67BA">
              <w:rPr>
                <w:noProof/>
                <w:webHidden/>
              </w:rPr>
              <w:t>136</w:t>
            </w:r>
            <w:r>
              <w:rPr>
                <w:noProof/>
                <w:webHidden/>
              </w:rPr>
              <w:fldChar w:fldCharType="end"/>
            </w:r>
          </w:hyperlink>
        </w:p>
        <w:p w14:paraId="54C2E3F9" w14:textId="30D0F028" w:rsidR="00DE64E0" w:rsidRDefault="00DE64E0">
          <w:pPr>
            <w:pStyle w:val="TOC3"/>
            <w:rPr>
              <w:rFonts w:eastAsiaTheme="minorEastAsia" w:cstheme="minorBidi"/>
              <w:noProof/>
              <w:kern w:val="2"/>
              <w:sz w:val="24"/>
              <w:szCs w:val="24"/>
              <w:lang w:eastAsia="en-GB"/>
              <w14:ligatures w14:val="standardContextual"/>
            </w:rPr>
          </w:pPr>
          <w:hyperlink w:anchor="_Toc135384366" w:history="1">
            <w:r w:rsidRPr="00EF528F">
              <w:rPr>
                <w:rStyle w:val="Hyperlink"/>
                <w:noProof/>
              </w:rPr>
              <w:t>5.3.2 Progression criteria from moving from feasibility study to full-scale RCT</w:t>
            </w:r>
            <w:r>
              <w:rPr>
                <w:noProof/>
                <w:webHidden/>
              </w:rPr>
              <w:tab/>
            </w:r>
            <w:r>
              <w:rPr>
                <w:noProof/>
                <w:webHidden/>
              </w:rPr>
              <w:fldChar w:fldCharType="begin"/>
            </w:r>
            <w:r>
              <w:rPr>
                <w:noProof/>
                <w:webHidden/>
              </w:rPr>
              <w:instrText xml:space="preserve"> PAGEREF _Toc135384366 \h </w:instrText>
            </w:r>
            <w:r>
              <w:rPr>
                <w:noProof/>
                <w:webHidden/>
              </w:rPr>
            </w:r>
            <w:r>
              <w:rPr>
                <w:noProof/>
                <w:webHidden/>
              </w:rPr>
              <w:fldChar w:fldCharType="separate"/>
            </w:r>
            <w:r w:rsidR="003A67BA">
              <w:rPr>
                <w:noProof/>
                <w:webHidden/>
              </w:rPr>
              <w:t>136</w:t>
            </w:r>
            <w:r>
              <w:rPr>
                <w:noProof/>
                <w:webHidden/>
              </w:rPr>
              <w:fldChar w:fldCharType="end"/>
            </w:r>
          </w:hyperlink>
        </w:p>
        <w:p w14:paraId="53B0B573" w14:textId="5A9A0C91" w:rsidR="00DE64E0" w:rsidRDefault="00DE64E0">
          <w:pPr>
            <w:pStyle w:val="TOC3"/>
            <w:rPr>
              <w:rFonts w:eastAsiaTheme="minorEastAsia" w:cstheme="minorBidi"/>
              <w:noProof/>
              <w:kern w:val="2"/>
              <w:sz w:val="24"/>
              <w:szCs w:val="24"/>
              <w:lang w:eastAsia="en-GB"/>
              <w14:ligatures w14:val="standardContextual"/>
            </w:rPr>
          </w:pPr>
          <w:hyperlink w:anchor="_Toc135384367" w:history="1">
            <w:r w:rsidRPr="00EF528F">
              <w:rPr>
                <w:rStyle w:val="Hyperlink"/>
                <w:noProof/>
              </w:rPr>
              <w:t>5.3.3 Further primary outcomes measurements</w:t>
            </w:r>
            <w:r>
              <w:rPr>
                <w:noProof/>
                <w:webHidden/>
              </w:rPr>
              <w:tab/>
            </w:r>
            <w:r>
              <w:rPr>
                <w:noProof/>
                <w:webHidden/>
              </w:rPr>
              <w:fldChar w:fldCharType="begin"/>
            </w:r>
            <w:r>
              <w:rPr>
                <w:noProof/>
                <w:webHidden/>
              </w:rPr>
              <w:instrText xml:space="preserve"> PAGEREF _Toc135384367 \h </w:instrText>
            </w:r>
            <w:r>
              <w:rPr>
                <w:noProof/>
                <w:webHidden/>
              </w:rPr>
            </w:r>
            <w:r>
              <w:rPr>
                <w:noProof/>
                <w:webHidden/>
              </w:rPr>
              <w:fldChar w:fldCharType="separate"/>
            </w:r>
            <w:r w:rsidR="003A67BA">
              <w:rPr>
                <w:noProof/>
                <w:webHidden/>
              </w:rPr>
              <w:t>139</w:t>
            </w:r>
            <w:r>
              <w:rPr>
                <w:noProof/>
                <w:webHidden/>
              </w:rPr>
              <w:fldChar w:fldCharType="end"/>
            </w:r>
          </w:hyperlink>
        </w:p>
        <w:p w14:paraId="3D2DEF7E" w14:textId="62E0EEF1" w:rsidR="00DE64E0" w:rsidRDefault="00DE64E0">
          <w:pPr>
            <w:pStyle w:val="TOC3"/>
            <w:rPr>
              <w:rFonts w:eastAsiaTheme="minorEastAsia" w:cstheme="minorBidi"/>
              <w:noProof/>
              <w:kern w:val="2"/>
              <w:sz w:val="24"/>
              <w:szCs w:val="24"/>
              <w:lang w:eastAsia="en-GB"/>
              <w14:ligatures w14:val="standardContextual"/>
            </w:rPr>
          </w:pPr>
          <w:hyperlink w:anchor="_Toc135384368" w:history="1">
            <w:r w:rsidRPr="00EF528F">
              <w:rPr>
                <w:rStyle w:val="Hyperlink"/>
                <w:noProof/>
              </w:rPr>
              <w:t>5.3.3.1 Participant recruitment, retention and randomisation</w:t>
            </w:r>
            <w:r>
              <w:rPr>
                <w:noProof/>
                <w:webHidden/>
              </w:rPr>
              <w:tab/>
            </w:r>
            <w:r>
              <w:rPr>
                <w:noProof/>
                <w:webHidden/>
              </w:rPr>
              <w:fldChar w:fldCharType="begin"/>
            </w:r>
            <w:r>
              <w:rPr>
                <w:noProof/>
                <w:webHidden/>
              </w:rPr>
              <w:instrText xml:space="preserve"> PAGEREF _Toc135384368 \h </w:instrText>
            </w:r>
            <w:r>
              <w:rPr>
                <w:noProof/>
                <w:webHidden/>
              </w:rPr>
            </w:r>
            <w:r>
              <w:rPr>
                <w:noProof/>
                <w:webHidden/>
              </w:rPr>
              <w:fldChar w:fldCharType="separate"/>
            </w:r>
            <w:r w:rsidR="003A67BA">
              <w:rPr>
                <w:noProof/>
                <w:webHidden/>
              </w:rPr>
              <w:t>139</w:t>
            </w:r>
            <w:r>
              <w:rPr>
                <w:noProof/>
                <w:webHidden/>
              </w:rPr>
              <w:fldChar w:fldCharType="end"/>
            </w:r>
          </w:hyperlink>
        </w:p>
        <w:p w14:paraId="26499223" w14:textId="6A3B6C57" w:rsidR="00DE64E0" w:rsidRDefault="00DE64E0">
          <w:pPr>
            <w:pStyle w:val="TOC3"/>
            <w:rPr>
              <w:rFonts w:eastAsiaTheme="minorEastAsia" w:cstheme="minorBidi"/>
              <w:noProof/>
              <w:kern w:val="2"/>
              <w:sz w:val="24"/>
              <w:szCs w:val="24"/>
              <w:lang w:eastAsia="en-GB"/>
              <w14:ligatures w14:val="standardContextual"/>
            </w:rPr>
          </w:pPr>
          <w:hyperlink w:anchor="_Toc135384369" w:history="1">
            <w:r w:rsidRPr="00EF528F">
              <w:rPr>
                <w:rStyle w:val="Hyperlink"/>
                <w:noProof/>
                <w:lang w:bidi="en-US"/>
              </w:rPr>
              <w:t>5.3.3.2 Exercise intervention compliance measurements</w:t>
            </w:r>
            <w:r>
              <w:rPr>
                <w:noProof/>
                <w:webHidden/>
              </w:rPr>
              <w:tab/>
            </w:r>
            <w:r>
              <w:rPr>
                <w:noProof/>
                <w:webHidden/>
              </w:rPr>
              <w:fldChar w:fldCharType="begin"/>
            </w:r>
            <w:r>
              <w:rPr>
                <w:noProof/>
                <w:webHidden/>
              </w:rPr>
              <w:instrText xml:space="preserve"> PAGEREF _Toc135384369 \h </w:instrText>
            </w:r>
            <w:r>
              <w:rPr>
                <w:noProof/>
                <w:webHidden/>
              </w:rPr>
            </w:r>
            <w:r>
              <w:rPr>
                <w:noProof/>
                <w:webHidden/>
              </w:rPr>
              <w:fldChar w:fldCharType="separate"/>
            </w:r>
            <w:r w:rsidR="003A67BA">
              <w:rPr>
                <w:noProof/>
                <w:webHidden/>
              </w:rPr>
              <w:t>141</w:t>
            </w:r>
            <w:r>
              <w:rPr>
                <w:noProof/>
                <w:webHidden/>
              </w:rPr>
              <w:fldChar w:fldCharType="end"/>
            </w:r>
          </w:hyperlink>
        </w:p>
        <w:p w14:paraId="6AEFE001" w14:textId="04B828D1" w:rsidR="00DE64E0" w:rsidRDefault="00DE64E0">
          <w:pPr>
            <w:pStyle w:val="TOC3"/>
            <w:rPr>
              <w:rFonts w:eastAsiaTheme="minorEastAsia" w:cstheme="minorBidi"/>
              <w:noProof/>
              <w:kern w:val="2"/>
              <w:sz w:val="24"/>
              <w:szCs w:val="24"/>
              <w:lang w:eastAsia="en-GB"/>
              <w14:ligatures w14:val="standardContextual"/>
            </w:rPr>
          </w:pPr>
          <w:hyperlink w:anchor="_Toc135384371" w:history="1">
            <w:r w:rsidRPr="00EF528F">
              <w:rPr>
                <w:rStyle w:val="Hyperlink"/>
                <w:noProof/>
                <w:lang w:bidi="en-US"/>
              </w:rPr>
              <w:t>5.3.2.2.2 RPE scores</w:t>
            </w:r>
            <w:r>
              <w:rPr>
                <w:noProof/>
                <w:webHidden/>
              </w:rPr>
              <w:tab/>
            </w:r>
            <w:r>
              <w:rPr>
                <w:noProof/>
                <w:webHidden/>
              </w:rPr>
              <w:fldChar w:fldCharType="begin"/>
            </w:r>
            <w:r>
              <w:rPr>
                <w:noProof/>
                <w:webHidden/>
              </w:rPr>
              <w:instrText xml:space="preserve"> PAGEREF _Toc135384371 \h </w:instrText>
            </w:r>
            <w:r>
              <w:rPr>
                <w:noProof/>
                <w:webHidden/>
              </w:rPr>
            </w:r>
            <w:r>
              <w:rPr>
                <w:noProof/>
                <w:webHidden/>
              </w:rPr>
              <w:fldChar w:fldCharType="separate"/>
            </w:r>
            <w:r w:rsidR="003A67BA">
              <w:rPr>
                <w:noProof/>
                <w:webHidden/>
              </w:rPr>
              <w:t>142</w:t>
            </w:r>
            <w:r>
              <w:rPr>
                <w:noProof/>
                <w:webHidden/>
              </w:rPr>
              <w:fldChar w:fldCharType="end"/>
            </w:r>
          </w:hyperlink>
        </w:p>
        <w:p w14:paraId="0F716633" w14:textId="280279EC" w:rsidR="00DE64E0" w:rsidRDefault="00DE64E0">
          <w:pPr>
            <w:pStyle w:val="TOC3"/>
            <w:rPr>
              <w:rFonts w:eastAsiaTheme="minorEastAsia" w:cstheme="minorBidi"/>
              <w:noProof/>
              <w:kern w:val="2"/>
              <w:sz w:val="24"/>
              <w:szCs w:val="24"/>
              <w:lang w:eastAsia="en-GB"/>
              <w14:ligatures w14:val="standardContextual"/>
            </w:rPr>
          </w:pPr>
          <w:hyperlink w:anchor="_Toc135384372" w:history="1">
            <w:r w:rsidRPr="00EF528F">
              <w:rPr>
                <w:rStyle w:val="Hyperlink"/>
                <w:noProof/>
                <w:lang w:bidi="en-US"/>
              </w:rPr>
              <w:t>5.3.2.2.3 Band colours</w:t>
            </w:r>
            <w:r>
              <w:rPr>
                <w:noProof/>
                <w:webHidden/>
              </w:rPr>
              <w:tab/>
            </w:r>
            <w:r>
              <w:rPr>
                <w:noProof/>
                <w:webHidden/>
              </w:rPr>
              <w:fldChar w:fldCharType="begin"/>
            </w:r>
            <w:r>
              <w:rPr>
                <w:noProof/>
                <w:webHidden/>
              </w:rPr>
              <w:instrText xml:space="preserve"> PAGEREF _Toc135384372 \h </w:instrText>
            </w:r>
            <w:r>
              <w:rPr>
                <w:noProof/>
                <w:webHidden/>
              </w:rPr>
            </w:r>
            <w:r>
              <w:rPr>
                <w:noProof/>
                <w:webHidden/>
              </w:rPr>
              <w:fldChar w:fldCharType="separate"/>
            </w:r>
            <w:r w:rsidR="003A67BA">
              <w:rPr>
                <w:noProof/>
                <w:webHidden/>
              </w:rPr>
              <w:t>143</w:t>
            </w:r>
            <w:r>
              <w:rPr>
                <w:noProof/>
                <w:webHidden/>
              </w:rPr>
              <w:fldChar w:fldCharType="end"/>
            </w:r>
          </w:hyperlink>
        </w:p>
        <w:p w14:paraId="6AAF70D3" w14:textId="020C1BB8" w:rsidR="00DE64E0" w:rsidRDefault="00DE64E0">
          <w:pPr>
            <w:pStyle w:val="TOC3"/>
            <w:rPr>
              <w:rFonts w:eastAsiaTheme="minorEastAsia" w:cstheme="minorBidi"/>
              <w:noProof/>
              <w:kern w:val="2"/>
              <w:sz w:val="24"/>
              <w:szCs w:val="24"/>
              <w:lang w:eastAsia="en-GB"/>
              <w14:ligatures w14:val="standardContextual"/>
            </w:rPr>
          </w:pPr>
          <w:hyperlink w:anchor="_Toc135384374" w:history="1">
            <w:r w:rsidRPr="00EF528F">
              <w:rPr>
                <w:rStyle w:val="Hyperlink"/>
                <w:noProof/>
                <w:lang w:bidi="en-US"/>
              </w:rPr>
              <w:t>5.3.3.3 Nutrition intervention measurements</w:t>
            </w:r>
            <w:r>
              <w:rPr>
                <w:noProof/>
                <w:webHidden/>
              </w:rPr>
              <w:tab/>
            </w:r>
            <w:r>
              <w:rPr>
                <w:noProof/>
                <w:webHidden/>
              </w:rPr>
              <w:fldChar w:fldCharType="begin"/>
            </w:r>
            <w:r>
              <w:rPr>
                <w:noProof/>
                <w:webHidden/>
              </w:rPr>
              <w:instrText xml:space="preserve"> PAGEREF _Toc135384374 \h </w:instrText>
            </w:r>
            <w:r>
              <w:rPr>
                <w:noProof/>
                <w:webHidden/>
              </w:rPr>
            </w:r>
            <w:r>
              <w:rPr>
                <w:noProof/>
                <w:webHidden/>
              </w:rPr>
              <w:fldChar w:fldCharType="separate"/>
            </w:r>
            <w:r w:rsidR="003A67BA">
              <w:rPr>
                <w:noProof/>
                <w:webHidden/>
              </w:rPr>
              <w:t>143</w:t>
            </w:r>
            <w:r>
              <w:rPr>
                <w:noProof/>
                <w:webHidden/>
              </w:rPr>
              <w:fldChar w:fldCharType="end"/>
            </w:r>
          </w:hyperlink>
        </w:p>
        <w:p w14:paraId="678836BA" w14:textId="2590122D" w:rsidR="00DE64E0" w:rsidRDefault="00DE64E0">
          <w:pPr>
            <w:pStyle w:val="TOC3"/>
            <w:rPr>
              <w:rFonts w:eastAsiaTheme="minorEastAsia" w:cstheme="minorBidi"/>
              <w:noProof/>
              <w:kern w:val="2"/>
              <w:sz w:val="24"/>
              <w:szCs w:val="24"/>
              <w:lang w:eastAsia="en-GB"/>
              <w14:ligatures w14:val="standardContextual"/>
            </w:rPr>
          </w:pPr>
          <w:hyperlink w:anchor="_Toc135384375" w:history="1">
            <w:r w:rsidRPr="00EF528F">
              <w:rPr>
                <w:rStyle w:val="Hyperlink"/>
                <w:noProof/>
                <w:lang w:bidi="en-US"/>
              </w:rPr>
              <w:t>5.3.2.4 End of intervention outcome questionnaires</w:t>
            </w:r>
            <w:r>
              <w:rPr>
                <w:noProof/>
                <w:webHidden/>
              </w:rPr>
              <w:tab/>
            </w:r>
            <w:r>
              <w:rPr>
                <w:noProof/>
                <w:webHidden/>
              </w:rPr>
              <w:fldChar w:fldCharType="begin"/>
            </w:r>
            <w:r>
              <w:rPr>
                <w:noProof/>
                <w:webHidden/>
              </w:rPr>
              <w:instrText xml:space="preserve"> PAGEREF _Toc135384375 \h </w:instrText>
            </w:r>
            <w:r>
              <w:rPr>
                <w:noProof/>
                <w:webHidden/>
              </w:rPr>
            </w:r>
            <w:r>
              <w:rPr>
                <w:noProof/>
                <w:webHidden/>
              </w:rPr>
              <w:fldChar w:fldCharType="separate"/>
            </w:r>
            <w:r w:rsidR="003A67BA">
              <w:rPr>
                <w:noProof/>
                <w:webHidden/>
              </w:rPr>
              <w:t>143</w:t>
            </w:r>
            <w:r>
              <w:rPr>
                <w:noProof/>
                <w:webHidden/>
              </w:rPr>
              <w:fldChar w:fldCharType="end"/>
            </w:r>
          </w:hyperlink>
        </w:p>
        <w:p w14:paraId="6FA862DF" w14:textId="231601E6" w:rsidR="00DE64E0" w:rsidRDefault="00DE64E0">
          <w:pPr>
            <w:pStyle w:val="TOC3"/>
            <w:rPr>
              <w:rFonts w:eastAsiaTheme="minorEastAsia" w:cstheme="minorBidi"/>
              <w:noProof/>
              <w:kern w:val="2"/>
              <w:sz w:val="24"/>
              <w:szCs w:val="24"/>
              <w:lang w:eastAsia="en-GB"/>
              <w14:ligatures w14:val="standardContextual"/>
            </w:rPr>
          </w:pPr>
          <w:hyperlink w:anchor="_Toc135384376" w:history="1">
            <w:r w:rsidRPr="00EF528F">
              <w:rPr>
                <w:rStyle w:val="Hyperlink"/>
                <w:noProof/>
              </w:rPr>
              <w:t>5.3.3.7 Two-month follow-up</w:t>
            </w:r>
            <w:r>
              <w:rPr>
                <w:noProof/>
                <w:webHidden/>
              </w:rPr>
              <w:tab/>
            </w:r>
            <w:r>
              <w:rPr>
                <w:noProof/>
                <w:webHidden/>
              </w:rPr>
              <w:fldChar w:fldCharType="begin"/>
            </w:r>
            <w:r>
              <w:rPr>
                <w:noProof/>
                <w:webHidden/>
              </w:rPr>
              <w:instrText xml:space="preserve"> PAGEREF _Toc135384376 \h </w:instrText>
            </w:r>
            <w:r>
              <w:rPr>
                <w:noProof/>
                <w:webHidden/>
              </w:rPr>
            </w:r>
            <w:r>
              <w:rPr>
                <w:noProof/>
                <w:webHidden/>
              </w:rPr>
              <w:fldChar w:fldCharType="separate"/>
            </w:r>
            <w:r w:rsidR="003A67BA">
              <w:rPr>
                <w:noProof/>
                <w:webHidden/>
              </w:rPr>
              <w:t>147</w:t>
            </w:r>
            <w:r>
              <w:rPr>
                <w:noProof/>
                <w:webHidden/>
              </w:rPr>
              <w:fldChar w:fldCharType="end"/>
            </w:r>
          </w:hyperlink>
        </w:p>
        <w:p w14:paraId="29E5F508" w14:textId="1E538BDB" w:rsidR="00DE64E0" w:rsidRDefault="00DE64E0">
          <w:pPr>
            <w:pStyle w:val="TOC2"/>
            <w:rPr>
              <w:rFonts w:eastAsiaTheme="minorEastAsia" w:cstheme="minorBidi"/>
              <w:noProof/>
              <w:kern w:val="2"/>
              <w:sz w:val="24"/>
              <w:szCs w:val="24"/>
              <w:lang w:eastAsia="en-GB"/>
              <w14:ligatures w14:val="standardContextual"/>
            </w:rPr>
          </w:pPr>
          <w:hyperlink w:anchor="_Toc135384377" w:history="1">
            <w:r w:rsidRPr="00EF528F">
              <w:rPr>
                <w:rStyle w:val="Hyperlink"/>
                <w:noProof/>
              </w:rPr>
              <w:t>5.3.4 Secondary outcome measurements</w:t>
            </w:r>
            <w:r>
              <w:rPr>
                <w:noProof/>
                <w:webHidden/>
              </w:rPr>
              <w:tab/>
            </w:r>
            <w:r>
              <w:rPr>
                <w:noProof/>
                <w:webHidden/>
              </w:rPr>
              <w:fldChar w:fldCharType="begin"/>
            </w:r>
            <w:r>
              <w:rPr>
                <w:noProof/>
                <w:webHidden/>
              </w:rPr>
              <w:instrText xml:space="preserve"> PAGEREF _Toc135384377 \h </w:instrText>
            </w:r>
            <w:r>
              <w:rPr>
                <w:noProof/>
                <w:webHidden/>
              </w:rPr>
            </w:r>
            <w:r>
              <w:rPr>
                <w:noProof/>
                <w:webHidden/>
              </w:rPr>
              <w:fldChar w:fldCharType="separate"/>
            </w:r>
            <w:r w:rsidR="003A67BA">
              <w:rPr>
                <w:noProof/>
                <w:webHidden/>
              </w:rPr>
              <w:t>147</w:t>
            </w:r>
            <w:r>
              <w:rPr>
                <w:noProof/>
                <w:webHidden/>
              </w:rPr>
              <w:fldChar w:fldCharType="end"/>
            </w:r>
          </w:hyperlink>
        </w:p>
        <w:p w14:paraId="75F5FCA9" w14:textId="062905FC" w:rsidR="00DE64E0" w:rsidRDefault="00DE64E0">
          <w:pPr>
            <w:pStyle w:val="TOC3"/>
            <w:rPr>
              <w:rFonts w:eastAsiaTheme="minorEastAsia" w:cstheme="minorBidi"/>
              <w:noProof/>
              <w:kern w:val="2"/>
              <w:sz w:val="24"/>
              <w:szCs w:val="24"/>
              <w:lang w:eastAsia="en-GB"/>
              <w14:ligatures w14:val="standardContextual"/>
            </w:rPr>
          </w:pPr>
          <w:hyperlink w:anchor="_Toc135384378" w:history="1">
            <w:r w:rsidRPr="00EF528F">
              <w:rPr>
                <w:rStyle w:val="Hyperlink"/>
                <w:noProof/>
              </w:rPr>
              <w:t>5.3.4.1 Food diary and macronutrient data</w:t>
            </w:r>
            <w:r>
              <w:rPr>
                <w:noProof/>
                <w:webHidden/>
              </w:rPr>
              <w:tab/>
            </w:r>
            <w:r>
              <w:rPr>
                <w:noProof/>
                <w:webHidden/>
              </w:rPr>
              <w:fldChar w:fldCharType="begin"/>
            </w:r>
            <w:r>
              <w:rPr>
                <w:noProof/>
                <w:webHidden/>
              </w:rPr>
              <w:instrText xml:space="preserve"> PAGEREF _Toc135384378 \h </w:instrText>
            </w:r>
            <w:r>
              <w:rPr>
                <w:noProof/>
                <w:webHidden/>
              </w:rPr>
            </w:r>
            <w:r>
              <w:rPr>
                <w:noProof/>
                <w:webHidden/>
              </w:rPr>
              <w:fldChar w:fldCharType="separate"/>
            </w:r>
            <w:r w:rsidR="003A67BA">
              <w:rPr>
                <w:noProof/>
                <w:webHidden/>
              </w:rPr>
              <w:t>147</w:t>
            </w:r>
            <w:r>
              <w:rPr>
                <w:noProof/>
                <w:webHidden/>
              </w:rPr>
              <w:fldChar w:fldCharType="end"/>
            </w:r>
          </w:hyperlink>
        </w:p>
        <w:p w14:paraId="78EAC78B" w14:textId="6ED75B94" w:rsidR="00DE64E0" w:rsidRDefault="00DE64E0">
          <w:pPr>
            <w:pStyle w:val="TOC3"/>
            <w:rPr>
              <w:rFonts w:eastAsiaTheme="minorEastAsia" w:cstheme="minorBidi"/>
              <w:noProof/>
              <w:kern w:val="2"/>
              <w:sz w:val="24"/>
              <w:szCs w:val="24"/>
              <w:lang w:eastAsia="en-GB"/>
              <w14:ligatures w14:val="standardContextual"/>
            </w:rPr>
          </w:pPr>
          <w:hyperlink w:anchor="_Toc135384379" w:history="1">
            <w:r w:rsidRPr="00EF528F">
              <w:rPr>
                <w:rStyle w:val="Hyperlink"/>
                <w:noProof/>
              </w:rPr>
              <w:t>5.3.4.2 Micronutrient data</w:t>
            </w:r>
            <w:r>
              <w:rPr>
                <w:noProof/>
                <w:webHidden/>
              </w:rPr>
              <w:tab/>
            </w:r>
            <w:r>
              <w:rPr>
                <w:noProof/>
                <w:webHidden/>
              </w:rPr>
              <w:fldChar w:fldCharType="begin"/>
            </w:r>
            <w:r>
              <w:rPr>
                <w:noProof/>
                <w:webHidden/>
              </w:rPr>
              <w:instrText xml:space="preserve"> PAGEREF _Toc135384379 \h </w:instrText>
            </w:r>
            <w:r>
              <w:rPr>
                <w:noProof/>
                <w:webHidden/>
              </w:rPr>
            </w:r>
            <w:r>
              <w:rPr>
                <w:noProof/>
                <w:webHidden/>
              </w:rPr>
              <w:fldChar w:fldCharType="separate"/>
            </w:r>
            <w:r w:rsidR="003A67BA">
              <w:rPr>
                <w:noProof/>
                <w:webHidden/>
              </w:rPr>
              <w:t>149</w:t>
            </w:r>
            <w:r>
              <w:rPr>
                <w:noProof/>
                <w:webHidden/>
              </w:rPr>
              <w:fldChar w:fldCharType="end"/>
            </w:r>
          </w:hyperlink>
        </w:p>
        <w:p w14:paraId="61F60BEA" w14:textId="56E11E19" w:rsidR="00DE64E0" w:rsidRDefault="00DE64E0">
          <w:pPr>
            <w:pStyle w:val="TOC3"/>
            <w:rPr>
              <w:rFonts w:eastAsiaTheme="minorEastAsia" w:cstheme="minorBidi"/>
              <w:noProof/>
              <w:kern w:val="2"/>
              <w:sz w:val="24"/>
              <w:szCs w:val="24"/>
              <w:lang w:eastAsia="en-GB"/>
              <w14:ligatures w14:val="standardContextual"/>
            </w:rPr>
          </w:pPr>
          <w:hyperlink w:anchor="_Toc135384380" w:history="1">
            <w:r w:rsidRPr="00EF528F">
              <w:rPr>
                <w:rStyle w:val="Hyperlink"/>
                <w:noProof/>
              </w:rPr>
              <w:t>5.3.4.3 VAS appetite questionnaires</w:t>
            </w:r>
            <w:r>
              <w:rPr>
                <w:noProof/>
                <w:webHidden/>
              </w:rPr>
              <w:tab/>
            </w:r>
            <w:r>
              <w:rPr>
                <w:noProof/>
                <w:webHidden/>
              </w:rPr>
              <w:fldChar w:fldCharType="begin"/>
            </w:r>
            <w:r>
              <w:rPr>
                <w:noProof/>
                <w:webHidden/>
              </w:rPr>
              <w:instrText xml:space="preserve"> PAGEREF _Toc135384380 \h </w:instrText>
            </w:r>
            <w:r>
              <w:rPr>
                <w:noProof/>
                <w:webHidden/>
              </w:rPr>
            </w:r>
            <w:r>
              <w:rPr>
                <w:noProof/>
                <w:webHidden/>
              </w:rPr>
              <w:fldChar w:fldCharType="separate"/>
            </w:r>
            <w:r w:rsidR="003A67BA">
              <w:rPr>
                <w:noProof/>
                <w:webHidden/>
              </w:rPr>
              <w:t>150</w:t>
            </w:r>
            <w:r>
              <w:rPr>
                <w:noProof/>
                <w:webHidden/>
              </w:rPr>
              <w:fldChar w:fldCharType="end"/>
            </w:r>
          </w:hyperlink>
        </w:p>
        <w:p w14:paraId="373409EB" w14:textId="154C7D20" w:rsidR="00DE64E0" w:rsidRDefault="00DE64E0">
          <w:pPr>
            <w:pStyle w:val="TOC3"/>
            <w:rPr>
              <w:rFonts w:eastAsiaTheme="minorEastAsia" w:cstheme="minorBidi"/>
              <w:noProof/>
              <w:kern w:val="2"/>
              <w:sz w:val="24"/>
              <w:szCs w:val="24"/>
              <w:lang w:eastAsia="en-GB"/>
              <w14:ligatures w14:val="standardContextual"/>
            </w:rPr>
          </w:pPr>
          <w:hyperlink w:anchor="_Toc135384381" w:history="1">
            <w:r w:rsidRPr="00EF528F">
              <w:rPr>
                <w:rStyle w:val="Hyperlink"/>
                <w:noProof/>
              </w:rPr>
              <w:t>5.3.4.4 Muscle parameters</w:t>
            </w:r>
            <w:r>
              <w:rPr>
                <w:noProof/>
                <w:webHidden/>
              </w:rPr>
              <w:tab/>
            </w:r>
            <w:r>
              <w:rPr>
                <w:noProof/>
                <w:webHidden/>
              </w:rPr>
              <w:fldChar w:fldCharType="begin"/>
            </w:r>
            <w:r>
              <w:rPr>
                <w:noProof/>
                <w:webHidden/>
              </w:rPr>
              <w:instrText xml:space="preserve"> PAGEREF _Toc135384381 \h </w:instrText>
            </w:r>
            <w:r>
              <w:rPr>
                <w:noProof/>
                <w:webHidden/>
              </w:rPr>
            </w:r>
            <w:r>
              <w:rPr>
                <w:noProof/>
                <w:webHidden/>
              </w:rPr>
              <w:fldChar w:fldCharType="separate"/>
            </w:r>
            <w:r w:rsidR="003A67BA">
              <w:rPr>
                <w:noProof/>
                <w:webHidden/>
              </w:rPr>
              <w:t>150</w:t>
            </w:r>
            <w:r>
              <w:rPr>
                <w:noProof/>
                <w:webHidden/>
              </w:rPr>
              <w:fldChar w:fldCharType="end"/>
            </w:r>
          </w:hyperlink>
        </w:p>
        <w:p w14:paraId="626D4427" w14:textId="3268F883" w:rsidR="00DE64E0" w:rsidRDefault="00DE64E0">
          <w:pPr>
            <w:pStyle w:val="TOC3"/>
            <w:rPr>
              <w:rFonts w:eastAsiaTheme="minorEastAsia" w:cstheme="minorBidi"/>
              <w:noProof/>
              <w:kern w:val="2"/>
              <w:sz w:val="24"/>
              <w:szCs w:val="24"/>
              <w:lang w:eastAsia="en-GB"/>
              <w14:ligatures w14:val="standardContextual"/>
            </w:rPr>
          </w:pPr>
          <w:hyperlink w:anchor="_Toc135384382" w:history="1">
            <w:r w:rsidRPr="00EF528F">
              <w:rPr>
                <w:rStyle w:val="Hyperlink"/>
                <w:noProof/>
              </w:rPr>
              <w:t>5.3.4.5 RAPA questionnaire</w:t>
            </w:r>
            <w:r>
              <w:rPr>
                <w:noProof/>
                <w:webHidden/>
              </w:rPr>
              <w:tab/>
            </w:r>
            <w:r>
              <w:rPr>
                <w:noProof/>
                <w:webHidden/>
              </w:rPr>
              <w:fldChar w:fldCharType="begin"/>
            </w:r>
            <w:r>
              <w:rPr>
                <w:noProof/>
                <w:webHidden/>
              </w:rPr>
              <w:instrText xml:space="preserve"> PAGEREF _Toc135384382 \h </w:instrText>
            </w:r>
            <w:r>
              <w:rPr>
                <w:noProof/>
                <w:webHidden/>
              </w:rPr>
            </w:r>
            <w:r>
              <w:rPr>
                <w:noProof/>
                <w:webHidden/>
              </w:rPr>
              <w:fldChar w:fldCharType="separate"/>
            </w:r>
            <w:r w:rsidR="003A67BA">
              <w:rPr>
                <w:noProof/>
                <w:webHidden/>
              </w:rPr>
              <w:t>151</w:t>
            </w:r>
            <w:r>
              <w:rPr>
                <w:noProof/>
                <w:webHidden/>
              </w:rPr>
              <w:fldChar w:fldCharType="end"/>
            </w:r>
          </w:hyperlink>
        </w:p>
        <w:p w14:paraId="14DC6676" w14:textId="61309157" w:rsidR="00DE64E0" w:rsidRDefault="00DE64E0">
          <w:pPr>
            <w:pStyle w:val="TOC2"/>
            <w:rPr>
              <w:rFonts w:eastAsiaTheme="minorEastAsia" w:cstheme="minorBidi"/>
              <w:noProof/>
              <w:kern w:val="2"/>
              <w:sz w:val="24"/>
              <w:szCs w:val="24"/>
              <w:lang w:eastAsia="en-GB"/>
              <w14:ligatures w14:val="standardContextual"/>
            </w:rPr>
          </w:pPr>
          <w:hyperlink w:anchor="_Toc135384383" w:history="1">
            <w:r w:rsidRPr="00EF528F">
              <w:rPr>
                <w:rStyle w:val="Hyperlink"/>
                <w:b/>
                <w:bCs/>
                <w:noProof/>
              </w:rPr>
              <w:t>5.4 Part B - Qualitative results</w:t>
            </w:r>
            <w:r>
              <w:rPr>
                <w:noProof/>
                <w:webHidden/>
              </w:rPr>
              <w:tab/>
            </w:r>
            <w:r>
              <w:rPr>
                <w:noProof/>
                <w:webHidden/>
              </w:rPr>
              <w:fldChar w:fldCharType="begin"/>
            </w:r>
            <w:r>
              <w:rPr>
                <w:noProof/>
                <w:webHidden/>
              </w:rPr>
              <w:instrText xml:space="preserve"> PAGEREF _Toc135384383 \h </w:instrText>
            </w:r>
            <w:r>
              <w:rPr>
                <w:noProof/>
                <w:webHidden/>
              </w:rPr>
            </w:r>
            <w:r>
              <w:rPr>
                <w:noProof/>
                <w:webHidden/>
              </w:rPr>
              <w:fldChar w:fldCharType="separate"/>
            </w:r>
            <w:r w:rsidR="003A67BA">
              <w:rPr>
                <w:noProof/>
                <w:webHidden/>
              </w:rPr>
              <w:t>153</w:t>
            </w:r>
            <w:r>
              <w:rPr>
                <w:noProof/>
                <w:webHidden/>
              </w:rPr>
              <w:fldChar w:fldCharType="end"/>
            </w:r>
          </w:hyperlink>
        </w:p>
        <w:p w14:paraId="66536B9F" w14:textId="1F44B084" w:rsidR="00DE64E0" w:rsidRDefault="00DE64E0">
          <w:pPr>
            <w:pStyle w:val="TOC3"/>
            <w:rPr>
              <w:rFonts w:eastAsiaTheme="minorEastAsia" w:cstheme="minorBidi"/>
              <w:noProof/>
              <w:kern w:val="2"/>
              <w:sz w:val="24"/>
              <w:szCs w:val="24"/>
              <w:lang w:eastAsia="en-GB"/>
              <w14:ligatures w14:val="standardContextual"/>
            </w:rPr>
          </w:pPr>
          <w:hyperlink w:anchor="_Toc135384384" w:history="1">
            <w:r w:rsidRPr="00EF528F">
              <w:rPr>
                <w:rStyle w:val="Hyperlink"/>
                <w:noProof/>
              </w:rPr>
              <w:t>5.4.1 Qualitative interview findings.</w:t>
            </w:r>
            <w:r>
              <w:rPr>
                <w:noProof/>
                <w:webHidden/>
              </w:rPr>
              <w:tab/>
            </w:r>
            <w:r>
              <w:rPr>
                <w:noProof/>
                <w:webHidden/>
              </w:rPr>
              <w:fldChar w:fldCharType="begin"/>
            </w:r>
            <w:r>
              <w:rPr>
                <w:noProof/>
                <w:webHidden/>
              </w:rPr>
              <w:instrText xml:space="preserve"> PAGEREF _Toc135384384 \h </w:instrText>
            </w:r>
            <w:r>
              <w:rPr>
                <w:noProof/>
                <w:webHidden/>
              </w:rPr>
            </w:r>
            <w:r>
              <w:rPr>
                <w:noProof/>
                <w:webHidden/>
              </w:rPr>
              <w:fldChar w:fldCharType="separate"/>
            </w:r>
            <w:r w:rsidR="003A67BA">
              <w:rPr>
                <w:noProof/>
                <w:webHidden/>
              </w:rPr>
              <w:t>153</w:t>
            </w:r>
            <w:r>
              <w:rPr>
                <w:noProof/>
                <w:webHidden/>
              </w:rPr>
              <w:fldChar w:fldCharType="end"/>
            </w:r>
          </w:hyperlink>
        </w:p>
        <w:p w14:paraId="295499CA" w14:textId="29348D60" w:rsidR="00DE64E0" w:rsidRDefault="00DE64E0">
          <w:pPr>
            <w:pStyle w:val="TOC3"/>
            <w:rPr>
              <w:rFonts w:eastAsiaTheme="minorEastAsia" w:cstheme="minorBidi"/>
              <w:noProof/>
              <w:kern w:val="2"/>
              <w:sz w:val="24"/>
              <w:szCs w:val="24"/>
              <w:lang w:eastAsia="en-GB"/>
              <w14:ligatures w14:val="standardContextual"/>
            </w:rPr>
          </w:pPr>
          <w:hyperlink w:anchor="_Toc135384385" w:history="1">
            <w:r w:rsidRPr="00EF528F">
              <w:rPr>
                <w:rStyle w:val="Hyperlink"/>
                <w:noProof/>
              </w:rPr>
              <w:t>5.4.4.1 Theme 1: Trial benefits and effectiveness</w:t>
            </w:r>
            <w:r>
              <w:rPr>
                <w:noProof/>
                <w:webHidden/>
              </w:rPr>
              <w:tab/>
            </w:r>
            <w:r>
              <w:rPr>
                <w:noProof/>
                <w:webHidden/>
              </w:rPr>
              <w:fldChar w:fldCharType="begin"/>
            </w:r>
            <w:r>
              <w:rPr>
                <w:noProof/>
                <w:webHidden/>
              </w:rPr>
              <w:instrText xml:space="preserve"> PAGEREF _Toc135384385 \h </w:instrText>
            </w:r>
            <w:r>
              <w:rPr>
                <w:noProof/>
                <w:webHidden/>
              </w:rPr>
            </w:r>
            <w:r>
              <w:rPr>
                <w:noProof/>
                <w:webHidden/>
              </w:rPr>
              <w:fldChar w:fldCharType="separate"/>
            </w:r>
            <w:r w:rsidR="003A67BA">
              <w:rPr>
                <w:noProof/>
                <w:webHidden/>
              </w:rPr>
              <w:t>154</w:t>
            </w:r>
            <w:r>
              <w:rPr>
                <w:noProof/>
                <w:webHidden/>
              </w:rPr>
              <w:fldChar w:fldCharType="end"/>
            </w:r>
          </w:hyperlink>
        </w:p>
        <w:p w14:paraId="2D9CAADB" w14:textId="6020520C" w:rsidR="00DE64E0" w:rsidRDefault="00DE64E0">
          <w:pPr>
            <w:pStyle w:val="TOC3"/>
            <w:rPr>
              <w:rFonts w:eastAsiaTheme="minorEastAsia" w:cstheme="minorBidi"/>
              <w:noProof/>
              <w:kern w:val="2"/>
              <w:sz w:val="24"/>
              <w:szCs w:val="24"/>
              <w:lang w:eastAsia="en-GB"/>
              <w14:ligatures w14:val="standardContextual"/>
            </w:rPr>
          </w:pPr>
          <w:hyperlink w:anchor="_Toc135384386" w:history="1">
            <w:r w:rsidRPr="00EF528F">
              <w:rPr>
                <w:rStyle w:val="Hyperlink"/>
                <w:noProof/>
              </w:rPr>
              <w:t>5.4.4.2 Theme 2: Non-muscular health benefits</w:t>
            </w:r>
            <w:r>
              <w:rPr>
                <w:noProof/>
                <w:webHidden/>
              </w:rPr>
              <w:tab/>
            </w:r>
            <w:r>
              <w:rPr>
                <w:noProof/>
                <w:webHidden/>
              </w:rPr>
              <w:fldChar w:fldCharType="begin"/>
            </w:r>
            <w:r>
              <w:rPr>
                <w:noProof/>
                <w:webHidden/>
              </w:rPr>
              <w:instrText xml:space="preserve"> PAGEREF _Toc135384386 \h </w:instrText>
            </w:r>
            <w:r>
              <w:rPr>
                <w:noProof/>
                <w:webHidden/>
              </w:rPr>
            </w:r>
            <w:r>
              <w:rPr>
                <w:noProof/>
                <w:webHidden/>
              </w:rPr>
              <w:fldChar w:fldCharType="separate"/>
            </w:r>
            <w:r w:rsidR="003A67BA">
              <w:rPr>
                <w:noProof/>
                <w:webHidden/>
              </w:rPr>
              <w:t>157</w:t>
            </w:r>
            <w:r>
              <w:rPr>
                <w:noProof/>
                <w:webHidden/>
              </w:rPr>
              <w:fldChar w:fldCharType="end"/>
            </w:r>
          </w:hyperlink>
        </w:p>
        <w:p w14:paraId="6E53708B" w14:textId="52F87CB6" w:rsidR="00DE64E0" w:rsidRDefault="00DE64E0">
          <w:pPr>
            <w:pStyle w:val="TOC3"/>
            <w:rPr>
              <w:rFonts w:eastAsiaTheme="minorEastAsia" w:cstheme="minorBidi"/>
              <w:noProof/>
              <w:kern w:val="2"/>
              <w:sz w:val="24"/>
              <w:szCs w:val="24"/>
              <w:lang w:eastAsia="en-GB"/>
              <w14:ligatures w14:val="standardContextual"/>
            </w:rPr>
          </w:pPr>
          <w:hyperlink w:anchor="_Toc135384387" w:history="1">
            <w:r w:rsidRPr="00EF528F">
              <w:rPr>
                <w:rStyle w:val="Hyperlink"/>
                <w:noProof/>
              </w:rPr>
              <w:t>5.3.4.3 Theme 3: Factors that influenced engagement</w:t>
            </w:r>
            <w:r>
              <w:rPr>
                <w:noProof/>
                <w:webHidden/>
              </w:rPr>
              <w:tab/>
            </w:r>
            <w:r>
              <w:rPr>
                <w:noProof/>
                <w:webHidden/>
              </w:rPr>
              <w:fldChar w:fldCharType="begin"/>
            </w:r>
            <w:r>
              <w:rPr>
                <w:noProof/>
                <w:webHidden/>
              </w:rPr>
              <w:instrText xml:space="preserve"> PAGEREF _Toc135384387 \h </w:instrText>
            </w:r>
            <w:r>
              <w:rPr>
                <w:noProof/>
                <w:webHidden/>
              </w:rPr>
            </w:r>
            <w:r>
              <w:rPr>
                <w:noProof/>
                <w:webHidden/>
              </w:rPr>
              <w:fldChar w:fldCharType="separate"/>
            </w:r>
            <w:r w:rsidR="003A67BA">
              <w:rPr>
                <w:noProof/>
                <w:webHidden/>
              </w:rPr>
              <w:t>160</w:t>
            </w:r>
            <w:r>
              <w:rPr>
                <w:noProof/>
                <w:webHidden/>
              </w:rPr>
              <w:fldChar w:fldCharType="end"/>
            </w:r>
          </w:hyperlink>
        </w:p>
        <w:p w14:paraId="12116E4C" w14:textId="21D5309B" w:rsidR="00DE64E0" w:rsidRDefault="00DE64E0">
          <w:pPr>
            <w:pStyle w:val="TOC3"/>
            <w:rPr>
              <w:rFonts w:eastAsiaTheme="minorEastAsia" w:cstheme="minorBidi"/>
              <w:noProof/>
              <w:kern w:val="2"/>
              <w:sz w:val="24"/>
              <w:szCs w:val="24"/>
              <w:lang w:eastAsia="en-GB"/>
              <w14:ligatures w14:val="standardContextual"/>
            </w:rPr>
          </w:pPr>
          <w:hyperlink w:anchor="_Toc135384388" w:history="1">
            <w:r w:rsidRPr="00EF528F">
              <w:rPr>
                <w:rStyle w:val="Hyperlink"/>
                <w:noProof/>
              </w:rPr>
              <w:t>5.4.4.4 Theme 4: Areas not enjoyed by the participants</w:t>
            </w:r>
            <w:r>
              <w:rPr>
                <w:noProof/>
                <w:webHidden/>
              </w:rPr>
              <w:tab/>
            </w:r>
            <w:r>
              <w:rPr>
                <w:noProof/>
                <w:webHidden/>
              </w:rPr>
              <w:fldChar w:fldCharType="begin"/>
            </w:r>
            <w:r>
              <w:rPr>
                <w:noProof/>
                <w:webHidden/>
              </w:rPr>
              <w:instrText xml:space="preserve"> PAGEREF _Toc135384388 \h </w:instrText>
            </w:r>
            <w:r>
              <w:rPr>
                <w:noProof/>
                <w:webHidden/>
              </w:rPr>
            </w:r>
            <w:r>
              <w:rPr>
                <w:noProof/>
                <w:webHidden/>
              </w:rPr>
              <w:fldChar w:fldCharType="separate"/>
            </w:r>
            <w:r w:rsidR="003A67BA">
              <w:rPr>
                <w:noProof/>
                <w:webHidden/>
              </w:rPr>
              <w:t>169</w:t>
            </w:r>
            <w:r>
              <w:rPr>
                <w:noProof/>
                <w:webHidden/>
              </w:rPr>
              <w:fldChar w:fldCharType="end"/>
            </w:r>
          </w:hyperlink>
        </w:p>
        <w:p w14:paraId="41C11F5E" w14:textId="0AB65FA9" w:rsidR="00DE64E0" w:rsidRDefault="00DE64E0">
          <w:pPr>
            <w:pStyle w:val="TOC2"/>
            <w:rPr>
              <w:rFonts w:eastAsiaTheme="minorEastAsia" w:cstheme="minorBidi"/>
              <w:noProof/>
              <w:kern w:val="2"/>
              <w:sz w:val="24"/>
              <w:szCs w:val="24"/>
              <w:lang w:eastAsia="en-GB"/>
              <w14:ligatures w14:val="standardContextual"/>
            </w:rPr>
          </w:pPr>
          <w:hyperlink w:anchor="_Toc135384389" w:history="1">
            <w:r w:rsidRPr="00EF528F">
              <w:rPr>
                <w:rStyle w:val="Hyperlink"/>
                <w:b/>
                <w:bCs/>
                <w:noProof/>
              </w:rPr>
              <w:t>5.5 Discussion</w:t>
            </w:r>
            <w:r>
              <w:rPr>
                <w:noProof/>
                <w:webHidden/>
              </w:rPr>
              <w:tab/>
            </w:r>
            <w:r>
              <w:rPr>
                <w:noProof/>
                <w:webHidden/>
              </w:rPr>
              <w:fldChar w:fldCharType="begin"/>
            </w:r>
            <w:r>
              <w:rPr>
                <w:noProof/>
                <w:webHidden/>
              </w:rPr>
              <w:instrText xml:space="preserve"> PAGEREF _Toc135384389 \h </w:instrText>
            </w:r>
            <w:r>
              <w:rPr>
                <w:noProof/>
                <w:webHidden/>
              </w:rPr>
            </w:r>
            <w:r>
              <w:rPr>
                <w:noProof/>
                <w:webHidden/>
              </w:rPr>
              <w:fldChar w:fldCharType="separate"/>
            </w:r>
            <w:r w:rsidR="003A67BA">
              <w:rPr>
                <w:noProof/>
                <w:webHidden/>
              </w:rPr>
              <w:t>177</w:t>
            </w:r>
            <w:r>
              <w:rPr>
                <w:noProof/>
                <w:webHidden/>
              </w:rPr>
              <w:fldChar w:fldCharType="end"/>
            </w:r>
          </w:hyperlink>
        </w:p>
        <w:p w14:paraId="28DD371C" w14:textId="11809676" w:rsidR="00DE64E0" w:rsidRDefault="00DE64E0">
          <w:pPr>
            <w:pStyle w:val="TOC3"/>
            <w:rPr>
              <w:rFonts w:eastAsiaTheme="minorEastAsia" w:cstheme="minorBidi"/>
              <w:noProof/>
              <w:kern w:val="2"/>
              <w:sz w:val="24"/>
              <w:szCs w:val="24"/>
              <w:lang w:eastAsia="en-GB"/>
              <w14:ligatures w14:val="standardContextual"/>
            </w:rPr>
          </w:pPr>
          <w:hyperlink w:anchor="_Toc135384390" w:history="1">
            <w:r w:rsidRPr="00EF528F">
              <w:rPr>
                <w:rStyle w:val="Hyperlink"/>
                <w:noProof/>
              </w:rPr>
              <w:t>5.5.1  Study strengths</w:t>
            </w:r>
            <w:r>
              <w:rPr>
                <w:noProof/>
                <w:webHidden/>
              </w:rPr>
              <w:tab/>
            </w:r>
            <w:r>
              <w:rPr>
                <w:noProof/>
                <w:webHidden/>
              </w:rPr>
              <w:fldChar w:fldCharType="begin"/>
            </w:r>
            <w:r>
              <w:rPr>
                <w:noProof/>
                <w:webHidden/>
              </w:rPr>
              <w:instrText xml:space="preserve"> PAGEREF _Toc135384390 \h </w:instrText>
            </w:r>
            <w:r>
              <w:rPr>
                <w:noProof/>
                <w:webHidden/>
              </w:rPr>
            </w:r>
            <w:r>
              <w:rPr>
                <w:noProof/>
                <w:webHidden/>
              </w:rPr>
              <w:fldChar w:fldCharType="separate"/>
            </w:r>
            <w:r w:rsidR="003A67BA">
              <w:rPr>
                <w:noProof/>
                <w:webHidden/>
              </w:rPr>
              <w:t>185</w:t>
            </w:r>
            <w:r>
              <w:rPr>
                <w:noProof/>
                <w:webHidden/>
              </w:rPr>
              <w:fldChar w:fldCharType="end"/>
            </w:r>
          </w:hyperlink>
        </w:p>
        <w:p w14:paraId="4997FE78" w14:textId="0D18EBF6" w:rsidR="00DE64E0" w:rsidRDefault="00DE64E0">
          <w:pPr>
            <w:pStyle w:val="TOC3"/>
            <w:rPr>
              <w:rFonts w:eastAsiaTheme="minorEastAsia" w:cstheme="minorBidi"/>
              <w:noProof/>
              <w:kern w:val="2"/>
              <w:sz w:val="24"/>
              <w:szCs w:val="24"/>
              <w:lang w:eastAsia="en-GB"/>
              <w14:ligatures w14:val="standardContextual"/>
            </w:rPr>
          </w:pPr>
          <w:hyperlink w:anchor="_Toc135384391" w:history="1">
            <w:r w:rsidRPr="00EF528F">
              <w:rPr>
                <w:rStyle w:val="Hyperlink"/>
                <w:noProof/>
              </w:rPr>
              <w:t>5.5.2 Study limitations</w:t>
            </w:r>
            <w:r>
              <w:rPr>
                <w:noProof/>
                <w:webHidden/>
              </w:rPr>
              <w:tab/>
            </w:r>
            <w:r>
              <w:rPr>
                <w:noProof/>
                <w:webHidden/>
              </w:rPr>
              <w:fldChar w:fldCharType="begin"/>
            </w:r>
            <w:r>
              <w:rPr>
                <w:noProof/>
                <w:webHidden/>
              </w:rPr>
              <w:instrText xml:space="preserve"> PAGEREF _Toc135384391 \h </w:instrText>
            </w:r>
            <w:r>
              <w:rPr>
                <w:noProof/>
                <w:webHidden/>
              </w:rPr>
            </w:r>
            <w:r>
              <w:rPr>
                <w:noProof/>
                <w:webHidden/>
              </w:rPr>
              <w:fldChar w:fldCharType="separate"/>
            </w:r>
            <w:r w:rsidR="003A67BA">
              <w:rPr>
                <w:noProof/>
                <w:webHidden/>
              </w:rPr>
              <w:t>186</w:t>
            </w:r>
            <w:r>
              <w:rPr>
                <w:noProof/>
                <w:webHidden/>
              </w:rPr>
              <w:fldChar w:fldCharType="end"/>
            </w:r>
          </w:hyperlink>
        </w:p>
        <w:p w14:paraId="670A1E81" w14:textId="1020ED99" w:rsidR="00DE64E0" w:rsidRDefault="00DE64E0">
          <w:pPr>
            <w:pStyle w:val="TOC3"/>
            <w:rPr>
              <w:rFonts w:eastAsiaTheme="minorEastAsia" w:cstheme="minorBidi"/>
              <w:noProof/>
              <w:kern w:val="2"/>
              <w:sz w:val="24"/>
              <w:szCs w:val="24"/>
              <w:lang w:eastAsia="en-GB"/>
              <w14:ligatures w14:val="standardContextual"/>
            </w:rPr>
          </w:pPr>
          <w:hyperlink w:anchor="_Toc135384392" w:history="1">
            <w:r w:rsidRPr="00EF528F">
              <w:rPr>
                <w:rStyle w:val="Hyperlink"/>
                <w:noProof/>
              </w:rPr>
              <w:t>5.5.3 Conclusions</w:t>
            </w:r>
            <w:r>
              <w:rPr>
                <w:noProof/>
                <w:webHidden/>
              </w:rPr>
              <w:tab/>
            </w:r>
            <w:r>
              <w:rPr>
                <w:noProof/>
                <w:webHidden/>
              </w:rPr>
              <w:fldChar w:fldCharType="begin"/>
            </w:r>
            <w:r>
              <w:rPr>
                <w:noProof/>
                <w:webHidden/>
              </w:rPr>
              <w:instrText xml:space="preserve"> PAGEREF _Toc135384392 \h </w:instrText>
            </w:r>
            <w:r>
              <w:rPr>
                <w:noProof/>
                <w:webHidden/>
              </w:rPr>
            </w:r>
            <w:r>
              <w:rPr>
                <w:noProof/>
                <w:webHidden/>
              </w:rPr>
              <w:fldChar w:fldCharType="separate"/>
            </w:r>
            <w:r w:rsidR="003A67BA">
              <w:rPr>
                <w:noProof/>
                <w:webHidden/>
              </w:rPr>
              <w:t>189</w:t>
            </w:r>
            <w:r>
              <w:rPr>
                <w:noProof/>
                <w:webHidden/>
              </w:rPr>
              <w:fldChar w:fldCharType="end"/>
            </w:r>
          </w:hyperlink>
        </w:p>
        <w:p w14:paraId="0A411DB3" w14:textId="5A47C705"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393" w:history="1">
            <w:r w:rsidRPr="00EF528F">
              <w:rPr>
                <w:rStyle w:val="Hyperlink"/>
                <w:noProof/>
              </w:rPr>
              <w:t>Chapter 6: A randomised controlled trial to assess the effectiveness of resistance exercise and protein remotely delivered to middle-aged adults for muscle function: a study protocol.</w:t>
            </w:r>
            <w:r>
              <w:rPr>
                <w:noProof/>
                <w:webHidden/>
              </w:rPr>
              <w:tab/>
            </w:r>
            <w:r>
              <w:rPr>
                <w:noProof/>
                <w:webHidden/>
              </w:rPr>
              <w:fldChar w:fldCharType="begin"/>
            </w:r>
            <w:r>
              <w:rPr>
                <w:noProof/>
                <w:webHidden/>
              </w:rPr>
              <w:instrText xml:space="preserve"> PAGEREF _Toc135384393 \h </w:instrText>
            </w:r>
            <w:r>
              <w:rPr>
                <w:noProof/>
                <w:webHidden/>
              </w:rPr>
            </w:r>
            <w:r>
              <w:rPr>
                <w:noProof/>
                <w:webHidden/>
              </w:rPr>
              <w:fldChar w:fldCharType="separate"/>
            </w:r>
            <w:r w:rsidR="003A67BA">
              <w:rPr>
                <w:noProof/>
                <w:webHidden/>
              </w:rPr>
              <w:t>190</w:t>
            </w:r>
            <w:r>
              <w:rPr>
                <w:noProof/>
                <w:webHidden/>
              </w:rPr>
              <w:fldChar w:fldCharType="end"/>
            </w:r>
          </w:hyperlink>
        </w:p>
        <w:p w14:paraId="7F1CFF8A" w14:textId="0EAAECC0" w:rsidR="00DE64E0" w:rsidRDefault="00DE64E0">
          <w:pPr>
            <w:pStyle w:val="TOC2"/>
            <w:rPr>
              <w:rFonts w:eastAsiaTheme="minorEastAsia" w:cstheme="minorBidi"/>
              <w:noProof/>
              <w:kern w:val="2"/>
              <w:sz w:val="24"/>
              <w:szCs w:val="24"/>
              <w:lang w:eastAsia="en-GB"/>
              <w14:ligatures w14:val="standardContextual"/>
            </w:rPr>
          </w:pPr>
          <w:hyperlink w:anchor="_Toc135384394" w:history="1">
            <w:r w:rsidRPr="00EF528F">
              <w:rPr>
                <w:rStyle w:val="Hyperlink"/>
                <w:b/>
                <w:bCs/>
                <w:noProof/>
              </w:rPr>
              <w:t>6.1 Introduction</w:t>
            </w:r>
            <w:r>
              <w:rPr>
                <w:noProof/>
                <w:webHidden/>
              </w:rPr>
              <w:tab/>
            </w:r>
            <w:r>
              <w:rPr>
                <w:noProof/>
                <w:webHidden/>
              </w:rPr>
              <w:fldChar w:fldCharType="begin"/>
            </w:r>
            <w:r>
              <w:rPr>
                <w:noProof/>
                <w:webHidden/>
              </w:rPr>
              <w:instrText xml:space="preserve"> PAGEREF _Toc135384394 \h </w:instrText>
            </w:r>
            <w:r>
              <w:rPr>
                <w:noProof/>
                <w:webHidden/>
              </w:rPr>
            </w:r>
            <w:r>
              <w:rPr>
                <w:noProof/>
                <w:webHidden/>
              </w:rPr>
              <w:fldChar w:fldCharType="separate"/>
            </w:r>
            <w:r w:rsidR="003A67BA">
              <w:rPr>
                <w:noProof/>
                <w:webHidden/>
              </w:rPr>
              <w:t>190</w:t>
            </w:r>
            <w:r>
              <w:rPr>
                <w:noProof/>
                <w:webHidden/>
              </w:rPr>
              <w:fldChar w:fldCharType="end"/>
            </w:r>
          </w:hyperlink>
        </w:p>
        <w:p w14:paraId="16845516" w14:textId="4E4944BC" w:rsidR="00DE64E0" w:rsidRDefault="00DE64E0" w:rsidP="00104343">
          <w:pPr>
            <w:pStyle w:val="TOC3"/>
            <w:rPr>
              <w:rFonts w:eastAsiaTheme="minorEastAsia" w:cstheme="minorBidi"/>
              <w:noProof/>
              <w:kern w:val="2"/>
              <w:sz w:val="24"/>
              <w:szCs w:val="24"/>
              <w:lang w:eastAsia="en-GB"/>
              <w14:ligatures w14:val="standardContextual"/>
            </w:rPr>
          </w:pPr>
          <w:hyperlink w:anchor="_Toc135384395" w:history="1">
            <w:r w:rsidRPr="00EF528F">
              <w:rPr>
                <w:rStyle w:val="Hyperlink"/>
                <w:b/>
                <w:bCs/>
                <w:noProof/>
              </w:rPr>
              <w:t>6.1.1 Background and rationale</w:t>
            </w:r>
            <w:r>
              <w:rPr>
                <w:noProof/>
                <w:webHidden/>
              </w:rPr>
              <w:tab/>
            </w:r>
            <w:r>
              <w:rPr>
                <w:noProof/>
                <w:webHidden/>
              </w:rPr>
              <w:fldChar w:fldCharType="begin"/>
            </w:r>
            <w:r>
              <w:rPr>
                <w:noProof/>
                <w:webHidden/>
              </w:rPr>
              <w:instrText xml:space="preserve"> PAGEREF _Toc135384395 \h </w:instrText>
            </w:r>
            <w:r>
              <w:rPr>
                <w:noProof/>
                <w:webHidden/>
              </w:rPr>
            </w:r>
            <w:r>
              <w:rPr>
                <w:noProof/>
                <w:webHidden/>
              </w:rPr>
              <w:fldChar w:fldCharType="separate"/>
            </w:r>
            <w:r w:rsidR="003A67BA">
              <w:rPr>
                <w:noProof/>
                <w:webHidden/>
              </w:rPr>
              <w:t>191</w:t>
            </w:r>
            <w:r>
              <w:rPr>
                <w:noProof/>
                <w:webHidden/>
              </w:rPr>
              <w:fldChar w:fldCharType="end"/>
            </w:r>
          </w:hyperlink>
        </w:p>
        <w:p w14:paraId="6DC0DB85" w14:textId="5CD0C8C7" w:rsidR="00DE64E0" w:rsidRDefault="00DE64E0">
          <w:pPr>
            <w:pStyle w:val="TOC2"/>
            <w:rPr>
              <w:rFonts w:eastAsiaTheme="minorEastAsia" w:cstheme="minorBidi"/>
              <w:noProof/>
              <w:kern w:val="2"/>
              <w:sz w:val="24"/>
              <w:szCs w:val="24"/>
              <w:lang w:eastAsia="en-GB"/>
              <w14:ligatures w14:val="standardContextual"/>
            </w:rPr>
          </w:pPr>
          <w:hyperlink w:anchor="_Toc135384396" w:history="1">
            <w:r w:rsidRPr="00EF528F">
              <w:rPr>
                <w:rStyle w:val="Hyperlink"/>
                <w:b/>
                <w:bCs/>
                <w:noProof/>
              </w:rPr>
              <w:t>6.2: Aim, Objectives and hypothesis</w:t>
            </w:r>
            <w:r>
              <w:rPr>
                <w:noProof/>
                <w:webHidden/>
              </w:rPr>
              <w:tab/>
            </w:r>
            <w:r>
              <w:rPr>
                <w:noProof/>
                <w:webHidden/>
              </w:rPr>
              <w:fldChar w:fldCharType="begin"/>
            </w:r>
            <w:r>
              <w:rPr>
                <w:noProof/>
                <w:webHidden/>
              </w:rPr>
              <w:instrText xml:space="preserve"> PAGEREF _Toc135384396 \h </w:instrText>
            </w:r>
            <w:r>
              <w:rPr>
                <w:noProof/>
                <w:webHidden/>
              </w:rPr>
            </w:r>
            <w:r>
              <w:rPr>
                <w:noProof/>
                <w:webHidden/>
              </w:rPr>
              <w:fldChar w:fldCharType="separate"/>
            </w:r>
            <w:r w:rsidR="003A67BA">
              <w:rPr>
                <w:noProof/>
                <w:webHidden/>
              </w:rPr>
              <w:t>192</w:t>
            </w:r>
            <w:r>
              <w:rPr>
                <w:noProof/>
                <w:webHidden/>
              </w:rPr>
              <w:fldChar w:fldCharType="end"/>
            </w:r>
          </w:hyperlink>
        </w:p>
        <w:p w14:paraId="1AB275CE" w14:textId="50B36FB4" w:rsidR="00DE64E0" w:rsidRDefault="00DE64E0" w:rsidP="00104343">
          <w:pPr>
            <w:pStyle w:val="TOC3"/>
            <w:rPr>
              <w:rFonts w:eastAsiaTheme="minorEastAsia" w:cstheme="minorBidi"/>
              <w:noProof/>
              <w:kern w:val="2"/>
              <w:sz w:val="24"/>
              <w:szCs w:val="24"/>
              <w:lang w:eastAsia="en-GB"/>
              <w14:ligatures w14:val="standardContextual"/>
            </w:rPr>
          </w:pPr>
          <w:hyperlink w:anchor="_Toc135384397" w:history="1">
            <w:r w:rsidRPr="00EF528F">
              <w:rPr>
                <w:rStyle w:val="Hyperlink"/>
                <w:noProof/>
              </w:rPr>
              <w:t>6.2.1 Aim</w:t>
            </w:r>
            <w:r>
              <w:rPr>
                <w:noProof/>
                <w:webHidden/>
              </w:rPr>
              <w:tab/>
            </w:r>
            <w:r>
              <w:rPr>
                <w:noProof/>
                <w:webHidden/>
              </w:rPr>
              <w:fldChar w:fldCharType="begin"/>
            </w:r>
            <w:r>
              <w:rPr>
                <w:noProof/>
                <w:webHidden/>
              </w:rPr>
              <w:instrText xml:space="preserve"> PAGEREF _Toc135384397 \h </w:instrText>
            </w:r>
            <w:r>
              <w:rPr>
                <w:noProof/>
                <w:webHidden/>
              </w:rPr>
            </w:r>
            <w:r>
              <w:rPr>
                <w:noProof/>
                <w:webHidden/>
              </w:rPr>
              <w:fldChar w:fldCharType="separate"/>
            </w:r>
            <w:r w:rsidR="003A67BA">
              <w:rPr>
                <w:noProof/>
                <w:webHidden/>
              </w:rPr>
              <w:t>192</w:t>
            </w:r>
            <w:r>
              <w:rPr>
                <w:noProof/>
                <w:webHidden/>
              </w:rPr>
              <w:fldChar w:fldCharType="end"/>
            </w:r>
          </w:hyperlink>
        </w:p>
        <w:p w14:paraId="4B5E164F" w14:textId="0C54ED56" w:rsidR="00DE64E0" w:rsidRDefault="00DE64E0" w:rsidP="00104343">
          <w:pPr>
            <w:pStyle w:val="TOC3"/>
            <w:rPr>
              <w:rFonts w:eastAsiaTheme="minorEastAsia" w:cstheme="minorBidi"/>
              <w:noProof/>
              <w:kern w:val="2"/>
              <w:sz w:val="24"/>
              <w:szCs w:val="24"/>
              <w:lang w:eastAsia="en-GB"/>
              <w14:ligatures w14:val="standardContextual"/>
            </w:rPr>
          </w:pPr>
          <w:hyperlink w:anchor="_Toc135384398" w:history="1">
            <w:r w:rsidRPr="00EF528F">
              <w:rPr>
                <w:rStyle w:val="Hyperlink"/>
                <w:noProof/>
              </w:rPr>
              <w:t>6.2.2 Objectives</w:t>
            </w:r>
            <w:r>
              <w:rPr>
                <w:noProof/>
                <w:webHidden/>
              </w:rPr>
              <w:tab/>
            </w:r>
            <w:r>
              <w:rPr>
                <w:noProof/>
                <w:webHidden/>
              </w:rPr>
              <w:fldChar w:fldCharType="begin"/>
            </w:r>
            <w:r>
              <w:rPr>
                <w:noProof/>
                <w:webHidden/>
              </w:rPr>
              <w:instrText xml:space="preserve"> PAGEREF _Toc135384398 \h </w:instrText>
            </w:r>
            <w:r>
              <w:rPr>
                <w:noProof/>
                <w:webHidden/>
              </w:rPr>
            </w:r>
            <w:r>
              <w:rPr>
                <w:noProof/>
                <w:webHidden/>
              </w:rPr>
              <w:fldChar w:fldCharType="separate"/>
            </w:r>
            <w:r w:rsidR="003A67BA">
              <w:rPr>
                <w:noProof/>
                <w:webHidden/>
              </w:rPr>
              <w:t>192</w:t>
            </w:r>
            <w:r>
              <w:rPr>
                <w:noProof/>
                <w:webHidden/>
              </w:rPr>
              <w:fldChar w:fldCharType="end"/>
            </w:r>
          </w:hyperlink>
        </w:p>
        <w:p w14:paraId="738AB08F" w14:textId="3121BAE2" w:rsidR="00DE64E0" w:rsidRDefault="00DE64E0" w:rsidP="00104343">
          <w:pPr>
            <w:pStyle w:val="TOC3"/>
            <w:rPr>
              <w:rFonts w:eastAsiaTheme="minorEastAsia" w:cstheme="minorBidi"/>
              <w:noProof/>
              <w:kern w:val="2"/>
              <w:sz w:val="24"/>
              <w:szCs w:val="24"/>
              <w:lang w:eastAsia="en-GB"/>
              <w14:ligatures w14:val="standardContextual"/>
            </w:rPr>
          </w:pPr>
          <w:hyperlink w:anchor="_Toc135384399" w:history="1">
            <w:r w:rsidRPr="00EF528F">
              <w:rPr>
                <w:rStyle w:val="Hyperlink"/>
                <w:noProof/>
              </w:rPr>
              <w:t>6.2.3 Hypothesis</w:t>
            </w:r>
            <w:r>
              <w:rPr>
                <w:noProof/>
                <w:webHidden/>
              </w:rPr>
              <w:tab/>
            </w:r>
            <w:r>
              <w:rPr>
                <w:noProof/>
                <w:webHidden/>
              </w:rPr>
              <w:fldChar w:fldCharType="begin"/>
            </w:r>
            <w:r>
              <w:rPr>
                <w:noProof/>
                <w:webHidden/>
              </w:rPr>
              <w:instrText xml:space="preserve"> PAGEREF _Toc135384399 \h </w:instrText>
            </w:r>
            <w:r>
              <w:rPr>
                <w:noProof/>
                <w:webHidden/>
              </w:rPr>
            </w:r>
            <w:r>
              <w:rPr>
                <w:noProof/>
                <w:webHidden/>
              </w:rPr>
              <w:fldChar w:fldCharType="separate"/>
            </w:r>
            <w:r w:rsidR="003A67BA">
              <w:rPr>
                <w:noProof/>
                <w:webHidden/>
              </w:rPr>
              <w:t>192</w:t>
            </w:r>
            <w:r>
              <w:rPr>
                <w:noProof/>
                <w:webHidden/>
              </w:rPr>
              <w:fldChar w:fldCharType="end"/>
            </w:r>
          </w:hyperlink>
        </w:p>
        <w:p w14:paraId="2AA45251" w14:textId="760B443E" w:rsidR="00DE64E0" w:rsidRDefault="00DE64E0" w:rsidP="00104343">
          <w:pPr>
            <w:pStyle w:val="TOC3"/>
            <w:rPr>
              <w:rFonts w:eastAsiaTheme="minorEastAsia" w:cstheme="minorBidi"/>
              <w:noProof/>
              <w:kern w:val="2"/>
              <w:sz w:val="24"/>
              <w:szCs w:val="24"/>
              <w:lang w:eastAsia="en-GB"/>
              <w14:ligatures w14:val="standardContextual"/>
            </w:rPr>
          </w:pPr>
          <w:hyperlink w:anchor="_Toc135384400" w:history="1">
            <w:r w:rsidRPr="00EF528F">
              <w:rPr>
                <w:rStyle w:val="Hyperlink"/>
                <w:noProof/>
              </w:rPr>
              <w:t>6.3.1 Preliminary study design</w:t>
            </w:r>
            <w:r>
              <w:rPr>
                <w:noProof/>
                <w:webHidden/>
              </w:rPr>
              <w:tab/>
            </w:r>
            <w:r>
              <w:rPr>
                <w:noProof/>
                <w:webHidden/>
              </w:rPr>
              <w:fldChar w:fldCharType="begin"/>
            </w:r>
            <w:r>
              <w:rPr>
                <w:noProof/>
                <w:webHidden/>
              </w:rPr>
              <w:instrText xml:space="preserve"> PAGEREF _Toc135384400 \h </w:instrText>
            </w:r>
            <w:r>
              <w:rPr>
                <w:noProof/>
                <w:webHidden/>
              </w:rPr>
            </w:r>
            <w:r>
              <w:rPr>
                <w:noProof/>
                <w:webHidden/>
              </w:rPr>
              <w:fldChar w:fldCharType="separate"/>
            </w:r>
            <w:r w:rsidR="003A67BA">
              <w:rPr>
                <w:noProof/>
                <w:webHidden/>
              </w:rPr>
              <w:t>194</w:t>
            </w:r>
            <w:r>
              <w:rPr>
                <w:noProof/>
                <w:webHidden/>
              </w:rPr>
              <w:fldChar w:fldCharType="end"/>
            </w:r>
          </w:hyperlink>
        </w:p>
        <w:p w14:paraId="7CF6A458" w14:textId="2945FE0E" w:rsidR="00DE64E0" w:rsidRDefault="00DE64E0">
          <w:pPr>
            <w:pStyle w:val="TOC2"/>
            <w:rPr>
              <w:rFonts w:eastAsiaTheme="minorEastAsia" w:cstheme="minorBidi"/>
              <w:noProof/>
              <w:kern w:val="2"/>
              <w:sz w:val="24"/>
              <w:szCs w:val="24"/>
              <w:lang w:eastAsia="en-GB"/>
              <w14:ligatures w14:val="standardContextual"/>
            </w:rPr>
          </w:pPr>
          <w:hyperlink w:anchor="_Toc135384401" w:history="1">
            <w:r w:rsidRPr="00EF528F">
              <w:rPr>
                <w:rStyle w:val="Hyperlink"/>
                <w:b/>
                <w:bCs/>
                <w:noProof/>
              </w:rPr>
              <w:t>6.4 Final Trial design</w:t>
            </w:r>
            <w:r>
              <w:rPr>
                <w:noProof/>
                <w:webHidden/>
              </w:rPr>
              <w:tab/>
            </w:r>
            <w:r>
              <w:rPr>
                <w:noProof/>
                <w:webHidden/>
              </w:rPr>
              <w:fldChar w:fldCharType="begin"/>
            </w:r>
            <w:r>
              <w:rPr>
                <w:noProof/>
                <w:webHidden/>
              </w:rPr>
              <w:instrText xml:space="preserve"> PAGEREF _Toc135384401 \h </w:instrText>
            </w:r>
            <w:r>
              <w:rPr>
                <w:noProof/>
                <w:webHidden/>
              </w:rPr>
            </w:r>
            <w:r>
              <w:rPr>
                <w:noProof/>
                <w:webHidden/>
              </w:rPr>
              <w:fldChar w:fldCharType="separate"/>
            </w:r>
            <w:r w:rsidR="003A67BA">
              <w:rPr>
                <w:noProof/>
                <w:webHidden/>
              </w:rPr>
              <w:t>195</w:t>
            </w:r>
            <w:r>
              <w:rPr>
                <w:noProof/>
                <w:webHidden/>
              </w:rPr>
              <w:fldChar w:fldCharType="end"/>
            </w:r>
          </w:hyperlink>
        </w:p>
        <w:p w14:paraId="1D0BC9A5" w14:textId="7D30188D" w:rsidR="00DE64E0" w:rsidRDefault="00DE64E0">
          <w:pPr>
            <w:pStyle w:val="TOC2"/>
            <w:rPr>
              <w:rFonts w:eastAsiaTheme="minorEastAsia" w:cstheme="minorBidi"/>
              <w:noProof/>
              <w:kern w:val="2"/>
              <w:sz w:val="24"/>
              <w:szCs w:val="24"/>
              <w:lang w:eastAsia="en-GB"/>
              <w14:ligatures w14:val="standardContextual"/>
            </w:rPr>
          </w:pPr>
          <w:hyperlink w:anchor="_Toc135384402" w:history="1">
            <w:r w:rsidRPr="00EF528F">
              <w:rPr>
                <w:rStyle w:val="Hyperlink"/>
                <w:b/>
                <w:bCs/>
                <w:noProof/>
              </w:rPr>
              <w:t>6.5  Methods</w:t>
            </w:r>
            <w:r>
              <w:rPr>
                <w:noProof/>
                <w:webHidden/>
              </w:rPr>
              <w:tab/>
            </w:r>
            <w:r>
              <w:rPr>
                <w:noProof/>
                <w:webHidden/>
              </w:rPr>
              <w:fldChar w:fldCharType="begin"/>
            </w:r>
            <w:r>
              <w:rPr>
                <w:noProof/>
                <w:webHidden/>
              </w:rPr>
              <w:instrText xml:space="preserve"> PAGEREF _Toc135384402 \h </w:instrText>
            </w:r>
            <w:r>
              <w:rPr>
                <w:noProof/>
                <w:webHidden/>
              </w:rPr>
            </w:r>
            <w:r>
              <w:rPr>
                <w:noProof/>
                <w:webHidden/>
              </w:rPr>
              <w:fldChar w:fldCharType="separate"/>
            </w:r>
            <w:r w:rsidR="003A67BA">
              <w:rPr>
                <w:noProof/>
                <w:webHidden/>
              </w:rPr>
              <w:t>195</w:t>
            </w:r>
            <w:r>
              <w:rPr>
                <w:noProof/>
                <w:webHidden/>
              </w:rPr>
              <w:fldChar w:fldCharType="end"/>
            </w:r>
          </w:hyperlink>
        </w:p>
        <w:p w14:paraId="68437437" w14:textId="392AE5A4" w:rsidR="00DE64E0" w:rsidRDefault="00DE64E0" w:rsidP="00104343">
          <w:pPr>
            <w:pStyle w:val="TOC3"/>
            <w:rPr>
              <w:rFonts w:eastAsiaTheme="minorEastAsia" w:cstheme="minorBidi"/>
              <w:noProof/>
              <w:kern w:val="2"/>
              <w:sz w:val="24"/>
              <w:szCs w:val="24"/>
              <w:lang w:eastAsia="en-GB"/>
              <w14:ligatures w14:val="standardContextual"/>
            </w:rPr>
          </w:pPr>
          <w:hyperlink w:anchor="_Toc135384403" w:history="1">
            <w:r w:rsidRPr="00EF528F">
              <w:rPr>
                <w:rStyle w:val="Hyperlink"/>
                <w:noProof/>
              </w:rPr>
              <w:t>6.5.1 Participants, interventions and outcomes</w:t>
            </w:r>
            <w:r>
              <w:rPr>
                <w:noProof/>
                <w:webHidden/>
              </w:rPr>
              <w:tab/>
            </w:r>
            <w:r>
              <w:rPr>
                <w:noProof/>
                <w:webHidden/>
              </w:rPr>
              <w:fldChar w:fldCharType="begin"/>
            </w:r>
            <w:r>
              <w:rPr>
                <w:noProof/>
                <w:webHidden/>
              </w:rPr>
              <w:instrText xml:space="preserve"> PAGEREF _Toc135384403 \h </w:instrText>
            </w:r>
            <w:r>
              <w:rPr>
                <w:noProof/>
                <w:webHidden/>
              </w:rPr>
            </w:r>
            <w:r>
              <w:rPr>
                <w:noProof/>
                <w:webHidden/>
              </w:rPr>
              <w:fldChar w:fldCharType="separate"/>
            </w:r>
            <w:r w:rsidR="003A67BA">
              <w:rPr>
                <w:noProof/>
                <w:webHidden/>
              </w:rPr>
              <w:t>195</w:t>
            </w:r>
            <w:r>
              <w:rPr>
                <w:noProof/>
                <w:webHidden/>
              </w:rPr>
              <w:fldChar w:fldCharType="end"/>
            </w:r>
          </w:hyperlink>
        </w:p>
        <w:p w14:paraId="7ECE4170" w14:textId="3DB88757" w:rsidR="00DE64E0" w:rsidRDefault="00DE64E0" w:rsidP="00104343">
          <w:pPr>
            <w:pStyle w:val="TOC3"/>
            <w:rPr>
              <w:rFonts w:eastAsiaTheme="minorEastAsia" w:cstheme="minorBidi"/>
              <w:noProof/>
              <w:kern w:val="2"/>
              <w:sz w:val="24"/>
              <w:szCs w:val="24"/>
              <w:lang w:eastAsia="en-GB"/>
              <w14:ligatures w14:val="standardContextual"/>
            </w:rPr>
          </w:pPr>
          <w:hyperlink w:anchor="_Toc135384404" w:history="1">
            <w:r w:rsidRPr="00EF528F">
              <w:rPr>
                <w:rStyle w:val="Hyperlink"/>
                <w:noProof/>
              </w:rPr>
              <w:t>6.5.1.1 Study Setting</w:t>
            </w:r>
            <w:r>
              <w:rPr>
                <w:noProof/>
                <w:webHidden/>
              </w:rPr>
              <w:tab/>
            </w:r>
            <w:r>
              <w:rPr>
                <w:noProof/>
                <w:webHidden/>
              </w:rPr>
              <w:fldChar w:fldCharType="begin"/>
            </w:r>
            <w:r>
              <w:rPr>
                <w:noProof/>
                <w:webHidden/>
              </w:rPr>
              <w:instrText xml:space="preserve"> PAGEREF _Toc135384404 \h </w:instrText>
            </w:r>
            <w:r>
              <w:rPr>
                <w:noProof/>
                <w:webHidden/>
              </w:rPr>
            </w:r>
            <w:r>
              <w:rPr>
                <w:noProof/>
                <w:webHidden/>
              </w:rPr>
              <w:fldChar w:fldCharType="separate"/>
            </w:r>
            <w:r w:rsidR="003A67BA">
              <w:rPr>
                <w:noProof/>
                <w:webHidden/>
              </w:rPr>
              <w:t>195</w:t>
            </w:r>
            <w:r>
              <w:rPr>
                <w:noProof/>
                <w:webHidden/>
              </w:rPr>
              <w:fldChar w:fldCharType="end"/>
            </w:r>
          </w:hyperlink>
        </w:p>
        <w:p w14:paraId="49B14F43" w14:textId="34DB8790" w:rsidR="00DE64E0" w:rsidRDefault="00DE64E0" w:rsidP="00104343">
          <w:pPr>
            <w:pStyle w:val="TOC3"/>
            <w:rPr>
              <w:rFonts w:eastAsiaTheme="minorEastAsia" w:cstheme="minorBidi"/>
              <w:noProof/>
              <w:kern w:val="2"/>
              <w:sz w:val="24"/>
              <w:szCs w:val="24"/>
              <w:lang w:eastAsia="en-GB"/>
              <w14:ligatures w14:val="standardContextual"/>
            </w:rPr>
          </w:pPr>
          <w:hyperlink w:anchor="_Toc135384405" w:history="1">
            <w:r w:rsidRPr="00EF528F">
              <w:rPr>
                <w:rStyle w:val="Hyperlink"/>
                <w:noProof/>
              </w:rPr>
              <w:t>6.5.1.2 Eligibility criteria</w:t>
            </w:r>
            <w:r>
              <w:rPr>
                <w:noProof/>
                <w:webHidden/>
              </w:rPr>
              <w:tab/>
            </w:r>
            <w:r>
              <w:rPr>
                <w:noProof/>
                <w:webHidden/>
              </w:rPr>
              <w:fldChar w:fldCharType="begin"/>
            </w:r>
            <w:r>
              <w:rPr>
                <w:noProof/>
                <w:webHidden/>
              </w:rPr>
              <w:instrText xml:space="preserve"> PAGEREF _Toc135384405 \h </w:instrText>
            </w:r>
            <w:r>
              <w:rPr>
                <w:noProof/>
                <w:webHidden/>
              </w:rPr>
            </w:r>
            <w:r>
              <w:rPr>
                <w:noProof/>
                <w:webHidden/>
              </w:rPr>
              <w:fldChar w:fldCharType="separate"/>
            </w:r>
            <w:r w:rsidR="003A67BA">
              <w:rPr>
                <w:noProof/>
                <w:webHidden/>
              </w:rPr>
              <w:t>196</w:t>
            </w:r>
            <w:r>
              <w:rPr>
                <w:noProof/>
                <w:webHidden/>
              </w:rPr>
              <w:fldChar w:fldCharType="end"/>
            </w:r>
          </w:hyperlink>
        </w:p>
        <w:p w14:paraId="323A94A2" w14:textId="5D2A7346" w:rsidR="00DE64E0" w:rsidRDefault="00DE64E0" w:rsidP="00104343">
          <w:pPr>
            <w:pStyle w:val="TOC3"/>
            <w:rPr>
              <w:rFonts w:eastAsiaTheme="minorEastAsia" w:cstheme="minorBidi"/>
              <w:noProof/>
              <w:kern w:val="2"/>
              <w:sz w:val="24"/>
              <w:szCs w:val="24"/>
              <w:lang w:eastAsia="en-GB"/>
              <w14:ligatures w14:val="standardContextual"/>
            </w:rPr>
          </w:pPr>
          <w:hyperlink w:anchor="_Toc135384406" w:history="1">
            <w:r w:rsidRPr="00EF528F">
              <w:rPr>
                <w:rStyle w:val="Hyperlink"/>
                <w:noProof/>
              </w:rPr>
              <w:t>6.5.1.3 Interventions</w:t>
            </w:r>
            <w:r>
              <w:rPr>
                <w:noProof/>
                <w:webHidden/>
              </w:rPr>
              <w:tab/>
            </w:r>
            <w:r>
              <w:rPr>
                <w:noProof/>
                <w:webHidden/>
              </w:rPr>
              <w:fldChar w:fldCharType="begin"/>
            </w:r>
            <w:r>
              <w:rPr>
                <w:noProof/>
                <w:webHidden/>
              </w:rPr>
              <w:instrText xml:space="preserve"> PAGEREF _Toc135384406 \h </w:instrText>
            </w:r>
            <w:r>
              <w:rPr>
                <w:noProof/>
                <w:webHidden/>
              </w:rPr>
            </w:r>
            <w:r>
              <w:rPr>
                <w:noProof/>
                <w:webHidden/>
              </w:rPr>
              <w:fldChar w:fldCharType="separate"/>
            </w:r>
            <w:r w:rsidR="003A67BA">
              <w:rPr>
                <w:noProof/>
                <w:webHidden/>
              </w:rPr>
              <w:t>196</w:t>
            </w:r>
            <w:r>
              <w:rPr>
                <w:noProof/>
                <w:webHidden/>
              </w:rPr>
              <w:fldChar w:fldCharType="end"/>
            </w:r>
          </w:hyperlink>
        </w:p>
        <w:p w14:paraId="0C64D5C9" w14:textId="40951CC5" w:rsidR="00DE64E0" w:rsidRDefault="00DE64E0" w:rsidP="00104343">
          <w:pPr>
            <w:pStyle w:val="TOC3"/>
            <w:rPr>
              <w:rFonts w:eastAsiaTheme="minorEastAsia" w:cstheme="minorBidi"/>
              <w:noProof/>
              <w:kern w:val="2"/>
              <w:sz w:val="24"/>
              <w:szCs w:val="24"/>
              <w:lang w:eastAsia="en-GB"/>
              <w14:ligatures w14:val="standardContextual"/>
            </w:rPr>
          </w:pPr>
          <w:hyperlink w:anchor="_Toc135384407" w:history="1">
            <w:r w:rsidRPr="00EF528F">
              <w:rPr>
                <w:rStyle w:val="Hyperlink"/>
                <w:noProof/>
              </w:rPr>
              <w:t>6.4.1.3 Outcomes</w:t>
            </w:r>
            <w:r>
              <w:rPr>
                <w:noProof/>
                <w:webHidden/>
              </w:rPr>
              <w:tab/>
            </w:r>
            <w:r>
              <w:rPr>
                <w:noProof/>
                <w:webHidden/>
              </w:rPr>
              <w:fldChar w:fldCharType="begin"/>
            </w:r>
            <w:r>
              <w:rPr>
                <w:noProof/>
                <w:webHidden/>
              </w:rPr>
              <w:instrText xml:space="preserve"> PAGEREF _Toc135384407 \h </w:instrText>
            </w:r>
            <w:r>
              <w:rPr>
                <w:noProof/>
                <w:webHidden/>
              </w:rPr>
            </w:r>
            <w:r>
              <w:rPr>
                <w:noProof/>
                <w:webHidden/>
              </w:rPr>
              <w:fldChar w:fldCharType="separate"/>
            </w:r>
            <w:r w:rsidR="003A67BA">
              <w:rPr>
                <w:noProof/>
                <w:webHidden/>
              </w:rPr>
              <w:t>201</w:t>
            </w:r>
            <w:r>
              <w:rPr>
                <w:noProof/>
                <w:webHidden/>
              </w:rPr>
              <w:fldChar w:fldCharType="end"/>
            </w:r>
          </w:hyperlink>
        </w:p>
        <w:p w14:paraId="136A25B6" w14:textId="337D9153" w:rsidR="00DE64E0" w:rsidRDefault="00DE64E0" w:rsidP="00104343">
          <w:pPr>
            <w:pStyle w:val="TOC3"/>
            <w:rPr>
              <w:rFonts w:eastAsiaTheme="minorEastAsia" w:cstheme="minorBidi"/>
              <w:noProof/>
              <w:kern w:val="2"/>
              <w:sz w:val="24"/>
              <w:szCs w:val="24"/>
              <w:lang w:eastAsia="en-GB"/>
              <w14:ligatures w14:val="standardContextual"/>
            </w:rPr>
          </w:pPr>
          <w:hyperlink w:anchor="_Toc135384408" w:history="1">
            <w:r w:rsidRPr="00EF528F">
              <w:rPr>
                <w:rStyle w:val="Hyperlink"/>
                <w:noProof/>
              </w:rPr>
              <w:t>6.4.1.3 Participant timeline</w:t>
            </w:r>
            <w:r>
              <w:rPr>
                <w:noProof/>
                <w:webHidden/>
              </w:rPr>
              <w:tab/>
            </w:r>
            <w:r>
              <w:rPr>
                <w:noProof/>
                <w:webHidden/>
              </w:rPr>
              <w:fldChar w:fldCharType="begin"/>
            </w:r>
            <w:r>
              <w:rPr>
                <w:noProof/>
                <w:webHidden/>
              </w:rPr>
              <w:instrText xml:space="preserve"> PAGEREF _Toc135384408 \h </w:instrText>
            </w:r>
            <w:r>
              <w:rPr>
                <w:noProof/>
                <w:webHidden/>
              </w:rPr>
            </w:r>
            <w:r>
              <w:rPr>
                <w:noProof/>
                <w:webHidden/>
              </w:rPr>
              <w:fldChar w:fldCharType="separate"/>
            </w:r>
            <w:r w:rsidR="003A67BA">
              <w:rPr>
                <w:noProof/>
                <w:webHidden/>
              </w:rPr>
              <w:t>204</w:t>
            </w:r>
            <w:r>
              <w:rPr>
                <w:noProof/>
                <w:webHidden/>
              </w:rPr>
              <w:fldChar w:fldCharType="end"/>
            </w:r>
          </w:hyperlink>
        </w:p>
        <w:p w14:paraId="6A35789A" w14:textId="05A576E5" w:rsidR="00DE64E0" w:rsidRDefault="00DE64E0" w:rsidP="00104343">
          <w:pPr>
            <w:pStyle w:val="TOC3"/>
            <w:rPr>
              <w:rFonts w:eastAsiaTheme="minorEastAsia" w:cstheme="minorBidi"/>
              <w:noProof/>
              <w:kern w:val="2"/>
              <w:sz w:val="24"/>
              <w:szCs w:val="24"/>
              <w:lang w:eastAsia="en-GB"/>
              <w14:ligatures w14:val="standardContextual"/>
            </w:rPr>
          </w:pPr>
          <w:hyperlink w:anchor="_Toc135384409" w:history="1">
            <w:r w:rsidRPr="00EF528F">
              <w:rPr>
                <w:rStyle w:val="Hyperlink"/>
                <w:noProof/>
              </w:rPr>
              <w:t>6.4.1.4 Sample size</w:t>
            </w:r>
            <w:r>
              <w:rPr>
                <w:noProof/>
                <w:webHidden/>
              </w:rPr>
              <w:tab/>
            </w:r>
            <w:r>
              <w:rPr>
                <w:noProof/>
                <w:webHidden/>
              </w:rPr>
              <w:fldChar w:fldCharType="begin"/>
            </w:r>
            <w:r>
              <w:rPr>
                <w:noProof/>
                <w:webHidden/>
              </w:rPr>
              <w:instrText xml:space="preserve"> PAGEREF _Toc135384409 \h </w:instrText>
            </w:r>
            <w:r>
              <w:rPr>
                <w:noProof/>
                <w:webHidden/>
              </w:rPr>
            </w:r>
            <w:r>
              <w:rPr>
                <w:noProof/>
                <w:webHidden/>
              </w:rPr>
              <w:fldChar w:fldCharType="separate"/>
            </w:r>
            <w:r w:rsidR="003A67BA">
              <w:rPr>
                <w:noProof/>
                <w:webHidden/>
              </w:rPr>
              <w:t>205</w:t>
            </w:r>
            <w:r>
              <w:rPr>
                <w:noProof/>
                <w:webHidden/>
              </w:rPr>
              <w:fldChar w:fldCharType="end"/>
            </w:r>
          </w:hyperlink>
        </w:p>
        <w:p w14:paraId="2060A2B5" w14:textId="37CEF4A7" w:rsidR="00DE64E0" w:rsidRDefault="00DE64E0" w:rsidP="00104343">
          <w:pPr>
            <w:pStyle w:val="TOC3"/>
            <w:rPr>
              <w:rFonts w:eastAsiaTheme="minorEastAsia" w:cstheme="minorBidi"/>
              <w:noProof/>
              <w:kern w:val="2"/>
              <w:sz w:val="24"/>
              <w:szCs w:val="24"/>
              <w:lang w:eastAsia="en-GB"/>
              <w14:ligatures w14:val="standardContextual"/>
            </w:rPr>
          </w:pPr>
          <w:hyperlink w:anchor="_Toc135384410" w:history="1">
            <w:r w:rsidRPr="00EF528F">
              <w:rPr>
                <w:rStyle w:val="Hyperlink"/>
                <w:noProof/>
              </w:rPr>
              <w:t>6.4.1.5 Recruitment</w:t>
            </w:r>
            <w:r>
              <w:rPr>
                <w:noProof/>
                <w:webHidden/>
              </w:rPr>
              <w:tab/>
            </w:r>
            <w:r>
              <w:rPr>
                <w:noProof/>
                <w:webHidden/>
              </w:rPr>
              <w:fldChar w:fldCharType="begin"/>
            </w:r>
            <w:r>
              <w:rPr>
                <w:noProof/>
                <w:webHidden/>
              </w:rPr>
              <w:instrText xml:space="preserve"> PAGEREF _Toc135384410 \h </w:instrText>
            </w:r>
            <w:r>
              <w:rPr>
                <w:noProof/>
                <w:webHidden/>
              </w:rPr>
            </w:r>
            <w:r>
              <w:rPr>
                <w:noProof/>
                <w:webHidden/>
              </w:rPr>
              <w:fldChar w:fldCharType="separate"/>
            </w:r>
            <w:r w:rsidR="003A67BA">
              <w:rPr>
                <w:noProof/>
                <w:webHidden/>
              </w:rPr>
              <w:t>205</w:t>
            </w:r>
            <w:r>
              <w:rPr>
                <w:noProof/>
                <w:webHidden/>
              </w:rPr>
              <w:fldChar w:fldCharType="end"/>
            </w:r>
          </w:hyperlink>
        </w:p>
        <w:p w14:paraId="364ECFC6" w14:textId="3B3509E5" w:rsidR="00DE64E0" w:rsidRDefault="00DE64E0" w:rsidP="00104343">
          <w:pPr>
            <w:pStyle w:val="TOC3"/>
            <w:rPr>
              <w:rFonts w:eastAsiaTheme="minorEastAsia" w:cstheme="minorBidi"/>
              <w:noProof/>
              <w:kern w:val="2"/>
              <w:sz w:val="24"/>
              <w:szCs w:val="24"/>
              <w:lang w:eastAsia="en-GB"/>
              <w14:ligatures w14:val="standardContextual"/>
            </w:rPr>
          </w:pPr>
          <w:hyperlink w:anchor="_Toc135384411" w:history="1">
            <w:r w:rsidRPr="00EF528F">
              <w:rPr>
                <w:rStyle w:val="Hyperlink"/>
                <w:noProof/>
              </w:rPr>
              <w:t>6.4.3 Data collection, management and analysis</w:t>
            </w:r>
            <w:r>
              <w:rPr>
                <w:noProof/>
                <w:webHidden/>
              </w:rPr>
              <w:tab/>
            </w:r>
            <w:r>
              <w:rPr>
                <w:noProof/>
                <w:webHidden/>
              </w:rPr>
              <w:fldChar w:fldCharType="begin"/>
            </w:r>
            <w:r>
              <w:rPr>
                <w:noProof/>
                <w:webHidden/>
              </w:rPr>
              <w:instrText xml:space="preserve"> PAGEREF _Toc135384411 \h </w:instrText>
            </w:r>
            <w:r>
              <w:rPr>
                <w:noProof/>
                <w:webHidden/>
              </w:rPr>
            </w:r>
            <w:r>
              <w:rPr>
                <w:noProof/>
                <w:webHidden/>
              </w:rPr>
              <w:fldChar w:fldCharType="separate"/>
            </w:r>
            <w:r w:rsidR="003A67BA">
              <w:rPr>
                <w:noProof/>
                <w:webHidden/>
              </w:rPr>
              <w:t>206</w:t>
            </w:r>
            <w:r>
              <w:rPr>
                <w:noProof/>
                <w:webHidden/>
              </w:rPr>
              <w:fldChar w:fldCharType="end"/>
            </w:r>
          </w:hyperlink>
        </w:p>
        <w:p w14:paraId="0885A67D" w14:textId="7CC9719A" w:rsidR="00DE64E0" w:rsidRDefault="00DE64E0" w:rsidP="00104343">
          <w:pPr>
            <w:pStyle w:val="TOC3"/>
            <w:rPr>
              <w:rFonts w:eastAsiaTheme="minorEastAsia" w:cstheme="minorBidi"/>
              <w:noProof/>
              <w:kern w:val="2"/>
              <w:sz w:val="24"/>
              <w:szCs w:val="24"/>
              <w:lang w:eastAsia="en-GB"/>
              <w14:ligatures w14:val="standardContextual"/>
            </w:rPr>
          </w:pPr>
          <w:hyperlink w:anchor="_Toc135384412" w:history="1">
            <w:r w:rsidRPr="00EF528F">
              <w:rPr>
                <w:rStyle w:val="Hyperlink"/>
                <w:noProof/>
              </w:rPr>
              <w:t>6.4.3.1 Data collection methods</w:t>
            </w:r>
            <w:r>
              <w:rPr>
                <w:noProof/>
                <w:webHidden/>
              </w:rPr>
              <w:tab/>
            </w:r>
            <w:r>
              <w:rPr>
                <w:noProof/>
                <w:webHidden/>
              </w:rPr>
              <w:fldChar w:fldCharType="begin"/>
            </w:r>
            <w:r>
              <w:rPr>
                <w:noProof/>
                <w:webHidden/>
              </w:rPr>
              <w:instrText xml:space="preserve"> PAGEREF _Toc135384412 \h </w:instrText>
            </w:r>
            <w:r>
              <w:rPr>
                <w:noProof/>
                <w:webHidden/>
              </w:rPr>
            </w:r>
            <w:r>
              <w:rPr>
                <w:noProof/>
                <w:webHidden/>
              </w:rPr>
              <w:fldChar w:fldCharType="separate"/>
            </w:r>
            <w:r w:rsidR="003A67BA">
              <w:rPr>
                <w:noProof/>
                <w:webHidden/>
              </w:rPr>
              <w:t>206</w:t>
            </w:r>
            <w:r>
              <w:rPr>
                <w:noProof/>
                <w:webHidden/>
              </w:rPr>
              <w:fldChar w:fldCharType="end"/>
            </w:r>
          </w:hyperlink>
        </w:p>
        <w:p w14:paraId="0A50CECC" w14:textId="571811DC" w:rsidR="00DE64E0" w:rsidRDefault="00DE64E0" w:rsidP="00104343">
          <w:pPr>
            <w:pStyle w:val="TOC3"/>
            <w:rPr>
              <w:rFonts w:eastAsiaTheme="minorEastAsia" w:cstheme="minorBidi"/>
              <w:noProof/>
              <w:kern w:val="2"/>
              <w:sz w:val="24"/>
              <w:szCs w:val="24"/>
              <w:lang w:eastAsia="en-GB"/>
              <w14:ligatures w14:val="standardContextual"/>
            </w:rPr>
          </w:pPr>
          <w:hyperlink w:anchor="_Toc135384413" w:history="1">
            <w:r w:rsidRPr="00EF528F">
              <w:rPr>
                <w:rStyle w:val="Hyperlink"/>
                <w:noProof/>
              </w:rPr>
              <w:t>6.4.3.2  Data management</w:t>
            </w:r>
            <w:r>
              <w:rPr>
                <w:noProof/>
                <w:webHidden/>
              </w:rPr>
              <w:tab/>
            </w:r>
            <w:r>
              <w:rPr>
                <w:noProof/>
                <w:webHidden/>
              </w:rPr>
              <w:fldChar w:fldCharType="begin"/>
            </w:r>
            <w:r>
              <w:rPr>
                <w:noProof/>
                <w:webHidden/>
              </w:rPr>
              <w:instrText xml:space="preserve"> PAGEREF _Toc135384413 \h </w:instrText>
            </w:r>
            <w:r>
              <w:rPr>
                <w:noProof/>
                <w:webHidden/>
              </w:rPr>
            </w:r>
            <w:r>
              <w:rPr>
                <w:noProof/>
                <w:webHidden/>
              </w:rPr>
              <w:fldChar w:fldCharType="separate"/>
            </w:r>
            <w:r w:rsidR="003A67BA">
              <w:rPr>
                <w:noProof/>
                <w:webHidden/>
              </w:rPr>
              <w:t>207</w:t>
            </w:r>
            <w:r>
              <w:rPr>
                <w:noProof/>
                <w:webHidden/>
              </w:rPr>
              <w:fldChar w:fldCharType="end"/>
            </w:r>
          </w:hyperlink>
        </w:p>
        <w:p w14:paraId="591A233A" w14:textId="51721AEF" w:rsidR="00DE64E0" w:rsidRDefault="00DE64E0" w:rsidP="00104343">
          <w:pPr>
            <w:pStyle w:val="TOC3"/>
            <w:rPr>
              <w:rFonts w:eastAsiaTheme="minorEastAsia" w:cstheme="minorBidi"/>
              <w:noProof/>
              <w:kern w:val="2"/>
              <w:sz w:val="24"/>
              <w:szCs w:val="24"/>
              <w:lang w:eastAsia="en-GB"/>
              <w14:ligatures w14:val="standardContextual"/>
            </w:rPr>
          </w:pPr>
          <w:hyperlink w:anchor="_Toc135384414" w:history="1">
            <w:r w:rsidRPr="00EF528F">
              <w:rPr>
                <w:rStyle w:val="Hyperlink"/>
                <w:noProof/>
              </w:rPr>
              <w:t>6.4.3.3  Statistical methods</w:t>
            </w:r>
            <w:r>
              <w:rPr>
                <w:noProof/>
                <w:webHidden/>
              </w:rPr>
              <w:tab/>
            </w:r>
            <w:r>
              <w:rPr>
                <w:noProof/>
                <w:webHidden/>
              </w:rPr>
              <w:fldChar w:fldCharType="begin"/>
            </w:r>
            <w:r>
              <w:rPr>
                <w:noProof/>
                <w:webHidden/>
              </w:rPr>
              <w:instrText xml:space="preserve"> PAGEREF _Toc135384414 \h </w:instrText>
            </w:r>
            <w:r>
              <w:rPr>
                <w:noProof/>
                <w:webHidden/>
              </w:rPr>
            </w:r>
            <w:r>
              <w:rPr>
                <w:noProof/>
                <w:webHidden/>
              </w:rPr>
              <w:fldChar w:fldCharType="separate"/>
            </w:r>
            <w:r w:rsidR="003A67BA">
              <w:rPr>
                <w:noProof/>
                <w:webHidden/>
              </w:rPr>
              <w:t>207</w:t>
            </w:r>
            <w:r>
              <w:rPr>
                <w:noProof/>
                <w:webHidden/>
              </w:rPr>
              <w:fldChar w:fldCharType="end"/>
            </w:r>
          </w:hyperlink>
        </w:p>
        <w:p w14:paraId="5AC64DF9" w14:textId="21801FE3" w:rsidR="00DE64E0" w:rsidRDefault="00DE64E0" w:rsidP="00104343">
          <w:pPr>
            <w:pStyle w:val="TOC3"/>
            <w:rPr>
              <w:rFonts w:eastAsiaTheme="minorEastAsia" w:cstheme="minorBidi"/>
              <w:noProof/>
              <w:kern w:val="2"/>
              <w:sz w:val="24"/>
              <w:szCs w:val="24"/>
              <w:lang w:eastAsia="en-GB"/>
              <w14:ligatures w14:val="standardContextual"/>
            </w:rPr>
          </w:pPr>
          <w:hyperlink w:anchor="_Toc135384415" w:history="1">
            <w:r w:rsidRPr="00EF528F">
              <w:rPr>
                <w:rStyle w:val="Hyperlink"/>
                <w:noProof/>
              </w:rPr>
              <w:t>6.4.4  Ethics and dissemination:</w:t>
            </w:r>
            <w:r>
              <w:rPr>
                <w:noProof/>
                <w:webHidden/>
              </w:rPr>
              <w:tab/>
            </w:r>
            <w:r>
              <w:rPr>
                <w:noProof/>
                <w:webHidden/>
              </w:rPr>
              <w:fldChar w:fldCharType="begin"/>
            </w:r>
            <w:r>
              <w:rPr>
                <w:noProof/>
                <w:webHidden/>
              </w:rPr>
              <w:instrText xml:space="preserve"> PAGEREF _Toc135384415 \h </w:instrText>
            </w:r>
            <w:r>
              <w:rPr>
                <w:noProof/>
                <w:webHidden/>
              </w:rPr>
            </w:r>
            <w:r>
              <w:rPr>
                <w:noProof/>
                <w:webHidden/>
              </w:rPr>
              <w:fldChar w:fldCharType="separate"/>
            </w:r>
            <w:r w:rsidR="003A67BA">
              <w:rPr>
                <w:noProof/>
                <w:webHidden/>
              </w:rPr>
              <w:t>207</w:t>
            </w:r>
            <w:r>
              <w:rPr>
                <w:noProof/>
                <w:webHidden/>
              </w:rPr>
              <w:fldChar w:fldCharType="end"/>
            </w:r>
          </w:hyperlink>
        </w:p>
        <w:p w14:paraId="04AA2480" w14:textId="4B5411DE" w:rsidR="00DE64E0" w:rsidRDefault="00DE64E0" w:rsidP="00104343">
          <w:pPr>
            <w:pStyle w:val="TOC3"/>
            <w:rPr>
              <w:rFonts w:eastAsiaTheme="minorEastAsia" w:cstheme="minorBidi"/>
              <w:noProof/>
              <w:kern w:val="2"/>
              <w:sz w:val="24"/>
              <w:szCs w:val="24"/>
              <w:lang w:eastAsia="en-GB"/>
              <w14:ligatures w14:val="standardContextual"/>
            </w:rPr>
          </w:pPr>
          <w:hyperlink w:anchor="_Toc135384416" w:history="1">
            <w:r w:rsidRPr="00EF528F">
              <w:rPr>
                <w:rStyle w:val="Hyperlink"/>
                <w:noProof/>
              </w:rPr>
              <w:t>6.4.4.1 Research ethics approval</w:t>
            </w:r>
            <w:r>
              <w:rPr>
                <w:noProof/>
                <w:webHidden/>
              </w:rPr>
              <w:tab/>
            </w:r>
            <w:r>
              <w:rPr>
                <w:noProof/>
                <w:webHidden/>
              </w:rPr>
              <w:fldChar w:fldCharType="begin"/>
            </w:r>
            <w:r>
              <w:rPr>
                <w:noProof/>
                <w:webHidden/>
              </w:rPr>
              <w:instrText xml:space="preserve"> PAGEREF _Toc135384416 \h </w:instrText>
            </w:r>
            <w:r>
              <w:rPr>
                <w:noProof/>
                <w:webHidden/>
              </w:rPr>
            </w:r>
            <w:r>
              <w:rPr>
                <w:noProof/>
                <w:webHidden/>
              </w:rPr>
              <w:fldChar w:fldCharType="separate"/>
            </w:r>
            <w:r w:rsidR="003A67BA">
              <w:rPr>
                <w:noProof/>
                <w:webHidden/>
              </w:rPr>
              <w:t>207</w:t>
            </w:r>
            <w:r>
              <w:rPr>
                <w:noProof/>
                <w:webHidden/>
              </w:rPr>
              <w:fldChar w:fldCharType="end"/>
            </w:r>
          </w:hyperlink>
        </w:p>
        <w:p w14:paraId="0E46EA37" w14:textId="733E59A5" w:rsidR="00DE64E0" w:rsidRDefault="00DE64E0" w:rsidP="00104343">
          <w:pPr>
            <w:pStyle w:val="TOC3"/>
            <w:rPr>
              <w:rFonts w:eastAsiaTheme="minorEastAsia" w:cstheme="minorBidi"/>
              <w:noProof/>
              <w:kern w:val="2"/>
              <w:sz w:val="24"/>
              <w:szCs w:val="24"/>
              <w:lang w:eastAsia="en-GB"/>
              <w14:ligatures w14:val="standardContextual"/>
            </w:rPr>
          </w:pPr>
          <w:hyperlink w:anchor="_Toc135384417" w:history="1">
            <w:r w:rsidRPr="00EF528F">
              <w:rPr>
                <w:rStyle w:val="Hyperlink"/>
                <w:noProof/>
              </w:rPr>
              <w:t>6.4.4.2 Confidentiality</w:t>
            </w:r>
            <w:r>
              <w:rPr>
                <w:noProof/>
                <w:webHidden/>
              </w:rPr>
              <w:tab/>
            </w:r>
            <w:r>
              <w:rPr>
                <w:noProof/>
                <w:webHidden/>
              </w:rPr>
              <w:fldChar w:fldCharType="begin"/>
            </w:r>
            <w:r>
              <w:rPr>
                <w:noProof/>
                <w:webHidden/>
              </w:rPr>
              <w:instrText xml:space="preserve"> PAGEREF _Toc135384417 \h </w:instrText>
            </w:r>
            <w:r>
              <w:rPr>
                <w:noProof/>
                <w:webHidden/>
              </w:rPr>
            </w:r>
            <w:r>
              <w:rPr>
                <w:noProof/>
                <w:webHidden/>
              </w:rPr>
              <w:fldChar w:fldCharType="separate"/>
            </w:r>
            <w:r w:rsidR="003A67BA">
              <w:rPr>
                <w:noProof/>
                <w:webHidden/>
              </w:rPr>
              <w:t>208</w:t>
            </w:r>
            <w:r>
              <w:rPr>
                <w:noProof/>
                <w:webHidden/>
              </w:rPr>
              <w:fldChar w:fldCharType="end"/>
            </w:r>
          </w:hyperlink>
        </w:p>
        <w:p w14:paraId="357C4F54" w14:textId="7CB8486D" w:rsidR="00DE64E0" w:rsidRDefault="00DE64E0" w:rsidP="00104343">
          <w:pPr>
            <w:pStyle w:val="TOC3"/>
            <w:rPr>
              <w:noProof/>
              <w:lang w:eastAsia="en-GB"/>
            </w:rPr>
          </w:pPr>
          <w:hyperlink w:anchor="_Toc135384418" w:history="1">
            <w:r w:rsidRPr="00EF528F">
              <w:rPr>
                <w:rStyle w:val="Hyperlink"/>
                <w:noProof/>
              </w:rPr>
              <w:t>6.4.4.3 Access to data</w:t>
            </w:r>
            <w:r>
              <w:rPr>
                <w:noProof/>
                <w:webHidden/>
              </w:rPr>
              <w:tab/>
            </w:r>
            <w:r>
              <w:rPr>
                <w:noProof/>
                <w:webHidden/>
              </w:rPr>
              <w:fldChar w:fldCharType="begin"/>
            </w:r>
            <w:r>
              <w:rPr>
                <w:noProof/>
                <w:webHidden/>
              </w:rPr>
              <w:instrText xml:space="preserve"> PAGEREF _Toc135384418 \h </w:instrText>
            </w:r>
            <w:r>
              <w:rPr>
                <w:noProof/>
                <w:webHidden/>
              </w:rPr>
            </w:r>
            <w:r>
              <w:rPr>
                <w:noProof/>
                <w:webHidden/>
              </w:rPr>
              <w:fldChar w:fldCharType="separate"/>
            </w:r>
            <w:r w:rsidR="003A67BA">
              <w:rPr>
                <w:noProof/>
                <w:webHidden/>
              </w:rPr>
              <w:t>208</w:t>
            </w:r>
            <w:r>
              <w:rPr>
                <w:noProof/>
                <w:webHidden/>
              </w:rPr>
              <w:fldChar w:fldCharType="end"/>
            </w:r>
          </w:hyperlink>
        </w:p>
        <w:p w14:paraId="7CFC29A5" w14:textId="44BF733C" w:rsidR="00DE64E0" w:rsidRDefault="00DE64E0" w:rsidP="00104343">
          <w:pPr>
            <w:pStyle w:val="TOC3"/>
            <w:rPr>
              <w:rFonts w:eastAsiaTheme="minorEastAsia" w:cstheme="minorBidi"/>
              <w:noProof/>
              <w:kern w:val="2"/>
              <w:sz w:val="24"/>
              <w:szCs w:val="24"/>
              <w:lang w:eastAsia="en-GB"/>
              <w14:ligatures w14:val="standardContextual"/>
            </w:rPr>
          </w:pPr>
          <w:hyperlink w:anchor="_Toc135384420" w:history="1">
            <w:r w:rsidRPr="00EF528F">
              <w:rPr>
                <w:rStyle w:val="Hyperlink"/>
                <w:noProof/>
              </w:rPr>
              <w:t>6.4.4.5 Ancillary and post-trial care</w:t>
            </w:r>
            <w:r>
              <w:rPr>
                <w:noProof/>
                <w:webHidden/>
              </w:rPr>
              <w:tab/>
            </w:r>
            <w:r>
              <w:rPr>
                <w:noProof/>
                <w:webHidden/>
              </w:rPr>
              <w:fldChar w:fldCharType="begin"/>
            </w:r>
            <w:r>
              <w:rPr>
                <w:noProof/>
                <w:webHidden/>
              </w:rPr>
              <w:instrText xml:space="preserve"> PAGEREF _Toc135384420 \h </w:instrText>
            </w:r>
            <w:r>
              <w:rPr>
                <w:noProof/>
                <w:webHidden/>
              </w:rPr>
            </w:r>
            <w:r>
              <w:rPr>
                <w:noProof/>
                <w:webHidden/>
              </w:rPr>
              <w:fldChar w:fldCharType="separate"/>
            </w:r>
            <w:r w:rsidR="003A67BA">
              <w:rPr>
                <w:noProof/>
                <w:webHidden/>
              </w:rPr>
              <w:t>208</w:t>
            </w:r>
            <w:r>
              <w:rPr>
                <w:noProof/>
                <w:webHidden/>
              </w:rPr>
              <w:fldChar w:fldCharType="end"/>
            </w:r>
          </w:hyperlink>
        </w:p>
        <w:p w14:paraId="70D6A0DD" w14:textId="7FB4A587" w:rsidR="00DE64E0" w:rsidRDefault="00DE64E0" w:rsidP="00104343">
          <w:pPr>
            <w:pStyle w:val="TOC3"/>
            <w:rPr>
              <w:rFonts w:eastAsiaTheme="minorEastAsia" w:cstheme="minorBidi"/>
              <w:noProof/>
              <w:kern w:val="2"/>
              <w:sz w:val="24"/>
              <w:szCs w:val="24"/>
              <w:lang w:eastAsia="en-GB"/>
              <w14:ligatures w14:val="standardContextual"/>
            </w:rPr>
          </w:pPr>
          <w:hyperlink w:anchor="_Toc135384421" w:history="1">
            <w:r w:rsidRPr="00EF528F">
              <w:rPr>
                <w:rStyle w:val="Hyperlink"/>
                <w:noProof/>
              </w:rPr>
              <w:t>6.4.4.6 Dissemination Plan</w:t>
            </w:r>
            <w:r>
              <w:rPr>
                <w:noProof/>
                <w:webHidden/>
              </w:rPr>
              <w:tab/>
            </w:r>
            <w:r>
              <w:rPr>
                <w:noProof/>
                <w:webHidden/>
              </w:rPr>
              <w:fldChar w:fldCharType="begin"/>
            </w:r>
            <w:r>
              <w:rPr>
                <w:noProof/>
                <w:webHidden/>
              </w:rPr>
              <w:instrText xml:space="preserve"> PAGEREF _Toc135384421 \h </w:instrText>
            </w:r>
            <w:r>
              <w:rPr>
                <w:noProof/>
                <w:webHidden/>
              </w:rPr>
            </w:r>
            <w:r>
              <w:rPr>
                <w:noProof/>
                <w:webHidden/>
              </w:rPr>
              <w:fldChar w:fldCharType="separate"/>
            </w:r>
            <w:r w:rsidR="003A67BA">
              <w:rPr>
                <w:noProof/>
                <w:webHidden/>
              </w:rPr>
              <w:t>209</w:t>
            </w:r>
            <w:r>
              <w:rPr>
                <w:noProof/>
                <w:webHidden/>
              </w:rPr>
              <w:fldChar w:fldCharType="end"/>
            </w:r>
          </w:hyperlink>
        </w:p>
        <w:p w14:paraId="74E63D49" w14:textId="503F18FD" w:rsidR="00DE64E0" w:rsidRDefault="00DE64E0">
          <w:pPr>
            <w:pStyle w:val="TOC2"/>
            <w:rPr>
              <w:rFonts w:eastAsiaTheme="minorEastAsia" w:cstheme="minorBidi"/>
              <w:noProof/>
              <w:kern w:val="2"/>
              <w:sz w:val="24"/>
              <w:szCs w:val="24"/>
              <w:lang w:eastAsia="en-GB"/>
              <w14:ligatures w14:val="standardContextual"/>
            </w:rPr>
          </w:pPr>
          <w:hyperlink w:anchor="_Toc135384422" w:history="1">
            <w:r w:rsidRPr="00EF528F">
              <w:rPr>
                <w:rStyle w:val="Hyperlink"/>
                <w:b/>
                <w:bCs/>
                <w:noProof/>
              </w:rPr>
              <w:t>6.5 Discussion</w:t>
            </w:r>
            <w:r>
              <w:rPr>
                <w:noProof/>
                <w:webHidden/>
              </w:rPr>
              <w:tab/>
            </w:r>
            <w:r>
              <w:rPr>
                <w:noProof/>
                <w:webHidden/>
              </w:rPr>
              <w:fldChar w:fldCharType="begin"/>
            </w:r>
            <w:r>
              <w:rPr>
                <w:noProof/>
                <w:webHidden/>
              </w:rPr>
              <w:instrText xml:space="preserve"> PAGEREF _Toc135384422 \h </w:instrText>
            </w:r>
            <w:r>
              <w:rPr>
                <w:noProof/>
                <w:webHidden/>
              </w:rPr>
            </w:r>
            <w:r>
              <w:rPr>
                <w:noProof/>
                <w:webHidden/>
              </w:rPr>
              <w:fldChar w:fldCharType="separate"/>
            </w:r>
            <w:r w:rsidR="003A67BA">
              <w:rPr>
                <w:noProof/>
                <w:webHidden/>
              </w:rPr>
              <w:t>209</w:t>
            </w:r>
            <w:r>
              <w:rPr>
                <w:noProof/>
                <w:webHidden/>
              </w:rPr>
              <w:fldChar w:fldCharType="end"/>
            </w:r>
          </w:hyperlink>
        </w:p>
        <w:p w14:paraId="3FCA153A" w14:textId="1FAE7FF3" w:rsidR="00DE64E0" w:rsidRDefault="00DE64E0">
          <w:pPr>
            <w:pStyle w:val="TOC1"/>
            <w:tabs>
              <w:tab w:val="right" w:leader="dot" w:pos="9010"/>
            </w:tabs>
            <w:rPr>
              <w:rFonts w:eastAsiaTheme="minorEastAsia" w:cstheme="minorBidi"/>
              <w:b w:val="0"/>
              <w:bCs w:val="0"/>
              <w:noProof/>
              <w:kern w:val="2"/>
              <w:lang w:eastAsia="en-GB"/>
              <w14:ligatures w14:val="standardContextual"/>
            </w:rPr>
          </w:pPr>
          <w:hyperlink w:anchor="_Toc135384423" w:history="1">
            <w:r w:rsidRPr="00EF528F">
              <w:rPr>
                <w:rStyle w:val="Hyperlink"/>
                <w:noProof/>
              </w:rPr>
              <w:t>Chapter 7: Discussion</w:t>
            </w:r>
            <w:r>
              <w:rPr>
                <w:noProof/>
                <w:webHidden/>
              </w:rPr>
              <w:tab/>
            </w:r>
            <w:r>
              <w:rPr>
                <w:noProof/>
                <w:webHidden/>
              </w:rPr>
              <w:fldChar w:fldCharType="begin"/>
            </w:r>
            <w:r>
              <w:rPr>
                <w:noProof/>
                <w:webHidden/>
              </w:rPr>
              <w:instrText xml:space="preserve"> PAGEREF _Toc135384423 \h </w:instrText>
            </w:r>
            <w:r>
              <w:rPr>
                <w:noProof/>
                <w:webHidden/>
              </w:rPr>
            </w:r>
            <w:r>
              <w:rPr>
                <w:noProof/>
                <w:webHidden/>
              </w:rPr>
              <w:fldChar w:fldCharType="separate"/>
            </w:r>
            <w:r w:rsidR="003A67BA">
              <w:rPr>
                <w:noProof/>
                <w:webHidden/>
              </w:rPr>
              <w:t>210</w:t>
            </w:r>
            <w:r>
              <w:rPr>
                <w:noProof/>
                <w:webHidden/>
              </w:rPr>
              <w:fldChar w:fldCharType="end"/>
            </w:r>
          </w:hyperlink>
        </w:p>
        <w:p w14:paraId="469D27B7" w14:textId="046F3F2F" w:rsidR="00DE64E0" w:rsidRDefault="00DE64E0">
          <w:pPr>
            <w:pStyle w:val="TOC2"/>
            <w:rPr>
              <w:rFonts w:eastAsiaTheme="minorEastAsia" w:cstheme="minorBidi"/>
              <w:noProof/>
              <w:kern w:val="2"/>
              <w:sz w:val="24"/>
              <w:szCs w:val="24"/>
              <w:lang w:eastAsia="en-GB"/>
              <w14:ligatures w14:val="standardContextual"/>
            </w:rPr>
          </w:pPr>
          <w:hyperlink w:anchor="_Toc135384424" w:history="1">
            <w:r w:rsidRPr="00EF528F">
              <w:rPr>
                <w:rStyle w:val="Hyperlink"/>
                <w:b/>
                <w:bCs/>
                <w:noProof/>
              </w:rPr>
              <w:t>7.1. Overall findings</w:t>
            </w:r>
            <w:r>
              <w:rPr>
                <w:noProof/>
                <w:webHidden/>
              </w:rPr>
              <w:tab/>
            </w:r>
            <w:r>
              <w:rPr>
                <w:noProof/>
                <w:webHidden/>
              </w:rPr>
              <w:fldChar w:fldCharType="begin"/>
            </w:r>
            <w:r>
              <w:rPr>
                <w:noProof/>
                <w:webHidden/>
              </w:rPr>
              <w:instrText xml:space="preserve"> PAGEREF _Toc135384424 \h </w:instrText>
            </w:r>
            <w:r>
              <w:rPr>
                <w:noProof/>
                <w:webHidden/>
              </w:rPr>
            </w:r>
            <w:r>
              <w:rPr>
                <w:noProof/>
                <w:webHidden/>
              </w:rPr>
              <w:fldChar w:fldCharType="separate"/>
            </w:r>
            <w:r w:rsidR="003A67BA">
              <w:rPr>
                <w:noProof/>
                <w:webHidden/>
              </w:rPr>
              <w:t>210</w:t>
            </w:r>
            <w:r>
              <w:rPr>
                <w:noProof/>
                <w:webHidden/>
              </w:rPr>
              <w:fldChar w:fldCharType="end"/>
            </w:r>
          </w:hyperlink>
        </w:p>
        <w:p w14:paraId="16096290" w14:textId="3AD7A080" w:rsidR="00DE64E0" w:rsidRDefault="00DE64E0">
          <w:pPr>
            <w:pStyle w:val="TOC2"/>
            <w:rPr>
              <w:rFonts w:eastAsiaTheme="minorEastAsia" w:cstheme="minorBidi"/>
              <w:noProof/>
              <w:kern w:val="2"/>
              <w:sz w:val="24"/>
              <w:szCs w:val="24"/>
              <w:lang w:eastAsia="en-GB"/>
              <w14:ligatures w14:val="standardContextual"/>
            </w:rPr>
          </w:pPr>
          <w:hyperlink w:anchor="_Toc135384425" w:history="1">
            <w:r w:rsidRPr="00EF528F">
              <w:rPr>
                <w:rStyle w:val="Hyperlink"/>
                <w:b/>
                <w:bCs/>
                <w:noProof/>
              </w:rPr>
              <w:t>7.2 Novelty/niches and strengths of the work</w:t>
            </w:r>
            <w:r>
              <w:rPr>
                <w:noProof/>
                <w:webHidden/>
              </w:rPr>
              <w:tab/>
            </w:r>
            <w:r>
              <w:rPr>
                <w:noProof/>
                <w:webHidden/>
              </w:rPr>
              <w:fldChar w:fldCharType="begin"/>
            </w:r>
            <w:r>
              <w:rPr>
                <w:noProof/>
                <w:webHidden/>
              </w:rPr>
              <w:instrText xml:space="preserve"> PAGEREF _Toc135384425 \h </w:instrText>
            </w:r>
            <w:r>
              <w:rPr>
                <w:noProof/>
                <w:webHidden/>
              </w:rPr>
            </w:r>
            <w:r>
              <w:rPr>
                <w:noProof/>
                <w:webHidden/>
              </w:rPr>
              <w:fldChar w:fldCharType="separate"/>
            </w:r>
            <w:r w:rsidR="003A67BA">
              <w:rPr>
                <w:noProof/>
                <w:webHidden/>
              </w:rPr>
              <w:t>211</w:t>
            </w:r>
            <w:r>
              <w:rPr>
                <w:noProof/>
                <w:webHidden/>
              </w:rPr>
              <w:fldChar w:fldCharType="end"/>
            </w:r>
          </w:hyperlink>
        </w:p>
        <w:p w14:paraId="0116E1F1" w14:textId="7D3531B4" w:rsidR="00DE64E0" w:rsidRDefault="00DE64E0">
          <w:pPr>
            <w:pStyle w:val="TOC2"/>
            <w:rPr>
              <w:rFonts w:eastAsiaTheme="minorEastAsia" w:cstheme="minorBidi"/>
              <w:noProof/>
              <w:kern w:val="2"/>
              <w:sz w:val="24"/>
              <w:szCs w:val="24"/>
              <w:lang w:eastAsia="en-GB"/>
              <w14:ligatures w14:val="standardContextual"/>
            </w:rPr>
          </w:pPr>
          <w:hyperlink w:anchor="_Toc135384426" w:history="1">
            <w:r w:rsidRPr="00EF528F">
              <w:rPr>
                <w:rStyle w:val="Hyperlink"/>
                <w:b/>
                <w:bCs/>
                <w:noProof/>
              </w:rPr>
              <w:t>7.3 Study limitations</w:t>
            </w:r>
            <w:r>
              <w:rPr>
                <w:noProof/>
                <w:webHidden/>
              </w:rPr>
              <w:tab/>
            </w:r>
            <w:r>
              <w:rPr>
                <w:noProof/>
                <w:webHidden/>
              </w:rPr>
              <w:fldChar w:fldCharType="begin"/>
            </w:r>
            <w:r>
              <w:rPr>
                <w:noProof/>
                <w:webHidden/>
              </w:rPr>
              <w:instrText xml:space="preserve"> PAGEREF _Toc135384426 \h </w:instrText>
            </w:r>
            <w:r>
              <w:rPr>
                <w:noProof/>
                <w:webHidden/>
              </w:rPr>
            </w:r>
            <w:r>
              <w:rPr>
                <w:noProof/>
                <w:webHidden/>
              </w:rPr>
              <w:fldChar w:fldCharType="separate"/>
            </w:r>
            <w:r w:rsidR="003A67BA">
              <w:rPr>
                <w:noProof/>
                <w:webHidden/>
              </w:rPr>
              <w:t>211</w:t>
            </w:r>
            <w:r>
              <w:rPr>
                <w:noProof/>
                <w:webHidden/>
              </w:rPr>
              <w:fldChar w:fldCharType="end"/>
            </w:r>
          </w:hyperlink>
        </w:p>
        <w:p w14:paraId="65E693CB" w14:textId="7CC0B31C" w:rsidR="00DE64E0" w:rsidRDefault="00DE64E0">
          <w:pPr>
            <w:pStyle w:val="TOC2"/>
            <w:rPr>
              <w:rFonts w:eastAsiaTheme="minorEastAsia" w:cstheme="minorBidi"/>
              <w:noProof/>
              <w:kern w:val="2"/>
              <w:sz w:val="24"/>
              <w:szCs w:val="24"/>
              <w:lang w:eastAsia="en-GB"/>
              <w14:ligatures w14:val="standardContextual"/>
            </w:rPr>
          </w:pPr>
          <w:hyperlink w:anchor="_Toc135384427" w:history="1">
            <w:r w:rsidRPr="00EF528F">
              <w:rPr>
                <w:rStyle w:val="Hyperlink"/>
                <w:b/>
                <w:bCs/>
                <w:noProof/>
              </w:rPr>
              <w:t>7.4 Next steps and future research</w:t>
            </w:r>
            <w:r>
              <w:rPr>
                <w:noProof/>
                <w:webHidden/>
              </w:rPr>
              <w:tab/>
            </w:r>
            <w:r>
              <w:rPr>
                <w:noProof/>
                <w:webHidden/>
              </w:rPr>
              <w:fldChar w:fldCharType="begin"/>
            </w:r>
            <w:r>
              <w:rPr>
                <w:noProof/>
                <w:webHidden/>
              </w:rPr>
              <w:instrText xml:space="preserve"> PAGEREF _Toc135384427 \h </w:instrText>
            </w:r>
            <w:r>
              <w:rPr>
                <w:noProof/>
                <w:webHidden/>
              </w:rPr>
            </w:r>
            <w:r>
              <w:rPr>
                <w:noProof/>
                <w:webHidden/>
              </w:rPr>
              <w:fldChar w:fldCharType="separate"/>
            </w:r>
            <w:r w:rsidR="003A67BA">
              <w:rPr>
                <w:noProof/>
                <w:webHidden/>
              </w:rPr>
              <w:t>213</w:t>
            </w:r>
            <w:r>
              <w:rPr>
                <w:noProof/>
                <w:webHidden/>
              </w:rPr>
              <w:fldChar w:fldCharType="end"/>
            </w:r>
          </w:hyperlink>
        </w:p>
        <w:p w14:paraId="59C0CA42" w14:textId="07A42898" w:rsidR="00DE64E0" w:rsidRDefault="00DE64E0">
          <w:pPr>
            <w:pStyle w:val="TOC2"/>
            <w:rPr>
              <w:rFonts w:eastAsiaTheme="minorEastAsia" w:cstheme="minorBidi"/>
              <w:noProof/>
              <w:kern w:val="2"/>
              <w:sz w:val="24"/>
              <w:szCs w:val="24"/>
              <w:lang w:eastAsia="en-GB"/>
              <w14:ligatures w14:val="standardContextual"/>
            </w:rPr>
          </w:pPr>
          <w:hyperlink w:anchor="_Toc135384428" w:history="1">
            <w:r w:rsidRPr="00EF528F">
              <w:rPr>
                <w:rStyle w:val="Hyperlink"/>
                <w:b/>
                <w:bCs/>
                <w:noProof/>
              </w:rPr>
              <w:t>7.5 Conclusions</w:t>
            </w:r>
            <w:r>
              <w:rPr>
                <w:noProof/>
                <w:webHidden/>
              </w:rPr>
              <w:tab/>
            </w:r>
            <w:r>
              <w:rPr>
                <w:noProof/>
                <w:webHidden/>
              </w:rPr>
              <w:fldChar w:fldCharType="begin"/>
            </w:r>
            <w:r>
              <w:rPr>
                <w:noProof/>
                <w:webHidden/>
              </w:rPr>
              <w:instrText xml:space="preserve"> PAGEREF _Toc135384428 \h </w:instrText>
            </w:r>
            <w:r>
              <w:rPr>
                <w:noProof/>
                <w:webHidden/>
              </w:rPr>
            </w:r>
            <w:r>
              <w:rPr>
                <w:noProof/>
                <w:webHidden/>
              </w:rPr>
              <w:fldChar w:fldCharType="separate"/>
            </w:r>
            <w:r w:rsidR="003A67BA">
              <w:rPr>
                <w:noProof/>
                <w:webHidden/>
              </w:rPr>
              <w:t>216</w:t>
            </w:r>
            <w:r>
              <w:rPr>
                <w:noProof/>
                <w:webHidden/>
              </w:rPr>
              <w:fldChar w:fldCharType="end"/>
            </w:r>
          </w:hyperlink>
        </w:p>
        <w:p w14:paraId="541C206A" w14:textId="3FB60697" w:rsidR="00DE64E0" w:rsidRDefault="00DE64E0">
          <w:pPr>
            <w:pStyle w:val="TOC2"/>
            <w:rPr>
              <w:rFonts w:eastAsiaTheme="minorEastAsia" w:cstheme="minorBidi"/>
              <w:noProof/>
              <w:kern w:val="2"/>
              <w:sz w:val="24"/>
              <w:szCs w:val="24"/>
              <w:lang w:eastAsia="en-GB"/>
              <w14:ligatures w14:val="standardContextual"/>
            </w:rPr>
          </w:pPr>
          <w:hyperlink w:anchor="_Toc135384429" w:history="1">
            <w:r w:rsidRPr="00EF528F">
              <w:rPr>
                <w:rStyle w:val="Hyperlink"/>
                <w:b/>
                <w:bCs/>
                <w:noProof/>
              </w:rPr>
              <w:t>References:</w:t>
            </w:r>
            <w:r>
              <w:rPr>
                <w:noProof/>
                <w:webHidden/>
              </w:rPr>
              <w:tab/>
            </w:r>
            <w:r>
              <w:rPr>
                <w:noProof/>
                <w:webHidden/>
              </w:rPr>
              <w:fldChar w:fldCharType="begin"/>
            </w:r>
            <w:r>
              <w:rPr>
                <w:noProof/>
                <w:webHidden/>
              </w:rPr>
              <w:instrText xml:space="preserve"> PAGEREF _Toc135384429 \h </w:instrText>
            </w:r>
            <w:r>
              <w:rPr>
                <w:noProof/>
                <w:webHidden/>
              </w:rPr>
            </w:r>
            <w:r>
              <w:rPr>
                <w:noProof/>
                <w:webHidden/>
              </w:rPr>
              <w:fldChar w:fldCharType="separate"/>
            </w:r>
            <w:r w:rsidR="003A67BA">
              <w:rPr>
                <w:noProof/>
                <w:webHidden/>
              </w:rPr>
              <w:t>218</w:t>
            </w:r>
            <w:r>
              <w:rPr>
                <w:noProof/>
                <w:webHidden/>
              </w:rPr>
              <w:fldChar w:fldCharType="end"/>
            </w:r>
          </w:hyperlink>
        </w:p>
        <w:p w14:paraId="56146590" w14:textId="4527B19C" w:rsidR="00DE64E0" w:rsidRDefault="00DE64E0">
          <w:pPr>
            <w:pStyle w:val="TOC2"/>
            <w:rPr>
              <w:rFonts w:eastAsiaTheme="minorEastAsia" w:cstheme="minorBidi"/>
              <w:noProof/>
              <w:kern w:val="2"/>
              <w:sz w:val="24"/>
              <w:szCs w:val="24"/>
              <w:lang w:eastAsia="en-GB"/>
              <w14:ligatures w14:val="standardContextual"/>
            </w:rPr>
          </w:pPr>
          <w:hyperlink w:anchor="_Toc135384430" w:history="1">
            <w:r w:rsidRPr="00EF528F">
              <w:rPr>
                <w:rStyle w:val="Hyperlink"/>
                <w:b/>
                <w:bCs/>
                <w:noProof/>
              </w:rPr>
              <w:t>Appendix:</w:t>
            </w:r>
            <w:r w:rsidR="00B6560B">
              <w:rPr>
                <w:rStyle w:val="Hyperlink"/>
                <w:b/>
                <w:bCs/>
                <w:noProof/>
              </w:rPr>
              <w:t>…………………...</w:t>
            </w:r>
            <w:r>
              <w:rPr>
                <w:noProof/>
                <w:webHidden/>
              </w:rPr>
              <w:tab/>
            </w:r>
            <w:r>
              <w:rPr>
                <w:noProof/>
                <w:webHidden/>
              </w:rPr>
              <w:fldChar w:fldCharType="begin"/>
            </w:r>
            <w:r>
              <w:rPr>
                <w:noProof/>
                <w:webHidden/>
              </w:rPr>
              <w:instrText xml:space="preserve"> PAGEREF _Toc135384430 \h </w:instrText>
            </w:r>
            <w:r>
              <w:rPr>
                <w:noProof/>
                <w:webHidden/>
              </w:rPr>
            </w:r>
            <w:r>
              <w:rPr>
                <w:noProof/>
                <w:webHidden/>
              </w:rPr>
              <w:fldChar w:fldCharType="separate"/>
            </w:r>
            <w:r w:rsidR="003A67BA">
              <w:rPr>
                <w:noProof/>
                <w:webHidden/>
              </w:rPr>
              <w:t>240</w:t>
            </w:r>
            <w:r>
              <w:rPr>
                <w:noProof/>
                <w:webHidden/>
              </w:rPr>
              <w:fldChar w:fldCharType="end"/>
            </w:r>
          </w:hyperlink>
        </w:p>
        <w:p w14:paraId="75CE1BC5" w14:textId="1DFB1DB6" w:rsidR="00DE64E0" w:rsidRDefault="00DE64E0">
          <w:r>
            <w:rPr>
              <w:b/>
              <w:bCs/>
              <w:noProof/>
            </w:rPr>
            <w:fldChar w:fldCharType="end"/>
          </w:r>
        </w:p>
      </w:sdtContent>
    </w:sdt>
    <w:p w14:paraId="06B15675" w14:textId="51FAD91B" w:rsidR="00E01FF5" w:rsidRDefault="00E01FF5">
      <w:pPr>
        <w:rPr>
          <w:rFonts w:eastAsia="Times New Roman" w:cstheme="minorHAnsi"/>
          <w:b/>
          <w:bCs/>
          <w:color w:val="000000" w:themeColor="text1"/>
          <w:kern w:val="36"/>
          <w:sz w:val="32"/>
          <w:szCs w:val="32"/>
          <w:lang w:eastAsia="en-GB"/>
        </w:rPr>
      </w:pPr>
      <w:r>
        <w:rPr>
          <w:rFonts w:cstheme="minorHAnsi"/>
          <w:color w:val="000000" w:themeColor="text1"/>
          <w:sz w:val="32"/>
          <w:szCs w:val="32"/>
        </w:rPr>
        <w:br w:type="page"/>
      </w:r>
    </w:p>
    <w:p w14:paraId="1F67B781" w14:textId="77777777" w:rsidR="00DE64E0" w:rsidRDefault="00DE64E0" w:rsidP="00F42CB9">
      <w:pPr>
        <w:pStyle w:val="Heading1"/>
        <w:spacing w:line="360" w:lineRule="auto"/>
        <w:rPr>
          <w:rFonts w:asciiTheme="minorHAnsi" w:hAnsiTheme="minorHAnsi" w:cstheme="minorHAnsi"/>
          <w:color w:val="000000" w:themeColor="text1"/>
          <w:sz w:val="32"/>
          <w:szCs w:val="32"/>
        </w:rPr>
      </w:pPr>
    </w:p>
    <w:p w14:paraId="52B20136" w14:textId="7AD634B7" w:rsidR="004F4AF8" w:rsidRPr="00CA4ABC" w:rsidRDefault="004F4AF8" w:rsidP="00F42CB9">
      <w:pPr>
        <w:pStyle w:val="Heading1"/>
        <w:spacing w:line="360" w:lineRule="auto"/>
        <w:rPr>
          <w:rFonts w:asciiTheme="minorHAnsi" w:hAnsiTheme="minorHAnsi" w:cstheme="minorHAnsi"/>
          <w:color w:val="000000" w:themeColor="text1"/>
          <w:sz w:val="32"/>
          <w:szCs w:val="32"/>
        </w:rPr>
      </w:pPr>
      <w:bookmarkStart w:id="12" w:name="_Toc135384235"/>
      <w:r w:rsidRPr="00CA4ABC">
        <w:rPr>
          <w:rFonts w:asciiTheme="minorHAnsi" w:hAnsiTheme="minorHAnsi" w:cstheme="minorHAnsi"/>
          <w:color w:val="000000" w:themeColor="text1"/>
          <w:sz w:val="32"/>
          <w:szCs w:val="32"/>
        </w:rPr>
        <w:t>Chapter 1: General Introduction and Literature Review</w:t>
      </w:r>
      <w:bookmarkEnd w:id="12"/>
    </w:p>
    <w:p w14:paraId="11E56756" w14:textId="5D79CE02" w:rsidR="004F4AF8" w:rsidRPr="00CA4ABC" w:rsidRDefault="004F4AF8" w:rsidP="00F42CB9">
      <w:pPr>
        <w:pStyle w:val="Heading2"/>
        <w:spacing w:line="360" w:lineRule="auto"/>
        <w:rPr>
          <w:rFonts w:asciiTheme="minorHAnsi" w:hAnsiTheme="minorHAnsi" w:cstheme="minorHAnsi"/>
          <w:b/>
          <w:bCs/>
          <w:color w:val="000000" w:themeColor="text1"/>
        </w:rPr>
      </w:pPr>
      <w:bookmarkStart w:id="13" w:name="_Toc135384236"/>
      <w:r w:rsidRPr="00CA4ABC">
        <w:rPr>
          <w:rFonts w:asciiTheme="minorHAnsi" w:hAnsiTheme="minorHAnsi" w:cstheme="minorHAnsi"/>
          <w:b/>
          <w:bCs/>
          <w:color w:val="000000" w:themeColor="text1"/>
        </w:rPr>
        <w:t>1.1 General Introduction</w:t>
      </w:r>
      <w:bookmarkEnd w:id="11"/>
      <w:bookmarkEnd w:id="13"/>
    </w:p>
    <w:p w14:paraId="28BA053E" w14:textId="5C9FC742" w:rsidR="004F4AF8" w:rsidRPr="00CA4ABC" w:rsidRDefault="004F4AF8" w:rsidP="00F42CB9">
      <w:pPr>
        <w:spacing w:line="360" w:lineRule="auto"/>
        <w:ind w:firstLine="720"/>
        <w:rPr>
          <w:rFonts w:cstheme="minorHAnsi"/>
          <w:color w:val="000000" w:themeColor="text1"/>
        </w:rPr>
      </w:pPr>
      <w:r w:rsidRPr="00CA4ABC">
        <w:rPr>
          <w:rFonts w:cstheme="minorHAnsi"/>
          <w:color w:val="000000" w:themeColor="text1"/>
        </w:rPr>
        <w:t xml:space="preserve">We are an ageing population, </w:t>
      </w:r>
      <w:r w:rsidR="00F9086E" w:rsidRPr="00CA4ABC">
        <w:rPr>
          <w:rFonts w:cstheme="minorHAnsi"/>
          <w:color w:val="000000" w:themeColor="text1"/>
        </w:rPr>
        <w:t xml:space="preserve">with more people living to older ages, </w:t>
      </w:r>
      <w:r w:rsidRPr="00CA4ABC">
        <w:rPr>
          <w:rFonts w:cstheme="minorHAnsi"/>
          <w:color w:val="000000" w:themeColor="text1"/>
        </w:rPr>
        <w:t>due to falling mortality</w:t>
      </w:r>
      <w:r w:rsidR="00F9086E" w:rsidRPr="00CA4ABC">
        <w:rPr>
          <w:rFonts w:cstheme="minorHAnsi"/>
          <w:color w:val="000000" w:themeColor="text1"/>
        </w:rPr>
        <w:t xml:space="preserve"> rates</w:t>
      </w:r>
      <w:r w:rsidRPr="00CA4ABC">
        <w:rPr>
          <w:rFonts w:cstheme="minorHAnsi"/>
          <w:color w:val="000000" w:themeColor="text1"/>
        </w:rPr>
        <w:t xml:space="preserve"> </w:t>
      </w:r>
      <w:r w:rsidRPr="00CA4ABC">
        <w:rPr>
          <w:rFonts w:cstheme="minorHAnsi"/>
          <w:color w:val="000000" w:themeColor="text1"/>
        </w:rPr>
        <w:fldChar w:fldCharType="begin" w:fldLock="1"/>
      </w:r>
      <w:r w:rsidRPr="00CA4ABC">
        <w:rPr>
          <w:rFonts w:cstheme="minorHAnsi"/>
          <w:color w:val="000000" w:themeColor="text1"/>
        </w:rPr>
        <w:instrText>ADDIN CSL_CITATION {"citationItems":[{"id":"ITEM-1","itemData":{"URL":"https://www.ons.gov.uk/peoplepopulationandcommunity/birthsdeathsandmarriages/lifeexpectancies/bulletins/pastandprojecteddatafromtheperiodandcohortlifetables/2020baseduk1981to2070","accessed":{"date-parts":[["2022","8","28"]]},"id":"ITEM-1","issued":{"date-parts":[["0"]]},"title":"Past and projected period and cohort life tables - Office for National Statistics","type":"webpage"},"uris":["http://www.mendeley.com/documents/?uuid=2a022e0a-9e57-3c3a-888e-2500bcf2dbec"]}],"mendeley":{"formattedCitation":"(1)","plainTextFormattedCitation":"(1)","previouslyFormattedCitation":"(1)"},"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(1)</w:t>
      </w:r>
      <w:r w:rsidRPr="00CA4ABC">
        <w:rPr>
          <w:rFonts w:cstheme="minorHAnsi"/>
          <w:color w:val="000000" w:themeColor="text1"/>
        </w:rPr>
        <w:fldChar w:fldCharType="end"/>
      </w:r>
      <w:r w:rsidRPr="00CA4ABC">
        <w:rPr>
          <w:rFonts w:cstheme="minorHAnsi"/>
          <w:color w:val="000000" w:themeColor="text1"/>
        </w:rPr>
        <w:t>. Despite</w:t>
      </w:r>
      <w:r w:rsidR="00D77BB6" w:rsidRPr="00CA4ABC">
        <w:rPr>
          <w:rFonts w:cstheme="minorHAnsi"/>
          <w:color w:val="000000" w:themeColor="text1"/>
        </w:rPr>
        <w:t xml:space="preserve"> this, </w:t>
      </w:r>
      <w:r w:rsidRPr="00CA4ABC">
        <w:rPr>
          <w:rFonts w:cstheme="minorHAnsi"/>
          <w:color w:val="000000" w:themeColor="text1"/>
        </w:rPr>
        <w:t xml:space="preserve">Healthy Life Expectancy measured at 65 and 85 years is not keeping pace with improvements in life expectancy </w:t>
      </w:r>
      <w:r w:rsidRPr="00CA4ABC">
        <w:rPr>
          <w:rFonts w:cstheme="minorHAnsi"/>
          <w:color w:val="000000" w:themeColor="text1"/>
        </w:rPr>
        <w:fldChar w:fldCharType="begin" w:fldLock="1"/>
      </w:r>
      <w:r w:rsidR="00AD72F0" w:rsidRPr="00CA4ABC">
        <w:rPr>
          <w:rFonts w:cstheme="minorHAnsi"/>
          <w:color w:val="000000" w:themeColor="text1"/>
        </w:rPr>
        <w:instrText>ADDIN CSL_CITATION {"citationItems":[{"id":"ITEM-1","itemData":{"URL":"https://www.gov.uk/government/statistics/disability-prevalence-estimates-200203-to-201112-apr-to-mar","accessed":{"date-parts":[["2022","8","28"]]},"id":"ITEM-1","issued":{"date-parts":[["0"]]},"title":"Disability prevalence estimates 2002/03 to 2011/12 (Apr to Mar) - GOV.UK","type":"webpage"},"uris":["http://www.mendeley.com/documents/?uuid=ed013bd4-e795-3fec-a1ff-76edc042f581"]}],"mendeley":{"formattedCitation":"(2)","plainTextFormattedCitation":"(2)","previouslyFormattedCitation":"(2)"},"properties":{"noteIndex":0},"schema":"https://github.com/citation-style-language/schema/raw/master/csl-citation.json"}</w:instrText>
      </w:r>
      <w:r w:rsidRPr="00CA4ABC">
        <w:rPr>
          <w:rFonts w:cstheme="minorHAnsi"/>
          <w:color w:val="000000" w:themeColor="text1"/>
        </w:rPr>
        <w:fldChar w:fldCharType="separate"/>
      </w:r>
      <w:r w:rsidR="00D77BB6" w:rsidRPr="00CA4ABC">
        <w:rPr>
          <w:rFonts w:cstheme="minorHAnsi"/>
          <w:noProof/>
          <w:color w:val="000000" w:themeColor="text1"/>
        </w:rPr>
        <w:t>(2)</w:t>
      </w:r>
      <w:r w:rsidRPr="00CA4ABC">
        <w:rPr>
          <w:rFonts w:cstheme="minorHAnsi"/>
          <w:color w:val="000000" w:themeColor="text1"/>
        </w:rPr>
        <w:fldChar w:fldCharType="end"/>
      </w:r>
      <w:r w:rsidR="00D77BB6" w:rsidRPr="00CA4ABC">
        <w:rPr>
          <w:rFonts w:cstheme="minorHAnsi"/>
          <w:color w:val="000000" w:themeColor="text1"/>
        </w:rPr>
        <w:t xml:space="preserve"> and more time is being spent in ill</w:t>
      </w:r>
      <w:r w:rsidR="00261083" w:rsidRPr="00CA4ABC">
        <w:rPr>
          <w:rFonts w:cstheme="minorHAnsi"/>
          <w:color w:val="000000" w:themeColor="text1"/>
        </w:rPr>
        <w:t xml:space="preserve"> </w:t>
      </w:r>
      <w:r w:rsidR="00D77BB6" w:rsidRPr="00CA4ABC">
        <w:rPr>
          <w:rFonts w:cstheme="minorHAnsi"/>
          <w:color w:val="000000" w:themeColor="text1"/>
        </w:rPr>
        <w:t xml:space="preserve">health, with disabilities or comorbidities </w:t>
      </w:r>
      <w:r w:rsidR="00D77BB6" w:rsidRPr="00CA4ABC">
        <w:rPr>
          <w:rFonts w:cstheme="minorHAnsi"/>
          <w:color w:val="000000" w:themeColor="text1"/>
        </w:rPr>
        <w:fldChar w:fldCharType="begin" w:fldLock="1"/>
      </w:r>
      <w:r w:rsidR="00AD72F0" w:rsidRPr="00CA4ABC">
        <w:rPr>
          <w:rFonts w:cstheme="minorHAnsi"/>
          <w:color w:val="000000" w:themeColor="text1"/>
        </w:rPr>
        <w:instrText>ADDIN CSL_CITATION {"citationItems":[{"id":"ITEM-1","itemData":{"DOI":"10.15252/EMBR.201439518","ISSN":"1469-221X","PMID":"25525070","abstract":"STUDY DESIGN: Nonexperimental. OBJECTIVES: To determine interrater and intrarater agreement for 2 methods of evaluating movement quality during 2 lower extremity functional tasks, and to descriptively compare levels of agreement between the 2 methods. BACKGROUND: Clinicians typically use observational analysis to evaluate movement quality during functional tasks, but the extent of agreement is unknown. METHODS AND MEASURES: Twenty-five uninjured subjects performed 3 trials of unilateral squat and lateral step-down tasks. Three clinicians evaluated the trunk, pelvis, and hips for coronal plane and transverse plane movement deviations. Two rating methods were used: assessment of the entire movement (\"overall method\") and rating each segment individually (\"specific method\"). Movement deviation severity was rated using basic clinical guidelines and ratings were repeated from videotape. Percent agreement and weighted kappa coefficients were calculated between rater pairs and rating sessions. Generalized kappa coefficients were calculated across raters. RESULTS: Interrater and intrarater percent agreement were higher using the overall method. Interrater weighted kappa coefficients were similar between rating methods (overall method, 0-0.55; specific method, 0.23-0.53). Intrarater weighted kappa coefficients were higher for the specific method (0.38-0.68) compared to the overall method (0.13-0.50). Generalized kappa coefficients were also higher for specific method compared to the overall method (unilateral squat, 0.19 and 0.01, respectively; lateral step-down, 0.22 and 0.18, respectively) and 95% confidence intervals remained above zero. CONCLUSIONS: Rating movement at body segments appears to result in agreement among raters that is better than chance. Neither rating method produced high agreement, indicating a need to develop more explicit criteria for rating movement deviation severity.","author":[{"dropping-particle":"","family":"Brown","given":"Guy C","non-dropping-particle":"","parse-names":false,"suffix":""}],"container-title":"EMBO Reports","id":"ITEM-1","issue":"2","issued":{"date-parts":[["2015","2"]]},"page":"137","publisher":"European Molecular Biology Organization","title":"Living too long: The current focus of medical research on increasing the quantity, rather than the quality, of life is damaging our health and harming the economy","type":"article-journal","volume":"16"},"uris":["http://www.mendeley.com/documents/?uuid=5e1e390b-e04b-315d-b00d-20ededa417ad"]}],"mendeley":{"formattedCitation":"(3)","plainTextFormattedCitation":"(3)","previouslyFormattedCitation":"(3)"},"properties":{"noteIndex":0},"schema":"https://github.com/citation-style-language/schema/raw/master/csl-citation.json"}</w:instrText>
      </w:r>
      <w:r w:rsidR="00D77BB6" w:rsidRPr="00CA4ABC">
        <w:rPr>
          <w:rFonts w:cstheme="minorHAnsi"/>
          <w:color w:val="000000" w:themeColor="text1"/>
        </w:rPr>
        <w:fldChar w:fldCharType="separate"/>
      </w:r>
      <w:r w:rsidR="00D77BB6" w:rsidRPr="00CA4ABC">
        <w:rPr>
          <w:rFonts w:cstheme="minorHAnsi"/>
          <w:noProof/>
          <w:color w:val="000000" w:themeColor="text1"/>
        </w:rPr>
        <w:t>(3)</w:t>
      </w:r>
      <w:r w:rsidR="00D77BB6" w:rsidRPr="00CA4ABC">
        <w:rPr>
          <w:rFonts w:cstheme="minorHAnsi"/>
          <w:color w:val="000000" w:themeColor="text1"/>
        </w:rPr>
        <w:fldChar w:fldCharType="end"/>
      </w:r>
      <w:r w:rsidR="00D77BB6" w:rsidRPr="00CA4ABC">
        <w:rPr>
          <w:rFonts w:cstheme="minorHAnsi"/>
          <w:color w:val="000000" w:themeColor="text1"/>
        </w:rPr>
        <w:t>.</w:t>
      </w:r>
      <w:r w:rsidRPr="00CA4ABC">
        <w:rPr>
          <w:rFonts w:cstheme="minorHAnsi"/>
          <w:color w:val="000000" w:themeColor="text1"/>
        </w:rPr>
        <w:t xml:space="preserve"> This rise in an unhealthy elderly population places UK healthcare systems under increased pressure due to the concomitant rise in age-related medical conditions that require treatment</w:t>
      </w:r>
      <w:r w:rsidR="00D77BB6" w:rsidRPr="00CA4ABC">
        <w:rPr>
          <w:rFonts w:cstheme="minorHAnsi"/>
          <w:color w:val="000000" w:themeColor="text1"/>
        </w:rPr>
        <w:t xml:space="preserve"> </w:t>
      </w:r>
      <w:r w:rsidR="00D77BB6" w:rsidRPr="00CA4ABC">
        <w:rPr>
          <w:rFonts w:cstheme="minorHAnsi"/>
          <w:color w:val="000000" w:themeColor="text1"/>
        </w:rPr>
        <w:fldChar w:fldCharType="begin" w:fldLock="1"/>
      </w:r>
      <w:r w:rsidR="00AD72F0" w:rsidRPr="00CA4ABC">
        <w:rPr>
          <w:rFonts w:cstheme="minorHAnsi"/>
          <w:color w:val="000000" w:themeColor="text1"/>
        </w:rPr>
        <w:instrText>ADDIN CSL_CITATION {"citationItems":[{"id":"ITEM-1","itemData":{"DOI":"10.1186/s12915-018-0562-z","ISSN":"1741-7007","PMID":"30124168","abstract":"Between the 1930s and 50s, evolutionary biologists developed a successful theory of why organisms age, firmly rooted in population genetic principles. By the 1980s the evolution of aging had a secure experimental basis. Since the force of selection declines with age, aging evolves due to mutation accumulation or a benefit to fitness early in life. Here we review major insights and challenges that have emerged over the last 35 years: selection does not always necessarily decline with age; higher extrinsic (i.e., environmentally caused) mortality does not always accelerate aging; conserved pathways control aging rate; senescence patterns are more diverse than previously thought; aging is not universal; trade-offs involving lifespan can be 'broken'; aging might be 'druggable'; and human life expectancy continues to rise but compressing late-life morbidity remains a pressing challenge.","author":[{"dropping-particle":"","family":"Flatt","given":"Thomas","non-dropping-particle":"","parse-names":false,"suffix":""},{"dropping-particle":"","family":"Partridge","given":"Linda","non-dropping-particle":"","parse-names":false,"suffix":""}],"container-title":"BMC Biology","id":"ITEM-1","issue":"1","issued":{"date-parts":[["2018","12","20"]]},"page":"93","title":"Horizons in the evolution of aging","type":"article-journal","volume":"16"},"uris":["http://www.mendeley.com/documents/?uuid=754b8663-21c3-3983-b093-ce247946328f"]}],"mendeley":{"formattedCitation":"(4)","plainTextFormattedCitation":"(4)","previouslyFormattedCitation":"(4)"},"properties":{"noteIndex":0},"schema":"https://github.com/citation-style-language/schema/raw/master/csl-citation.json"}</w:instrText>
      </w:r>
      <w:r w:rsidR="00D77BB6" w:rsidRPr="00CA4ABC">
        <w:rPr>
          <w:rFonts w:cstheme="minorHAnsi"/>
          <w:color w:val="000000" w:themeColor="text1"/>
        </w:rPr>
        <w:fldChar w:fldCharType="separate"/>
      </w:r>
      <w:r w:rsidR="00D77BB6" w:rsidRPr="00CA4ABC">
        <w:rPr>
          <w:rFonts w:cstheme="minorHAnsi"/>
          <w:noProof/>
          <w:color w:val="000000" w:themeColor="text1"/>
        </w:rPr>
        <w:t>(4)</w:t>
      </w:r>
      <w:r w:rsidR="00D77BB6" w:rsidRPr="00CA4ABC">
        <w:rPr>
          <w:rFonts w:cstheme="minorHAnsi"/>
          <w:color w:val="000000" w:themeColor="text1"/>
        </w:rPr>
        <w:fldChar w:fldCharType="end"/>
      </w:r>
      <w:r w:rsidRPr="00CA4ABC">
        <w:rPr>
          <w:rFonts w:cstheme="minorHAnsi"/>
          <w:color w:val="000000" w:themeColor="text1"/>
        </w:rPr>
        <w:t>. It is likely that further resources and increased budgets will need to be allocated to the NHS in order for it to meet this increasing demand. As such, it has been argued that medical research should not focus on reducing death rates, but should instead have an emphasis on reducing</w:t>
      </w:r>
      <w:r w:rsidR="00F9086E" w:rsidRPr="00CA4ABC">
        <w:rPr>
          <w:rFonts w:cstheme="minorHAnsi"/>
          <w:color w:val="000000" w:themeColor="text1"/>
        </w:rPr>
        <w:t xml:space="preserve"> diseases associated with</w:t>
      </w:r>
      <w:r w:rsidRPr="00CA4ABC">
        <w:rPr>
          <w:rFonts w:cstheme="minorHAnsi"/>
          <w:color w:val="000000" w:themeColor="text1"/>
        </w:rPr>
        <w:t xml:space="preserve"> agein</w:t>
      </w:r>
      <w:r w:rsidR="00F9086E" w:rsidRPr="00CA4ABC">
        <w:rPr>
          <w:rFonts w:cstheme="minorHAnsi"/>
          <w:color w:val="000000" w:themeColor="text1"/>
        </w:rPr>
        <w:t>g</w:t>
      </w:r>
      <w:r w:rsidRPr="00CA4ABC">
        <w:rPr>
          <w:rFonts w:cstheme="minorHAnsi"/>
          <w:color w:val="000000" w:themeColor="text1"/>
        </w:rPr>
        <w:t xml:space="preserve"> </w:t>
      </w:r>
      <w:r w:rsidRPr="00CA4ABC">
        <w:rPr>
          <w:rFonts w:cstheme="minorHAnsi"/>
          <w:color w:val="000000" w:themeColor="text1"/>
        </w:rPr>
        <w:fldChar w:fldCharType="begin" w:fldLock="1"/>
      </w:r>
      <w:r w:rsidR="00AD72F0" w:rsidRPr="00CA4ABC">
        <w:rPr>
          <w:rFonts w:cstheme="minorHAnsi"/>
          <w:color w:val="000000" w:themeColor="text1"/>
        </w:rPr>
        <w:instrText>ADDIN CSL_CITATION {"citationItems":[{"id":"ITEM-1","itemData":{"DOI":"10.15252/EMBR.201439518","ISSN":"1469-221X","PMID":"25525070","abstract":"STUDY DESIGN: Nonexperimental. OBJECTIVES: To determine interrater and intrarater agreement for 2 methods of evaluating movement quality during 2 lower extremity functional tasks, and to descriptively compare levels of agreement between the 2 methods. BACKGROUND: Clinicians typically use observational analysis to evaluate movement quality during functional tasks, but the extent of agreement is unknown. METHODS AND MEASURES: Twenty-five uninjured subjects performed 3 trials of unilateral squat and lateral step-down tasks. Three clinicians evaluated the trunk, pelvis, and hips for coronal plane and transverse plane movement deviations. Two rating methods were used: assessment of the entire movement (\"overall method\") and rating each segment individually (\"specific method\"). Movement deviation severity was rated using basic clinical guidelines and ratings were repeated from videotape. Percent agreement and weighted kappa coefficients were calculated between rater pairs and rating sessions. Generalized kappa coefficients were calculated across raters. RESULTS: Interrater and intrarater percent agreement were higher using the overall method. Interrater weighted kappa coefficients were similar between rating methods (overall method, 0-0.55; specific method, 0.23-0.53). Intrarater weighted kappa coefficients were higher for the specific method (0.38-0.68) compared to the overall method (0.13-0.50). Generalized kappa coefficients were also higher for specific method compared to the overall method (unilateral squat, 0.19 and 0.01, respectively; lateral step-down, 0.22 and 0.18, respectively) and 95% confidence intervals remained above zero. CONCLUSIONS: Rating movement at body segments appears to result in agreement among raters that is better than chance. Neither rating method produced high agreement, indicating a need to develop more explicit criteria for rating movement deviation severity.","author":[{"dropping-particle":"","family":"Brown","given":"Guy C","non-dropping-particle":"","parse-names":false,"suffix":""}],"container-title":"EMBO Reports","id":"ITEM-1","issue":"2","issued":{"date-parts":[["2015","2"]]},"page":"137","publisher":"European Molecular Biology Organization","title":"Living too long: The current focus of medical research on increasing the quantity, rather than the quality, of life is damaging our health and harming the economy","type":"article-journal","volume":"16"},"uris":["http://www.mendeley.com/documents/?uuid=5e1e390b-e04b-315d-b00d-20ededa417ad"]}],"mendeley":{"formattedCitation":"(3)","plainTextFormattedCitation":"(3)","previouslyFormattedCitation":"(3)"},"properties":{"noteIndex":0},"schema":"https://github.com/citation-style-language/schema/raw/master/csl-citation.json"}</w:instrText>
      </w:r>
      <w:r w:rsidRPr="00CA4ABC">
        <w:rPr>
          <w:rFonts w:cstheme="minorHAnsi"/>
          <w:color w:val="000000" w:themeColor="text1"/>
        </w:rPr>
        <w:fldChar w:fldCharType="separate"/>
      </w:r>
      <w:r w:rsidR="00D77BB6" w:rsidRPr="00CA4ABC">
        <w:rPr>
          <w:rFonts w:cstheme="minorHAnsi"/>
          <w:noProof/>
          <w:color w:val="000000" w:themeColor="text1"/>
        </w:rPr>
        <w:t>(3)</w:t>
      </w:r>
      <w:r w:rsidRPr="00CA4ABC">
        <w:rPr>
          <w:rFonts w:cstheme="minorHAnsi"/>
          <w:color w:val="000000" w:themeColor="text1"/>
        </w:rPr>
        <w:fldChar w:fldCharType="end"/>
      </w:r>
      <w:r w:rsidRPr="00CA4ABC">
        <w:rPr>
          <w:rFonts w:cstheme="minorHAnsi"/>
          <w:color w:val="000000" w:themeColor="text1"/>
        </w:rPr>
        <w:t xml:space="preserve">.  Sarcopenia is an age-related disease </w:t>
      </w:r>
      <w:r w:rsidR="00AD72F0" w:rsidRPr="00CA4ABC">
        <w:rPr>
          <w:rFonts w:cstheme="minorHAnsi"/>
          <w:color w:val="000000" w:themeColor="text1"/>
        </w:rPr>
        <w:t xml:space="preserve">and can limit function and ultimately independence for older adults, improving these outcomes has been advocated as a </w:t>
      </w:r>
      <w:r w:rsidRPr="00CA4ABC">
        <w:rPr>
          <w:rFonts w:cstheme="minorHAnsi"/>
          <w:color w:val="000000" w:themeColor="text1"/>
        </w:rPr>
        <w:t>priority for research</w:t>
      </w:r>
      <w:r w:rsidR="00AD72F0" w:rsidRPr="00CA4ABC">
        <w:rPr>
          <w:rFonts w:cstheme="minorHAnsi"/>
          <w:color w:val="000000" w:themeColor="text1"/>
        </w:rPr>
        <w:t xml:space="preserve"> </w:t>
      </w:r>
      <w:r w:rsidR="00AD72F0"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{"citationItems":[{"id":"ITEM-1","itemData":{"URL":"https://www.nia.nih.gov/about/aging-strategic-directions-research","accessed":{"date-parts":[["2023","2","11"]]},"id":"ITEM-1","issued":{"date-parts":[["0"]]},"title":"Strategic Directions 2020-2025 | National Institute on Aging","type":"webpage"},"uris":["http://www.mendeley.com/documents/?uuid=d3ea1a23-58a5-34d4-b7ef-2138655df3cb"]}],"mendeley":{"formattedCitation":"(5)","plainTextFormattedCitation":"(5)","previouslyFormattedCitation":"(5)"},"properties":{"noteIndex":0},"schema":"https://github.com/citation-style-language/schema/raw/master/csl-citation.json"}</w:instrText>
      </w:r>
      <w:r w:rsidR="00AD72F0" w:rsidRPr="00CA4ABC">
        <w:rPr>
          <w:rFonts w:cstheme="minorHAnsi"/>
          <w:color w:val="000000" w:themeColor="text1"/>
        </w:rPr>
        <w:fldChar w:fldCharType="separate"/>
      </w:r>
      <w:r w:rsidR="00AD72F0" w:rsidRPr="00CA4ABC">
        <w:rPr>
          <w:rFonts w:cstheme="minorHAnsi"/>
          <w:noProof/>
          <w:color w:val="000000" w:themeColor="text1"/>
        </w:rPr>
        <w:t>(5)</w:t>
      </w:r>
      <w:r w:rsidR="00AD72F0" w:rsidRPr="00CA4ABC">
        <w:rPr>
          <w:rFonts w:cstheme="minorHAnsi"/>
          <w:color w:val="000000" w:themeColor="text1"/>
        </w:rPr>
        <w:fldChar w:fldCharType="end"/>
      </w:r>
      <w:r w:rsidRPr="00CA4ABC">
        <w:rPr>
          <w:rFonts w:cstheme="minorHAnsi"/>
          <w:color w:val="000000" w:themeColor="text1"/>
        </w:rPr>
        <w:t>. Taking a protective/preventive approach may be most beneficial for tack</w:t>
      </w:r>
      <w:r w:rsidR="00261083" w:rsidRPr="00CA4ABC">
        <w:rPr>
          <w:rFonts w:cstheme="minorHAnsi"/>
          <w:color w:val="000000" w:themeColor="text1"/>
        </w:rPr>
        <w:t>l</w:t>
      </w:r>
      <w:r w:rsidRPr="00CA4ABC">
        <w:rPr>
          <w:rFonts w:cstheme="minorHAnsi"/>
          <w:color w:val="000000" w:themeColor="text1"/>
        </w:rPr>
        <w:t xml:space="preserve">ing age-related diseases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{"citationItems":[{"id":"ITEM-1","itemData":{"DOI":"10.1002/CPT.1295","ISSN":"15326535","PMID":"30597564","abstract":"Decoding health and disease pathways drives healthcare evolution. Historically, therapeutic paradigms have relied on interventions that mitigate symptoms of established diseases. Increasingly, molecular insights into pathophysiology now provide unprecedented opportunities to offer curative solutions or even prevent disease and thereby secure longitudinal wellness. These opportunities extend past individual patients to entire populations and geographies. Moreover, they optimize prospective healthspan across lifespan. Linking discovery science and its translatable innovations beyond reactive disease intervention to proactive prevention will maximize society's returns creating the greatest benefit for the greatest number of people globally. Innovation distinguishes between a leader and a follower. Steve Jobs Biological discovery, associated with advances in enabling technologies, have transformed healthcare management paradigms for patients and populations. 1 This transformation reflects logarithmic expansion of our molecular, technological and engineering enterprises, driven by investments from the public and private sectors. 2 Evolution in discovery and technology impels the emergence of precision healthcare solutions, extending insights in biological systems to the pathophysiology underlying disease, yielding mechanism-based targets for curative therapies. 3 In that context, the growing toolkit of enabling omic and informatics platforms has yielded extraordinary opportunities to customize curative therapies that can be deployed to individuals, communities, and global populations. 4 Indeed, molecular and technological innovations have been translated by a burgeoning biopharmaceutical industry into new paradigms that interrupt the lifecycle of disease, whose reach and impact are amplified by international regulatory agencies that ensure safe access to global populations. 5 Moreover, clinical paradigms emerging from these molecularly-directed therapies shifts the \"average patient\" model of healthcare management to","author":[{"dropping-particle":"","family":"Waldman","given":"Scott A.","non-dropping-particle":"","parse-names":false,"suffix":""},{"dropping-particle":"","family":"Terzic","given":"Andre","non-dropping-particle":"","parse-names":false,"suffix":""}],"container-title":"Clinical pharmacology and therapeutics","id":"ITEM-1","issue":"1","issued":{"date-parts":[["2019","1","1"]]},"page":"10","publisher":"NIH Public Access","title":"Healthcare Evolves From Reactive to Proactive","type":"article-journal","volume":"105"},"uris":["http://www.mendeley.com/documents/?uuid=fa30aa5c-6cc5-3256-880e-b2afa28e06af"]}],"mendeley":{"formattedCitation":"(6)","plainTextFormattedCitation":"(6)","previouslyFormattedCitation":"(6)"},"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(6)</w:t>
      </w:r>
      <w:r w:rsidRPr="00CA4ABC">
        <w:rPr>
          <w:rFonts w:cstheme="minorHAnsi"/>
          <w:color w:val="000000" w:themeColor="text1"/>
        </w:rPr>
        <w:fldChar w:fldCharType="end"/>
      </w:r>
      <w:r w:rsidRPr="00CA4ABC">
        <w:rPr>
          <w:rFonts w:cstheme="minorHAnsi"/>
          <w:color w:val="000000" w:themeColor="text1"/>
        </w:rPr>
        <w:t xml:space="preserve"> and could drive better health spans across the lifespan.</w:t>
      </w:r>
    </w:p>
    <w:p w14:paraId="0367DB71" w14:textId="78AC1B65" w:rsidR="004F4AF8" w:rsidRPr="00CA4ABC" w:rsidRDefault="004F4AF8" w:rsidP="00F42CB9">
      <w:pPr>
        <w:spacing w:line="360" w:lineRule="auto"/>
        <w:rPr>
          <w:rFonts w:cstheme="minorHAnsi"/>
          <w:color w:val="000000" w:themeColor="text1"/>
        </w:rPr>
      </w:pPr>
      <w:r w:rsidRPr="00CA4ABC">
        <w:rPr>
          <w:rFonts w:cstheme="minorHAnsi"/>
          <w:color w:val="000000" w:themeColor="text1"/>
        </w:rPr>
        <w:t>Sarcopenia</w:t>
      </w:r>
      <w:r w:rsidR="00AD72F0" w:rsidRPr="00CA4ABC">
        <w:rPr>
          <w:rFonts w:cstheme="minorHAnsi"/>
          <w:color w:val="000000" w:themeColor="text1"/>
        </w:rPr>
        <w:t xml:space="preserve">'s </w:t>
      </w:r>
      <w:r w:rsidRPr="00CA4ABC">
        <w:rPr>
          <w:rFonts w:cstheme="minorHAnsi"/>
          <w:color w:val="000000" w:themeColor="text1"/>
        </w:rPr>
        <w:t>name stem</w:t>
      </w:r>
      <w:r w:rsidR="00AD72F0" w:rsidRPr="00CA4ABC">
        <w:rPr>
          <w:rFonts w:cstheme="minorHAnsi"/>
          <w:color w:val="000000" w:themeColor="text1"/>
        </w:rPr>
        <w:t xml:space="preserve">s </w:t>
      </w:r>
      <w:r w:rsidRPr="00CA4ABC">
        <w:rPr>
          <w:rFonts w:cstheme="minorHAnsi"/>
          <w:color w:val="000000" w:themeColor="text1"/>
        </w:rPr>
        <w:t xml:space="preserve">from the Greek origin meaning “poverty of flesh”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{"citationItems":[{"id":"ITEM-1","itemData":{"DOI":"10.1093/JN/127.5.990S","ISSN":"0022-3166","PMID":"9164280","abstract":"This presentation reflects on the origins of the term sarcopenia. The Greek roots of the word are sarx for flesh and penia for loss. The term actually describes important changes in body composition and related functions. Clearly defining sarcopenia will allow investigators to appropriately classify patients and examine underlying pathogenic mechanisms and will allow funding agencies to appropriately target research funds to a taxonomically distinct syndrome.","author":[{"dropping-particle":"","family":"Rosenberg","given":"Irwin H.","non-dropping-particle":"","parse-names":false,"suffix":""}],"container-title":"The Journal of nutrition","id":"ITEM-1","issue":"5 Suppl","issued":{"date-parts":[["1997"]]},"publisher":"J Nutr","title":"Sarcopenia: origins and clinical relevance","type":"article-journal","volume":"127"},"uris":["http://www.mendeley.com/documents/?uuid=9e504422-c8e2-314a-bd3d-3f05d66a9d25"]}],"mendeley":{"formattedCitation":"(7)","plainTextFormattedCitation":"(7)","previouslyFormattedCitation":"(7)"},"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(7)</w:t>
      </w:r>
      <w:r w:rsidRPr="00CA4ABC">
        <w:rPr>
          <w:rFonts w:cstheme="minorHAnsi"/>
          <w:color w:val="000000" w:themeColor="text1"/>
        </w:rPr>
        <w:fldChar w:fldCharType="end"/>
      </w:r>
      <w:r w:rsidRPr="00CA4ABC">
        <w:rPr>
          <w:rFonts w:cstheme="minorHAnsi"/>
          <w:color w:val="000000" w:themeColor="text1"/>
        </w:rPr>
        <w:t>.  Originally described as the loss of muscle as we age, more recently sarcopenia has been defined as not only a loss of muscle mass, but also the loss of function; either</w:t>
      </w:r>
      <w:r w:rsidR="00AD72F0" w:rsidRPr="00CA4ABC">
        <w:rPr>
          <w:rFonts w:cstheme="minorHAnsi"/>
          <w:color w:val="000000" w:themeColor="text1"/>
        </w:rPr>
        <w:t xml:space="preserve"> of</w:t>
      </w:r>
      <w:r w:rsidRPr="00CA4ABC">
        <w:rPr>
          <w:rFonts w:cstheme="minorHAnsi"/>
          <w:color w:val="000000" w:themeColor="text1"/>
        </w:rPr>
        <w:t xml:space="preserve"> strength or performance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{"citationItems":[{"id":"ITEM-1","itemData":{"DOI":"10.1093/ageing/afy169","ISSN":"1468-2834","PMID":"30312372","abstract":"Background in 2010, the European Working Group on Sarcopenia in Older People (EWGSOP) published a sarcopenia definition that aimed to foster advances in identifying and caring for people with sarcopenia. In early 2018, the Working Group met again (EWGSOP2) to update the original definition in order to reflect scientific and clinical evidence that has built over the last decade. This paper presents our updated findings. Objectives to increase consistency of research design, clinical diagnoses and ultimately, care for people with sarcopenia. Recommendations sarcopenia is a muscle disease (muscle failure) rooted in adverse muscle changes that accrue across a lifetime; sarcopenia is common among adults of older age but can also occur earlier in life. In this updated consensus paper on sarcopenia, EWGSOP2: (1) focuses on low muscle strength as a key characteristic of sarcopenia, uses detection of low muscle quantity and quality to confirm the sarcopenia diagnosis, and identifies poor physical performance as indicative of severe sarcopenia; (2) updates the clinical algorithm that can be used for sarcopenia case-finding, diagnosis and confirmation, and severity determination and (3) provides clear cut-off points for measurements of variables that identify and characterise sarcopenia. Conclusions EWGSOP2's updated recommendations aim to increase awareness of sarcopenia and its risk. With these new recommendations, EWGSOP2 calls for healthcare professionals who treat patients at risk for sarcopenia to take actions that will promote early detection and treatment. We also encourage more research in the field of sarcopenia in order to prevent or delay adverse health outcomes that incur a heavy burden for patients and healthcare systems.","author":[{"dropping-particle":"","family":"Cruz-Jentoft","given":"Alfonso J","non-dropping-particle":"","parse-names":false,"suffix":""},{"dropping-particle":"","family":"Bahat","given":"Gülistan","non-dropping-particle":"","parse-names":false,"suffix":""},{"dropping-particle":"","family":"Bauer","given":"Jürgen","non-dropping-particle":"","parse-names":false,"suffix":""},{"dropping-particle":"","family":"Boirie","given":"Yves","non-dropping-particle":"","parse-names":false,"suffix":""},{"dropping-particle":"","family":"Bruyère","given":"Olivier","non-dropping-particle":"","parse-names":false,"suffix":""},{"dropping-particle":"","family":"Cederholm","given":"Tommy","non-dropping-particle":"","parse-names":false,"suffix":""},{"dropping-particle":"","family":"Cooper","given":"Cyrus","non-dropping-particle":"","parse-names":false,"suffix":""},{"dropping-particle":"","family":"Landi","given":"Francesco","non-dropping-particle":"","parse-names":false,"suffix":""},{"dropping-particle":"","family":"Rolland","given":"Yves","non-dropping-particle":"","parse-names":false,"suffix":""},{"dropping-particle":"","family":"Sayer","given":"Avan Aihie","non-dropping-particle":"","parse-names":false,"suffix":""},{"dropping-particle":"","family":"Schneider","given":"Stéphane M","non-dropping-particle":"","parse-names":false,"suffix":""},{"dropping-particle":"","family":"Sieber","given":"Cornel C","non-dropping-particle":"","parse-names":false,"suffix":""},{"dropping-particle":"","family":"Topinkova","given":"Eva","non-dropping-particle":"","parse-names":false,"suffix":""},{"dropping-particle":"","family":"Vandewoude","given":"Maurits","non-dropping-particle":"","parse-names":false,"suffix":""},{"dropping-particle":"","family":"Visser","given":"Marjolein","non-dropping-particle":"","parse-names":false,"suffix":""},{"dropping-particle":"","family":"Zamboni","given":"Mauro","non-dropping-particle":"","parse-names":false,"suffix":""},{"dropping-particle":"","family":"Writing Group for the European Working Group on Sarcopenia in Older People 2 (EWGSOP2), and the Extended Group for EWGSOP2","given":"","non-dropping-particle":"","parse-names":false,"suffix":""}],"container-title":"Age and ageing","id":"ITEM-1","issue":"1","issued":{"date-parts":[["2019"]]},"page":"16-31","title":"Sarcopenia: revised European consensus on definition and diagnosis.","type":"article-journal","volume":"48"},"uris":["http://www.mendeley.com/documents/?uuid=8c355e81-ecaa-3636-98e2-b48c9e17adc1"]}],"mendeley":{"formattedCitation":"(8)","plainTextFormattedCitation":"(8)","previouslyFormattedCitation":"(8)"},"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(8)</w:t>
      </w:r>
      <w:r w:rsidRPr="00CA4ABC">
        <w:rPr>
          <w:rFonts w:cstheme="minorHAnsi"/>
          <w:color w:val="000000" w:themeColor="text1"/>
        </w:rPr>
        <w:fldChar w:fldCharType="end"/>
      </w:r>
      <w:r w:rsidR="00F9086E" w:rsidRPr="00CA4ABC">
        <w:rPr>
          <w:rFonts w:cstheme="minorHAnsi"/>
          <w:color w:val="000000" w:themeColor="text1"/>
        </w:rPr>
        <w:t>.</w:t>
      </w:r>
    </w:p>
    <w:p w14:paraId="425A2F34" w14:textId="24FD1CDF" w:rsidR="004F4AF8" w:rsidRPr="00CA4ABC" w:rsidRDefault="004F4AF8" w:rsidP="00F42CB9">
      <w:pPr>
        <w:spacing w:line="360" w:lineRule="auto"/>
        <w:rPr>
          <w:rFonts w:cstheme="minorHAnsi"/>
          <w:color w:val="000000" w:themeColor="text1"/>
        </w:rPr>
      </w:pPr>
      <w:r w:rsidRPr="00CA4ABC">
        <w:rPr>
          <w:rFonts w:cstheme="minorHAnsi"/>
          <w:color w:val="000000" w:themeColor="text1"/>
        </w:rPr>
        <w:t xml:space="preserve">In 2016, Sarcopenia was given an ICD-10-MC disease code, acknowledging its disease status.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{"citationItems":[{"id":"ITEM-1","itemData":{"ISSN":"1078-4497","PMID":"28867927","abstract":"The CDC recently recognized sarcopenia as a reportable medical condition necessitating better screening and diagnosis of this geriatric syndrome.","author":[{"dropping-particle":"","family":"Falcon","given":"Laura J","non-dropping-particle":"","parse-names":false,"suffix":""},{"dropping-particle":"","family":"Harris-Love","given":"Michael O","non-dropping-particle":"","parse-names":false,"suffix":""}],"container-title":"Federal practitioner : for the health care professionals of the VA, DoD, and PHS","id":"ITEM-1","issue":"7","issued":{"date-parts":[["2017","7","9"]]},"page":"24-32","title":"Sarcopenia and the New ICD-10-CM Code: Screening, Staging, and Diagnosis Considerations.","type":"article-journal","volume":"34"},"uris":["http://www.mendeley.com/documents/?uuid=e2109a5d-a948-303c-ac74-62a5842becc2"]}],"mendeley":{"formattedCitation":"(9)","plainTextFormattedCitation":"(9)","previouslyFormattedCitation":"(9)"},"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(9)</w:t>
      </w:r>
      <w:r w:rsidRPr="00CA4ABC">
        <w:rPr>
          <w:rFonts w:cstheme="minorHAnsi"/>
          <w:color w:val="000000" w:themeColor="text1"/>
        </w:rPr>
        <w:fldChar w:fldCharType="end"/>
      </w:r>
      <w:r w:rsidRPr="00CA4ABC">
        <w:rPr>
          <w:rFonts w:cstheme="minorHAnsi"/>
          <w:color w:val="000000" w:themeColor="text1"/>
        </w:rPr>
        <w:t xml:space="preserve"> </w:t>
      </w:r>
      <w:r w:rsidR="00AD72F0" w:rsidRPr="00CA4ABC">
        <w:rPr>
          <w:rFonts w:cstheme="minorHAnsi"/>
          <w:color w:val="000000" w:themeColor="text1"/>
        </w:rPr>
        <w:t>S</w:t>
      </w:r>
      <w:r w:rsidRPr="00CA4ABC">
        <w:rPr>
          <w:rFonts w:cstheme="minorHAnsi"/>
          <w:color w:val="000000" w:themeColor="text1"/>
        </w:rPr>
        <w:t>arcopenia has a life course trajectory, which needs to be understood to try and intervene at the most opportune time-point.  It has been noted that muscle loss begin to advance in the 4</w:t>
      </w:r>
      <w:r w:rsidRPr="00CA4ABC">
        <w:rPr>
          <w:rFonts w:cstheme="minorHAnsi"/>
          <w:color w:val="000000" w:themeColor="text1"/>
          <w:vertAlign w:val="superscript"/>
        </w:rPr>
        <w:t>th</w:t>
      </w:r>
      <w:r w:rsidRPr="00CA4ABC">
        <w:rPr>
          <w:rFonts w:cstheme="minorHAnsi"/>
          <w:color w:val="000000" w:themeColor="text1"/>
        </w:rPr>
        <w:t xml:space="preserve"> </w:t>
      </w:r>
      <w:r w:rsidR="00F9086E" w:rsidRPr="00CA4ABC">
        <w:rPr>
          <w:rFonts w:cstheme="minorHAnsi"/>
          <w:color w:val="000000" w:themeColor="text1"/>
        </w:rPr>
        <w:t xml:space="preserve">decade of life and accelerates thereafter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{"citationItems":[{"id":"ITEM-1","itemData":{"DOI":"10.1093/GERONA/52A.5.B267","ISSN":"1079-5006","PMID":"9310077","abstract":"Cross-sectional and longitudinal age-associated reductions in power and isometric strength are described for the upper extremities. Over a 25-year period, repeated measures were taken approximately every 2 years from men and women in the Baltimore Longitudinal Study of Aging (BLSA). The longitudinal measures covered an average 9.6 years, range 1-25 years for men and an average 4.6 years, range 1-8 years for women. Strength and power declined beginning by age 40 in both women and men. Thereafter, power declined abut 10% more than strength in men, while no significant differences were found in women. Age had a statistically independent influence on strength and power measures after adjusting for gender, height, weight, caloric expenditure, and muscle mass. Twenty-five-year longitudinal analyses in man confirmed the declines observed cross-sectionally, while no changes were observed in women over the 4-5 years of longitudinal data available. Further longitudinal studies are needed to understand the relationships between strength and power losses with age in women. The differences between power and strength changes with age in men argue for the importance of factors other than strength affecting power.","author":[{"dropping-particle":"","family":"Metter","given":"E. Jeffrey","non-dropping-particle":"","parse-names":false,"suffix":""},{"dropping-particle":"","family":"Conwit","given":"Robin","non-dropping-particle":"","parse-names":false,"suffix":""},{"dropping-particle":"","family":"Tobin","given":"Jordan","non-dropping-particle":"","parse-names":false,"suffix":""},{"dropping-particle":"","family":"Fozard","given":"James L.","non-dropping-particle":"","parse-names":false,"suffix":""}],"container-title":"The journals of gerontology. Series A, Biological sciences and medical sciences","id":"ITEM-1","issue":"5","issued":{"date-parts":[["1997"]]},"publisher":"J Gerontol A Biol Sci Med Sci","title":"Age-associated loss of power and strength in the upper extremities in women and men","type":"article-journal","volume":"52"},"uris":["http://www.mendeley.com/documents/?uuid=5336ea1d-72fe-3c0e-8e92-905b03af37a0"]}],"mendeley":{"formattedCitation":"(10)","plainTextFormattedCitation":"(10)","previouslyFormattedCitation":"(10)"},"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(10)</w:t>
      </w:r>
      <w:r w:rsidRPr="00CA4ABC">
        <w:rPr>
          <w:rFonts w:cstheme="minorHAnsi"/>
          <w:color w:val="000000" w:themeColor="text1"/>
        </w:rPr>
        <w:fldChar w:fldCharType="end"/>
      </w:r>
      <w:r w:rsidRPr="00CA4ABC">
        <w:rPr>
          <w:rFonts w:cstheme="minorHAnsi"/>
          <w:color w:val="000000" w:themeColor="text1"/>
        </w:rPr>
        <w:t>. This offers a window of opportunity to try and minimise losses occurring</w:t>
      </w:r>
      <w:r w:rsidR="00F9086E" w:rsidRPr="00CA4ABC">
        <w:rPr>
          <w:rFonts w:cstheme="minorHAnsi"/>
          <w:color w:val="000000" w:themeColor="text1"/>
        </w:rPr>
        <w:t xml:space="preserve"> in middle age</w:t>
      </w:r>
      <w:r w:rsidRPr="00CA4ABC">
        <w:rPr>
          <w:rFonts w:cstheme="minorHAnsi"/>
          <w:color w:val="000000" w:themeColor="text1"/>
        </w:rPr>
        <w:t xml:space="preserve"> and thus the potential to delay or prevent the onset of sarcopenia in later life. </w:t>
      </w:r>
    </w:p>
    <w:p w14:paraId="18D1BDBA" w14:textId="0E302445" w:rsidR="004F4AF8" w:rsidRPr="00CA4ABC" w:rsidRDefault="004F4AF8" w:rsidP="00F42CB9">
      <w:pPr>
        <w:spacing w:line="360" w:lineRule="auto"/>
        <w:rPr>
          <w:rFonts w:cstheme="minorHAnsi"/>
          <w:color w:val="000000" w:themeColor="text1"/>
        </w:rPr>
      </w:pPr>
      <w:r w:rsidRPr="00CA4ABC">
        <w:rPr>
          <w:rFonts w:cstheme="minorHAnsi"/>
          <w:color w:val="000000" w:themeColor="text1"/>
        </w:rPr>
        <w:t>Estimates for sarcopenia’s prevalence are varied, but it has been</w:t>
      </w:r>
      <w:r w:rsidR="00AD72F0" w:rsidRPr="00CA4ABC">
        <w:rPr>
          <w:rFonts w:cstheme="minorHAnsi"/>
          <w:color w:val="000000" w:themeColor="text1"/>
        </w:rPr>
        <w:t xml:space="preserve"> suggested that </w:t>
      </w:r>
      <w:r w:rsidR="005B258E" w:rsidRPr="00CA4ABC">
        <w:rPr>
          <w:rFonts w:cstheme="minorHAnsi"/>
          <w:color w:val="000000" w:themeColor="text1"/>
        </w:rPr>
        <w:t>approximately 40%</w:t>
      </w:r>
      <w:r w:rsidRPr="00CA4ABC">
        <w:rPr>
          <w:rFonts w:cstheme="minorHAnsi"/>
          <w:color w:val="000000" w:themeColor="text1"/>
        </w:rPr>
        <w:t xml:space="preserve"> of the population </w:t>
      </w:r>
      <w:r w:rsidR="005B258E" w:rsidRPr="00CA4ABC">
        <w:rPr>
          <w:rFonts w:cstheme="minorHAnsi"/>
          <w:color w:val="000000" w:themeColor="text1"/>
        </w:rPr>
        <w:t xml:space="preserve">exhibits sarcopenia </w:t>
      </w:r>
      <w:r w:rsidR="005B258E" w:rsidRPr="00CA4ABC">
        <w:rPr>
          <w:rFonts w:cstheme="minorHAnsi"/>
          <w:color w:val="000000" w:themeColor="text1"/>
        </w:rPr>
        <w:fldChar w:fldCharType="begin" w:fldLock="1"/>
      </w:r>
      <w:r w:rsidR="00E34059" w:rsidRPr="00CA4ABC">
        <w:rPr>
          <w:rFonts w:cstheme="minorHAnsi"/>
          <w:color w:val="000000" w:themeColor="text1"/>
        </w:rPr>
        <w:instrText>ADDIN CSL_CITATION {"citationItems":[{"id":"ITEM-1","itemData":{"DOI":"10.1093/AGEING/AFY106","ISSN":"0002-0729","PMID":"30052707","abstract":"Background sarcopenia in ageing is a progressive decrease in muscle mass, strength and/or physical function. This review aims to summarise the definitions of sarcopenia in community-dwelling older adults and explore similarities and differences in prevalence estimates by definition. Methods a systematic review was conducted to identify articles which estimated sarcopenia prevalence in older populations using search terms for sarcopenia and muscle mass. Overall prevalence for each sarcopenia definition was estimated stratified by sex and ethnicity. Secondary analyses explored differences between studies and within definitions, including participant age, muscle mass measurement techniques and thresholds for muscle mass and gait speed. Results in 109 included articles, eight definitions of sarcopenia were identified. The lowest pooled prevalence estimates came from the European Working Group on Sarcopenia/Asian Working Group on Sarcopenia (12.9%, 95% confidence interval: 9.9-15.9%), International Working Group on Sarcopenia (9.9%, 3.2-16.6%) and Foundation for the National Institutes of Health (18.6%, 11.8-25.5%) definitions. The highest prevalence estimates were for the appendicular lean mass (ALM)/weight (40.4%, 19.5-61.2%), ALM/height (30.4%, 20.4-40.3%), ALM regressed on height and weight (30.4%, 20.4-40.3%) and ALM / body mass index (24.2%, 18.3-30.1%) definitions. Within definitions, the age of study participants and the muscle mass cut points used were substantive sources of between-study differences. Conclusion estimates of sarcopenia prevalence vary from 9.9 to 40.4%, depending on the definition used. Significant differences in prevalence exist within definitions across populations. This lack of agreement between definitions needs to be better understood before sarcopenia can be appropriately used in a clinical context.","author":[{"dropping-particle":"","family":"Mayhew","given":"A. J.","non-dropping-particle":"","parse-names":false,"suffix":""},{"dropping-particle":"","family":"Amog","given":"K.","non-dropping-particle":"","parse-names":false,"suffix":""},{"dropping-particle":"","family":"Phillips","given":"S.","non-dropping-particle":"","parse-names":false,"suffix":""},{"dropping-particle":"","family":"Parise","given":"G.","non-dropping-particle":"","parse-names":false,"suffix":""},{"dropping-particle":"","family":"McNicholas","given":"P. D.","non-dropping-particle":"","parse-names":false,"suffix":""},{"dropping-particle":"","family":"Souza","given":"R. J.","non-dropping-particle":"De","parse-names":false,"suffix":""},{"dropping-particle":"","family":"Thabane","given":"L.","non-dropping-particle":"","parse-names":false,"suffix":""},{"dropping-particle":"","family":"Raina","given":"P.","non-dropping-particle":"","parse-names":false,"suffix":""}],"container-title":"Age and Ageing","id":"ITEM-1","issue":"1","issued":{"date-parts":[["2019","1","1"]]},"page":"48-56","publisher":"Oxford Academic","title":"The prevalence of sarcopenia in community-dwelling older adults, an exploration of differences between studies and within definitions: a systematic review and meta-analyses","type":"article-journal","volume":"48"},"uris":["http://www.mendeley.com/documents/?uuid=5919f488-79b7-3bf7-b138-7bcb39d3c6c5"]}],"mendeley":{"formattedCitation":"(11)","plainTextFormattedCitation":"(11)","previouslyFormattedCitation":"(11)"},"properties":{"noteIndex":0},"schema":"https://github.com/citation-style-language/schema/raw/master/csl-citation.json"}</w:instrText>
      </w:r>
      <w:r w:rsidR="005B258E" w:rsidRPr="00CA4ABC">
        <w:rPr>
          <w:rFonts w:cstheme="minorHAnsi"/>
          <w:color w:val="000000" w:themeColor="text1"/>
        </w:rPr>
        <w:fldChar w:fldCharType="separate"/>
      </w:r>
      <w:r w:rsidR="005B258E" w:rsidRPr="00CA4ABC">
        <w:rPr>
          <w:rFonts w:cstheme="minorHAnsi"/>
          <w:noProof/>
          <w:color w:val="000000" w:themeColor="text1"/>
        </w:rPr>
        <w:t>(11)</w:t>
      </w:r>
      <w:r w:rsidR="005B258E" w:rsidRPr="00CA4ABC">
        <w:rPr>
          <w:rFonts w:cstheme="minorHAnsi"/>
          <w:color w:val="000000" w:themeColor="text1"/>
        </w:rPr>
        <w:fldChar w:fldCharType="end"/>
      </w:r>
      <w:r w:rsidRPr="00CA4ABC">
        <w:rPr>
          <w:rFonts w:cstheme="minorHAnsi"/>
          <w:color w:val="000000" w:themeColor="text1"/>
        </w:rPr>
        <w:t xml:space="preserve">; once again demonstrating the burden </w:t>
      </w:r>
      <w:r w:rsidR="00261083" w:rsidRPr="00CA4ABC">
        <w:rPr>
          <w:rFonts w:cstheme="minorHAnsi"/>
          <w:color w:val="000000" w:themeColor="text1"/>
        </w:rPr>
        <w:t xml:space="preserve">of </w:t>
      </w:r>
      <w:r w:rsidRPr="00CA4ABC">
        <w:rPr>
          <w:rFonts w:cstheme="minorHAnsi"/>
          <w:color w:val="000000" w:themeColor="text1"/>
        </w:rPr>
        <w:t xml:space="preserve">the disease. The implications of sarcopenia are substantial and debilitating at both an individual and a societal level. For </w:t>
      </w:r>
      <w:r w:rsidR="00261083" w:rsidRPr="00CA4ABC">
        <w:rPr>
          <w:rFonts w:cstheme="minorHAnsi"/>
          <w:color w:val="000000" w:themeColor="text1"/>
        </w:rPr>
        <w:t>an</w:t>
      </w:r>
      <w:r w:rsidRPr="00CA4ABC">
        <w:rPr>
          <w:rFonts w:cstheme="minorHAnsi"/>
          <w:color w:val="000000" w:themeColor="text1"/>
        </w:rPr>
        <w:t xml:space="preserve"> individual the presence of sarcopenia makes</w:t>
      </w:r>
      <w:r w:rsidR="00EF18D6" w:rsidRPr="00CA4ABC">
        <w:rPr>
          <w:rFonts w:cstheme="minorHAnsi"/>
          <w:color w:val="000000" w:themeColor="text1"/>
        </w:rPr>
        <w:t xml:space="preserve"> </w:t>
      </w:r>
      <w:r w:rsidR="00EF18D6" w:rsidRPr="00CA4ABC">
        <w:rPr>
          <w:rFonts w:cstheme="minorHAnsi"/>
          <w:color w:val="000000" w:themeColor="text1"/>
        </w:rPr>
        <w:lastRenderedPageBreak/>
        <w:t>them</w:t>
      </w:r>
      <w:r w:rsidRPr="00CA4ABC">
        <w:rPr>
          <w:rFonts w:cstheme="minorHAnsi"/>
          <w:color w:val="000000" w:themeColor="text1"/>
        </w:rPr>
        <w:t xml:space="preserve"> at risk of falls and fractures</w:t>
      </w:r>
      <w:r w:rsidR="00EF18D6" w:rsidRPr="00CA4ABC">
        <w:rPr>
          <w:rFonts w:cstheme="minorHAnsi"/>
          <w:color w:val="000000" w:themeColor="text1"/>
        </w:rPr>
        <w:t xml:space="preserve">, </w:t>
      </w:r>
      <w:r w:rsidRPr="00CA4ABC">
        <w:rPr>
          <w:rFonts w:cstheme="minorHAnsi"/>
          <w:color w:val="000000" w:themeColor="text1"/>
        </w:rPr>
        <w:t>can impair their ability to perform daily activities</w:t>
      </w:r>
      <w:r w:rsidR="00EF18D6" w:rsidRPr="00CA4ABC">
        <w:rPr>
          <w:rFonts w:cstheme="minorHAnsi"/>
          <w:color w:val="000000" w:themeColor="text1"/>
        </w:rPr>
        <w:t xml:space="preserve"> and </w:t>
      </w:r>
      <w:r w:rsidRPr="00CA4ABC">
        <w:rPr>
          <w:rFonts w:cstheme="minorHAnsi"/>
          <w:color w:val="000000" w:themeColor="text1"/>
        </w:rPr>
        <w:t xml:space="preserve"> </w:t>
      </w:r>
      <w:r w:rsidR="00EF18D6" w:rsidRPr="00CA4ABC">
        <w:rPr>
          <w:rFonts w:cstheme="minorHAnsi"/>
          <w:color w:val="000000" w:themeColor="text1"/>
        </w:rPr>
        <w:t>reduce their</w:t>
      </w:r>
      <w:r w:rsidRPr="00CA4ABC">
        <w:rPr>
          <w:rFonts w:cstheme="minorHAnsi"/>
          <w:color w:val="000000" w:themeColor="text1"/>
        </w:rPr>
        <w:t xml:space="preserve"> independence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{"citationItems":[{"id":"ITEM-1","itemData":{"DOI":"10.1002/jcsm.12160","ISSN":"21906009","abstract":"Background: The loss of skeletal muscle mass (MM) or muscle function (MF) alone increases the risk for losing physical independence in older adults. We aimed to examine the independent and synergic associations of low MM and low MF, both criteria of sarcopenia, with the risk for losing projected physical independence in later life (+90 years old). Methods: Cross-sectional analyses were conducted in 3493 non-institutionalized older adults (1166 males). Physical independence was assessed with a 12-item composite physical function scale. Logistic regression was used to estimate the odds-ratio (OR) for being at risk for losing physical independence. Results: Approximately 30% of the participants were at risk for losing physical independence at 90 years of age. Independent analysis demonstrated that participants with low MM had 1.65 (95%CI: 1.27–2.31) increased odds for being at risk for losing physical independence and participants with low MF had 6.19 (95%CI 5.08–7.53) increased odds for being at risk. Jointly, having a low MM and a low MF increased the risk for losing physical independence to 12.28 (95%CI 7.95 to 18.96). Conclusions: Although low MM represents a risk factor for losing physical independence, low MF seems to play a more dominant role in this relationship, with the presence of both sarcopenia criteria representing a substantial risk for losing physical independence in later life.","author":[{"dropping-particle":"","family":"Santos","given":"Leandro","non-dropping-particle":"dos","parse-names":false,"suffix":""},{"dropping-particle":"","family":"Cyrino","given":"Edilson S.","non-dropping-particle":"","parse-names":false,"suffix":""},{"dropping-particle":"","family":"Antunes","given":"Melissa","non-dropping-particle":"","parse-names":false,"suffix":""},{"dropping-particle":"","family":"Santos","given":"Diana A.","non-dropping-particle":"","parse-names":false,"suffix":""},{"dropping-particle":"","family":"Sardinha","given":"Luís B.","non-dropping-particle":"","parse-names":false,"suffix":""}],"container-title":"Journal of Cachexia, Sarcopenia and Muscle","id":"ITEM-1","issue":"2","issued":{"date-parts":[["2017","4","1"]]},"page":"245-250","publisher":"Wiley Blackwell","title":"Sarcopenia and physical independence in older adults: the independent and synergic role of muscle mass and muscle function","type":"article-journal","volume":"8"},"uris":["http://www.mendeley.com/documents/?uuid=6f52e5f4-fc13-38a7-a575-222c6ba22f5c"]}],"mendeley":{"formattedCitation":"(12)","plainTextFormattedCitation":"(12)","previouslyFormattedCitation":"(12)"},"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(12)</w:t>
      </w:r>
      <w:r w:rsidRPr="00CA4ABC">
        <w:rPr>
          <w:rFonts w:cstheme="minorHAnsi"/>
          <w:color w:val="000000" w:themeColor="text1"/>
        </w:rPr>
        <w:fldChar w:fldCharType="end"/>
      </w:r>
      <w:r w:rsidRPr="00CA4ABC">
        <w:rPr>
          <w:rFonts w:cstheme="minorHAnsi"/>
          <w:color w:val="000000" w:themeColor="text1"/>
        </w:rPr>
        <w:t xml:space="preserve">. </w:t>
      </w:r>
      <w:r w:rsidR="00EF18D6" w:rsidRPr="00CA4ABC">
        <w:rPr>
          <w:rFonts w:cstheme="minorHAnsi"/>
          <w:color w:val="000000" w:themeColor="text1"/>
        </w:rPr>
        <w:t>Work</w:t>
      </w:r>
      <w:r w:rsidRPr="00CA4ABC">
        <w:rPr>
          <w:rFonts w:cstheme="minorHAnsi"/>
          <w:color w:val="000000" w:themeColor="text1"/>
        </w:rPr>
        <w:t xml:space="preserve"> aimed at optimising muscle parameters, particularly function, to reduce fall risk would be efficacious. At a societal level</w:t>
      </w:r>
      <w:r w:rsidR="00032676" w:rsidRPr="00CA4ABC">
        <w:rPr>
          <w:rFonts w:cstheme="minorHAnsi"/>
          <w:color w:val="000000" w:themeColor="text1"/>
        </w:rPr>
        <w:t>,</w:t>
      </w:r>
      <w:r w:rsidRPr="00CA4ABC">
        <w:rPr>
          <w:rFonts w:cstheme="minorHAnsi"/>
          <w:color w:val="000000" w:themeColor="text1"/>
        </w:rPr>
        <w:t xml:space="preserve"> sarcopenia is associated with considerable health and social care burdens, </w:t>
      </w:r>
      <w:r w:rsidR="00EF18D6" w:rsidRPr="00CA4ABC">
        <w:rPr>
          <w:rFonts w:cstheme="minorHAnsi"/>
          <w:color w:val="000000" w:themeColor="text1"/>
        </w:rPr>
        <w:t xml:space="preserve">including cost </w:t>
      </w:r>
      <w:r w:rsidRPr="00CA4ABC">
        <w:rPr>
          <w:rFonts w:cstheme="minorHAnsi"/>
          <w:color w:val="000000" w:themeColor="text1"/>
        </w:rPr>
        <w:t>estimat</w:t>
      </w:r>
      <w:r w:rsidR="00EF18D6" w:rsidRPr="00CA4ABC">
        <w:rPr>
          <w:rFonts w:cstheme="minorHAnsi"/>
          <w:color w:val="000000" w:themeColor="text1"/>
        </w:rPr>
        <w:t>ions</w:t>
      </w:r>
      <w:r w:rsidRPr="00CA4ABC">
        <w:rPr>
          <w:rFonts w:cstheme="minorHAnsi"/>
          <w:color w:val="000000" w:themeColor="text1"/>
        </w:rPr>
        <w:t xml:space="preserve"> of </w:t>
      </w:r>
      <w:r w:rsidR="00EF18D6" w:rsidRPr="00CA4ABC">
        <w:rPr>
          <w:rFonts w:cstheme="minorHAnsi"/>
          <w:color w:val="000000" w:themeColor="text1"/>
        </w:rPr>
        <w:t>~</w:t>
      </w:r>
      <w:r w:rsidRPr="00CA4ABC">
        <w:rPr>
          <w:rFonts w:cstheme="minorHAnsi"/>
          <w:color w:val="000000" w:themeColor="text1"/>
        </w:rPr>
        <w:t xml:space="preserve">£2.5 billion, in the UK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{"citationItems":[{"id":"ITEM-1","itemData":{"DOI":"10.1007/s00223-018-0478-1","ISSN":"14320827","PMID":"30244338","abstract":"Sarcopenia and muscle weakness are responsible for considerable health care expenditure but little is known about these costs in the UK. To address this, we estimated the excess economic burden for individuals with muscle weakness regarding the provision of health and social care among 442 men and women (aged 71–80 years) who participated in the Hertfordshire Cohort Study (UK). Muscle weakness, characterised by low grip strength, was defined according to the Foundation for the National Institutes of Health criteria (men &lt; 26 kg, women &lt; 16 kg). Costs associated with primary care consultations and visits, outpatient and inpatient secondary care, medications, and formal (paid) as well as informal care for each participant were calculated. Mean total costs per person and their corresponding components were compared between groups with and without muscle weakness. Prevalence of muscle weakness in the sample was 11%. Mean total annual costs for participants with muscle weakness were £4592 (CI £2962–£6221), with informal care, inpatient secondary care and primary care accounting for the majority of total costs (38%, 23% and 19%, respectively). For participants without muscle weakness, total annual costs were £1885 (CI £1542–£2228) and their three highest cost categories were informal care (26%), primary care (23%) and formal care (20%). Total excess costs associated with muscle weakness were £2707 per person per year, with informal care costs accounting for 46% of this difference. This results in an estimated annual excess cost in the UK of £2.5 billion.","author":[{"dropping-particle":"","family":"Pinedo-Villanueva","given":"Rafael","non-dropping-particle":"","parse-names":false,"suffix":""},{"dropping-particle":"","family":"Westbury","given":"Leo D.","non-dropping-particle":"","parse-names":false,"suffix":""},{"dropping-particle":"","family":"Syddall","given":"Holly E.","non-dropping-particle":"","parse-names":false,"suffix":""},{"dropping-particle":"","family":"Sanchez-Santos","given":"Maria T.","non-dropping-particle":"","parse-names":false,"suffix":""},{"dropping-particle":"","family":"Dennison","given":"Elaine M.","non-dropping-particle":"","parse-names":false,"suffix":""},{"dropping-particle":"","family":"Robinson","given":"Sian M.","non-dropping-particle":"","parse-names":false,"suffix":""},{"dropping-particle":"","family":"Cooper","given":"Cyrus","non-dropping-particle":"","parse-names":false,"suffix":""}],"container-title":"Calcified Tissue International","id":"ITEM-1","issue":"2","issued":{"date-parts":[["2019","2","15"]]},"page":"137-144","publisher":"Springer New York LLC","title":"Health Care Costs Associated With Muscle Weakness: A UK Population-Based Estimate","type":"article-journal","volume":"104"},"uris":["http://www.mendeley.com/documents/?uuid=cd0abc09-6464-363d-a819-5c41d1dd72b7"]}],"mendeley":{"formattedCitation":"(13)","plainTextFormattedCitation":"(13)","previouslyFormattedCitation":"(13)"},"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(13)</w:t>
      </w:r>
      <w:r w:rsidRPr="00CA4ABC">
        <w:rPr>
          <w:rFonts w:cstheme="minorHAnsi"/>
          <w:color w:val="000000" w:themeColor="text1"/>
        </w:rPr>
        <w:fldChar w:fldCharType="end"/>
      </w:r>
      <w:r w:rsidRPr="00CA4ABC">
        <w:rPr>
          <w:rFonts w:cstheme="minorHAnsi"/>
          <w:color w:val="000000" w:themeColor="text1"/>
        </w:rPr>
        <w:t xml:space="preserve">. </w:t>
      </w:r>
    </w:p>
    <w:p w14:paraId="41684842" w14:textId="4DFF4A80" w:rsidR="004F4AF8" w:rsidRPr="00CA4ABC" w:rsidRDefault="0098239B" w:rsidP="00F42CB9">
      <w:pPr>
        <w:spacing w:line="360" w:lineRule="auto"/>
        <w:rPr>
          <w:rFonts w:cstheme="minorHAnsi"/>
          <w:color w:val="000000" w:themeColor="text1"/>
        </w:rPr>
      </w:pPr>
      <w:r w:rsidRPr="00CA4ABC">
        <w:rPr>
          <w:rFonts w:cstheme="minorHAnsi"/>
          <w:color w:val="000000" w:themeColor="text1"/>
        </w:rPr>
        <w:t>Tackling sarcopenia by i</w:t>
      </w:r>
      <w:r w:rsidR="004F4AF8" w:rsidRPr="00CA4ABC">
        <w:rPr>
          <w:rFonts w:cstheme="minorHAnsi"/>
          <w:color w:val="000000" w:themeColor="text1"/>
        </w:rPr>
        <w:t xml:space="preserve">dentifying risk factors associated with </w:t>
      </w:r>
      <w:r w:rsidRPr="00CA4ABC">
        <w:rPr>
          <w:rFonts w:cstheme="minorHAnsi"/>
          <w:color w:val="000000" w:themeColor="text1"/>
        </w:rPr>
        <w:t>it</w:t>
      </w:r>
      <w:r w:rsidR="004F4AF8" w:rsidRPr="00CA4ABC">
        <w:rPr>
          <w:rFonts w:cstheme="minorHAnsi"/>
          <w:color w:val="000000" w:themeColor="text1"/>
        </w:rPr>
        <w:t xml:space="preserve">s onset and </w:t>
      </w:r>
      <w:r w:rsidRPr="00CA4ABC">
        <w:rPr>
          <w:rFonts w:cstheme="minorHAnsi"/>
          <w:color w:val="000000" w:themeColor="text1"/>
        </w:rPr>
        <w:t>adopting</w:t>
      </w:r>
      <w:r w:rsidR="00EF18D6" w:rsidRPr="00CA4ABC">
        <w:rPr>
          <w:rFonts w:cstheme="minorHAnsi"/>
          <w:color w:val="000000" w:themeColor="text1"/>
        </w:rPr>
        <w:t xml:space="preserve"> preventative</w:t>
      </w:r>
      <w:r w:rsidR="004F4AF8" w:rsidRPr="00CA4ABC">
        <w:rPr>
          <w:rFonts w:cstheme="minorHAnsi"/>
          <w:color w:val="000000" w:themeColor="text1"/>
        </w:rPr>
        <w:t xml:space="preserve"> intervention strategies</w:t>
      </w:r>
      <w:r w:rsidRPr="00CA4ABC">
        <w:rPr>
          <w:rFonts w:cstheme="minorHAnsi"/>
          <w:color w:val="000000" w:themeColor="text1"/>
        </w:rPr>
        <w:t xml:space="preserve"> </w:t>
      </w:r>
      <w:r w:rsidR="004F4AF8" w:rsidRPr="00CA4ABC">
        <w:rPr>
          <w:rFonts w:cstheme="minorHAnsi"/>
          <w:color w:val="000000" w:themeColor="text1"/>
        </w:rPr>
        <w:t>is warranted. Moreover, these interventions should be appropriate and targeted at individuals who require them the most, or will experience the largest benefit from them. It is also essential that the invention is cost-effect</w:t>
      </w:r>
      <w:r w:rsidR="00322BEC" w:rsidRPr="00CA4ABC">
        <w:rPr>
          <w:rFonts w:cstheme="minorHAnsi"/>
          <w:color w:val="000000" w:themeColor="text1"/>
        </w:rPr>
        <w:t>ive</w:t>
      </w:r>
      <w:r w:rsidR="004F4AF8" w:rsidRPr="00CA4ABC">
        <w:rPr>
          <w:rFonts w:cstheme="minorHAnsi"/>
          <w:color w:val="000000" w:themeColor="text1"/>
        </w:rPr>
        <w:t xml:space="preserve"> and its reach is widespread.</w:t>
      </w:r>
    </w:p>
    <w:p w14:paraId="58A8F4F3" w14:textId="77777777" w:rsidR="004F4AF8" w:rsidRPr="00CA4ABC" w:rsidRDefault="004F4AF8" w:rsidP="00F42CB9">
      <w:pPr>
        <w:spacing w:line="360" w:lineRule="auto"/>
        <w:rPr>
          <w:rFonts w:cstheme="minorHAnsi"/>
          <w:color w:val="000000" w:themeColor="text1"/>
        </w:rPr>
      </w:pPr>
      <w:r w:rsidRPr="00CA4ABC">
        <w:rPr>
          <w:rFonts w:cstheme="minorHAnsi"/>
          <w:color w:val="000000" w:themeColor="text1"/>
        </w:rPr>
        <w:t xml:space="preserve">Insights from the literature will be obtained to further understand these elements and consideration of these will be addressed throughout the course of this thesis in order to design a protocol for a trial which focuses on muscle loss prevention. </w:t>
      </w:r>
    </w:p>
    <w:p w14:paraId="567F49A4" w14:textId="641FB5A9" w:rsidR="004F4AF8" w:rsidRPr="00297538" w:rsidRDefault="004F4AF8" w:rsidP="00297538">
      <w:pPr>
        <w:spacing w:line="360" w:lineRule="auto"/>
        <w:rPr>
          <w:rFonts w:cstheme="minorHAnsi"/>
          <w:color w:val="000000" w:themeColor="text1"/>
        </w:rPr>
      </w:pPr>
      <w:bookmarkStart w:id="14" w:name="_Toc122958270"/>
      <w:r w:rsidRPr="00CA4ABC">
        <w:rPr>
          <w:rFonts w:cstheme="minorHAnsi"/>
          <w:b/>
          <w:bCs/>
          <w:color w:val="000000" w:themeColor="text1"/>
        </w:rPr>
        <w:t>1.2. Muscle</w:t>
      </w:r>
      <w:bookmarkEnd w:id="14"/>
    </w:p>
    <w:p w14:paraId="6C38F5DD" w14:textId="765AC703" w:rsidR="004F4AF8" w:rsidRPr="00CA4ABC" w:rsidRDefault="004F4AF8" w:rsidP="00F42CB9">
      <w:pPr>
        <w:pStyle w:val="Heading3"/>
        <w:spacing w:line="360" w:lineRule="auto"/>
        <w:rPr>
          <w:rFonts w:asciiTheme="minorHAnsi" w:hAnsiTheme="minorHAnsi" w:cstheme="minorHAnsi"/>
          <w:color w:val="000000" w:themeColor="text1"/>
        </w:rPr>
      </w:pPr>
      <w:bookmarkStart w:id="15" w:name="_Toc122958271"/>
      <w:bookmarkStart w:id="16" w:name="_Toc135384237"/>
      <w:r w:rsidRPr="00CA4ABC">
        <w:rPr>
          <w:rFonts w:asciiTheme="minorHAnsi" w:hAnsiTheme="minorHAnsi" w:cstheme="minorHAnsi"/>
          <w:color w:val="000000" w:themeColor="text1"/>
        </w:rPr>
        <w:t>1.2.1. Skeletal muscle in health</w:t>
      </w:r>
      <w:bookmarkEnd w:id="15"/>
      <w:bookmarkEnd w:id="16"/>
    </w:p>
    <w:p w14:paraId="603CFE98" w14:textId="22F6933D" w:rsidR="004F4AF8" w:rsidRPr="00CA4ABC" w:rsidRDefault="00CF53C2" w:rsidP="00F42CB9">
      <w:pPr>
        <w:spacing w:line="360" w:lineRule="auto"/>
        <w:rPr>
          <w:rFonts w:cstheme="minorHAnsi"/>
          <w:color w:val="000000" w:themeColor="text1"/>
        </w:rPr>
      </w:pPr>
      <w:r w:rsidRPr="00CA4ABC">
        <w:rPr>
          <w:rFonts w:cstheme="minorHAnsi"/>
          <w:color w:val="000000" w:themeColor="text1"/>
        </w:rPr>
        <w:t>S</w:t>
      </w:r>
      <w:r w:rsidR="004F4AF8" w:rsidRPr="00CA4ABC">
        <w:rPr>
          <w:rFonts w:cstheme="minorHAnsi"/>
          <w:color w:val="000000" w:themeColor="text1"/>
        </w:rPr>
        <w:t xml:space="preserve">keletal muscle </w:t>
      </w:r>
      <w:r w:rsidRPr="00CA4ABC">
        <w:rPr>
          <w:rFonts w:cstheme="minorHAnsi"/>
          <w:color w:val="000000" w:themeColor="text1"/>
        </w:rPr>
        <w:t>pr</w:t>
      </w:r>
      <w:r w:rsidR="00827CEB">
        <w:rPr>
          <w:rFonts w:cstheme="minorHAnsi"/>
          <w:color w:val="000000" w:themeColor="text1"/>
        </w:rPr>
        <w:t>edominantly</w:t>
      </w:r>
      <w:r w:rsidRPr="00CA4ABC">
        <w:rPr>
          <w:rFonts w:cstheme="minorHAnsi"/>
          <w:color w:val="000000" w:themeColor="text1"/>
        </w:rPr>
        <w:t xml:space="preserve"> </w:t>
      </w:r>
      <w:r w:rsidR="004F4AF8" w:rsidRPr="00CA4ABC">
        <w:rPr>
          <w:rFonts w:cstheme="minorHAnsi"/>
          <w:color w:val="000000" w:themeColor="text1"/>
        </w:rPr>
        <w:t xml:space="preserve">has locomotor functions and converts chemical energy into mechanical energy to produce outcomes linked to generating force, power, movement and maintaining posture, through its attachment to bones via tendons </w:t>
      </w:r>
      <w:r w:rsidR="004F4AF8"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{"citationItems":[{"id":"ITEM-1","itemData":{"DOI":"10.1007/S00223-014-9915-Y/FIGURES/5","ISSN":"15733297","PMID":"25294644","abstract":"Skeletal muscle is one of the most dynamic and plastic tissues of the human body. In humans, skeletal muscle comprises approximately 40 % of total body weight and contains 50–75 % of all body proteins. In general, muscle mass depends on the balance between protein synthesis and degradation and both processes are sensitive to factors such as nutritional status, hormonal balance, physical activity/exercise, and injury or disease, among others. In this review, we discuss the various domains of muscle structure and function including its cytoskeletal architecture, excitation-contraction coupling, energy metabolism, and force and power generation. We will limit the discussion to human skeletal muscle and emphasize recent scientific literature on single muscle fibers.","author":[{"dropping-particle":"","family":"Frontera","given":"Walter R.","non-dropping-particle":"","parse-names":false,"suffix":""},{"dropping-particle":"","family":"Ochala","given":"Julien","non-dropping-particle":"","parse-names":false,"suffix":""}],"container-title":"Behavior Genetics","id":"ITEM-1","issue":"2","issued":{"date-parts":[["2015","3","4"]]},"page":"183-195","publisher":"Springer New York LLC","title":"Skeletal Muscle: A Brief Review of Structure and Function","type":"article-journal","volume":"45"},"uris":["http://www.mendeley.com/documents/?uuid=dfa8905c-c229-3d99-a0c5-02a26cc44f41"]}],"mendeley":{"formattedCitation":"(14)","plainTextFormattedCitation":"(14)","previouslyFormattedCitation":"(14)"},"properties":{"noteIndex":0},"schema":"https://github.com/citation-style-language/schema/raw/master/csl-citation.json"}</w:instrText>
      </w:r>
      <w:r w:rsidR="004F4AF8" w:rsidRPr="00CA4ABC">
        <w:rPr>
          <w:rFonts w:cstheme="minorHAnsi"/>
          <w:color w:val="000000" w:themeColor="text1"/>
        </w:rPr>
        <w:fldChar w:fldCharType="separate"/>
      </w:r>
      <w:r w:rsidR="00AD72F0" w:rsidRPr="00CA4ABC">
        <w:rPr>
          <w:rFonts w:cstheme="minorHAnsi"/>
          <w:noProof/>
          <w:color w:val="000000" w:themeColor="text1"/>
        </w:rPr>
        <w:t>(14)</w:t>
      </w:r>
      <w:r w:rsidR="004F4AF8" w:rsidRPr="00CA4ABC">
        <w:rPr>
          <w:rFonts w:cstheme="minorHAnsi"/>
          <w:color w:val="000000" w:themeColor="text1"/>
        </w:rPr>
        <w:fldChar w:fldCharType="end"/>
      </w:r>
      <w:r w:rsidR="004F4AF8" w:rsidRPr="00CA4ABC">
        <w:rPr>
          <w:rFonts w:cstheme="minorHAnsi"/>
          <w:color w:val="000000" w:themeColor="text1"/>
        </w:rPr>
        <w:t xml:space="preserve">. Other functions include </w:t>
      </w:r>
      <w:r w:rsidR="0098239B" w:rsidRPr="00CA4ABC">
        <w:rPr>
          <w:rFonts w:cstheme="minorHAnsi"/>
          <w:color w:val="000000" w:themeColor="text1"/>
        </w:rPr>
        <w:t xml:space="preserve">1) </w:t>
      </w:r>
      <w:r w:rsidR="004F4AF8" w:rsidRPr="00CA4ABC">
        <w:rPr>
          <w:rFonts w:cstheme="minorHAnsi"/>
          <w:color w:val="000000" w:themeColor="text1"/>
        </w:rPr>
        <w:t>metabolic actions, including contributing to basal energy</w:t>
      </w:r>
      <w:r w:rsidRPr="00CA4ABC">
        <w:rPr>
          <w:rFonts w:cstheme="minorHAnsi"/>
          <w:color w:val="000000" w:themeColor="text1"/>
        </w:rPr>
        <w:t xml:space="preserve"> rates</w:t>
      </w:r>
      <w:r w:rsidR="0098239B" w:rsidRPr="00CA4ABC">
        <w:rPr>
          <w:rFonts w:cstheme="minorHAnsi"/>
          <w:color w:val="000000" w:themeColor="text1"/>
        </w:rPr>
        <w:t xml:space="preserve">, 2) </w:t>
      </w:r>
      <w:r w:rsidR="004F4AF8" w:rsidRPr="00CA4ABC">
        <w:rPr>
          <w:rFonts w:cstheme="minorHAnsi"/>
          <w:color w:val="000000" w:themeColor="text1"/>
        </w:rPr>
        <w:t xml:space="preserve">acting as a storage system for amino acids and </w:t>
      </w:r>
      <w:r w:rsidR="0098239B" w:rsidRPr="00CA4ABC">
        <w:rPr>
          <w:rFonts w:cstheme="minorHAnsi"/>
          <w:color w:val="000000" w:themeColor="text1"/>
        </w:rPr>
        <w:t xml:space="preserve">3) </w:t>
      </w:r>
      <w:r w:rsidR="004F4AF8" w:rsidRPr="00CA4ABC">
        <w:rPr>
          <w:rFonts w:cstheme="minorHAnsi"/>
          <w:color w:val="000000" w:themeColor="text1"/>
        </w:rPr>
        <w:t xml:space="preserve">thermal regulation </w:t>
      </w:r>
      <w:r w:rsidR="004F4AF8"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{"citationItems":[{"id":"ITEM-1","itemData":{"DOI":"10.1007/S00223-014-9915-Y/FIGURES/5","ISSN":"15733297","PMID":"25294644","abstract":"Skeletal muscle is one of the most dynamic and plastic tissues of the human body. In humans, skeletal muscle comprises approximately 40 % of total body weight and contains 50–75 % of all body proteins. In general, muscle mass depends on the balance between protein synthesis and degradation and both processes are sensitive to factors such as nutritional status, hormonal balance, physical activity/exercise, and injury or disease, among others. In this review, we discuss the various domains of muscle structure and function including its cytoskeletal architecture, excitation-contraction coupling, energy metabolism, and force and power generation. We will limit the discussion to human skeletal muscle and emphasize recent scientific literature on single muscle fibers.","author":[{"dropping-particle":"","family":"Frontera","given":"Walter R.","non-dropping-particle":"","parse-names":false,"suffix":""},{"dropping-particle":"","family":"Ochala","given":"Julien","non-dropping-particle":"","parse-names":false,"suffix":""}],"container-title":"Behavior Genetics","id":"ITEM-1","issue":"2","issued":{"date-parts":[["2015","3","4"]]},"page":"183-195","publisher":"Springer New York LLC","title":"Skeletal Muscle: A Brief Review of Structure and Function","type":"article-journal","volume":"45"},"uris":["http://www.mendeley.com/documents/?uuid=dfa8905c-c229-3d99-a0c5-02a26cc44f41"]}],"mendeley":{"formattedCitation":"(14)","plainTextFormattedCitation":"(14)","previouslyFormattedCitation":"(14)"},"properties":{"noteIndex":0},"schema":"https://github.com/citation-style-language/schema/raw/master/csl-citation.json"}</w:instrText>
      </w:r>
      <w:r w:rsidR="004F4AF8" w:rsidRPr="00CA4ABC">
        <w:rPr>
          <w:rFonts w:cstheme="minorHAnsi"/>
          <w:color w:val="000000" w:themeColor="text1"/>
        </w:rPr>
        <w:fldChar w:fldCharType="separate"/>
      </w:r>
      <w:r w:rsidR="00AD72F0" w:rsidRPr="00CA4ABC">
        <w:rPr>
          <w:rFonts w:cstheme="minorHAnsi"/>
          <w:noProof/>
          <w:color w:val="000000" w:themeColor="text1"/>
        </w:rPr>
        <w:t>(14)</w:t>
      </w:r>
      <w:r w:rsidR="004F4AF8" w:rsidRPr="00CA4ABC">
        <w:rPr>
          <w:rFonts w:cstheme="minorHAnsi"/>
          <w:color w:val="000000" w:themeColor="text1"/>
        </w:rPr>
        <w:fldChar w:fldCharType="end"/>
      </w:r>
      <w:r w:rsidR="004F4AF8" w:rsidRPr="00CA4ABC">
        <w:rPr>
          <w:rFonts w:cstheme="minorHAnsi"/>
          <w:color w:val="000000" w:themeColor="text1"/>
        </w:rPr>
        <w:t xml:space="preserve">. Muscle is also sensitive to insulin, enabling glucose storage, which can act as a fuel reserve during periods when other sources are diminished </w:t>
      </w:r>
      <w:r w:rsidR="004F4AF8"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{"citationItems":[{"id":"ITEM-1","itemData":{"DOI":"10.1093/AJCN/84.3.475","ISSN":"0002-9165","PMID":"16960159","abstract":"Muscle plays a central role in whole-body protein metabolism by serving as the principal reservoir for amino acids to maintain protein synthesis in vital tissues and organs in the absence of amino acid absorption from the gut and by providing hepatic gluconeogenic precursors. Furthermore, altered muscle metabolism plays a key role in the genesis, and therefore the prevention, of many common pathologic conditions and chronic diseases. Nonetheless, the maintenance of adequate muscle mass, strength, and metabolic function has rarely, if ever, been targeted as a relevant endpoint of recommendations for dietary intake. It is therefore imperative that factors directly related to muscle mass, strength, and metabolic function be included in future studies designed to demonstrate optimal lifestyle behaviors throughout the life span, including physical activity and diet. © 2006 American Society for Nutrition.","author":[{"dropping-particle":"","family":"Wolfe","given":"Robert R.","non-dropping-particle":"","parse-names":false,"suffix":""}],"container-title":"The American journal of clinical nutrition","id":"ITEM-1","issue":"3","issued":{"date-parts":[["2006","9","1"]]},"page":"475-482","publisher":"Am J Clin Nutr","title":"The underappreciated role of muscle in health and disease","type":"article-journal","volume":"84"},"uris":["http://www.mendeley.com/documents/?uuid=c4660ef6-8024-3920-8001-38d53e88c195"]}],"mendeley":{"formattedCitation":"(15)","plainTextFormattedCitation":"(15)","previouslyFormattedCitation":"(15)"},"properties":{"noteIndex":0},"schema":"https://github.com/citation-style-language/schema/raw/master/csl-citation.json"}</w:instrText>
      </w:r>
      <w:r w:rsidR="004F4AF8" w:rsidRPr="00CA4ABC">
        <w:rPr>
          <w:rFonts w:cstheme="minorHAnsi"/>
          <w:color w:val="000000" w:themeColor="text1"/>
        </w:rPr>
        <w:fldChar w:fldCharType="separate"/>
      </w:r>
      <w:r w:rsidR="00AD72F0" w:rsidRPr="00CA4ABC">
        <w:rPr>
          <w:rFonts w:cstheme="minorHAnsi"/>
          <w:noProof/>
          <w:color w:val="000000" w:themeColor="text1"/>
        </w:rPr>
        <w:t>(15)</w:t>
      </w:r>
      <w:r w:rsidR="004F4AF8" w:rsidRPr="00CA4ABC">
        <w:rPr>
          <w:rFonts w:cstheme="minorHAnsi"/>
          <w:color w:val="000000" w:themeColor="text1"/>
        </w:rPr>
        <w:fldChar w:fldCharType="end"/>
      </w:r>
      <w:r w:rsidR="004F4AF8" w:rsidRPr="00CA4ABC">
        <w:rPr>
          <w:rFonts w:cstheme="minorHAnsi"/>
          <w:color w:val="000000" w:themeColor="text1"/>
        </w:rPr>
        <w:t xml:space="preserve">. Moreover, skeletal muscle is also classed as a secretory organ as it excretes cytokines and other peptides which have autocrine, paracrine and endocrine roles </w:t>
      </w:r>
      <w:r w:rsidR="004F4AF8"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{"citationItems":[{"id":"ITEM-1","itemData":{"DOI":"10.1002/CPHY.C120033","ISSN":"20404603","PMID":"23897689","abstract":"Skeletal muscle is the largest organ in the body. Skeletal muscles are primarily characterized by their mechanical activity required for posture, movement, and breathing, which depends on muscle fiber contractions. However, skeletal muscle is not just a component in our locomotor system. Recent evidence has identified skeletal muscle as a secretory organ. We have suggested that cytokines and other peptides that are produced, expressed, and released by muscle fibers and exert either autocrine, paracrine, or endocrine effects should be classified as \"myokines.\" The muscle secretome consists of several hundred secreted peptides. This finding provides a conceptual basis and a whole new paradigm for understanding how muscles communicate with other organs such as adipose tissue, liver, pancreas, bones, and brain. In addition, several myokines exert their effects within the muscle itself. Many proteins produced by skeletal muscle are dependent upon contraction. Therefore, it is likely that myokines may contribute in the mediation of the health benefits of exercise. © 2013 American Physiological Society.","author":[{"dropping-particle":"","family":"Pedersen","given":"Bente K.","non-dropping-particle":"","parse-names":false,"suffix":""}],"container-title":"Comprehensive Physiology","id":"ITEM-1","issue":"3","issued":{"date-parts":[["2013"]]},"page":"1337-1362","publisher":"John Wiley &amp; Sons, Ltd","title":"Muscle as a Secretory Organ","type":"article-journal","volume":"3"},"uris":["http://www.mendeley.com/documents/?uuid=4889f7dc-de0b-3b05-b49d-f0edc503d6d7"]}],"mendeley":{"formattedCitation":"(16)","plainTextFormattedCitation":"(16)","previouslyFormattedCitation":"(16)"},"properties":{"noteIndex":0},"schema":"https://github.com/citation-style-language/schema/raw/master/csl-citation.json"}</w:instrText>
      </w:r>
      <w:r w:rsidR="004F4AF8" w:rsidRPr="00CA4ABC">
        <w:rPr>
          <w:rFonts w:cstheme="minorHAnsi"/>
          <w:color w:val="000000" w:themeColor="text1"/>
        </w:rPr>
        <w:fldChar w:fldCharType="separate"/>
      </w:r>
      <w:r w:rsidR="00AD72F0" w:rsidRPr="00CA4ABC">
        <w:rPr>
          <w:rFonts w:cstheme="minorHAnsi"/>
          <w:noProof/>
          <w:color w:val="000000" w:themeColor="text1"/>
        </w:rPr>
        <w:t>(16)</w:t>
      </w:r>
      <w:r w:rsidR="004F4AF8" w:rsidRPr="00CA4ABC">
        <w:rPr>
          <w:rFonts w:cstheme="minorHAnsi"/>
          <w:color w:val="000000" w:themeColor="text1"/>
        </w:rPr>
        <w:fldChar w:fldCharType="end"/>
      </w:r>
      <w:r w:rsidR="004F4AF8" w:rsidRPr="00CA4ABC">
        <w:rPr>
          <w:rFonts w:cstheme="minorHAnsi"/>
          <w:color w:val="000000" w:themeColor="text1"/>
        </w:rPr>
        <w:t xml:space="preserve">. </w:t>
      </w:r>
      <w:r w:rsidR="00657AB5" w:rsidRPr="00CA4ABC">
        <w:rPr>
          <w:rFonts w:cstheme="minorHAnsi"/>
          <w:color w:val="000000" w:themeColor="text1"/>
        </w:rPr>
        <w:t>Skeletal muscle plays a role in</w:t>
      </w:r>
      <w:r w:rsidR="00F678BF" w:rsidRPr="00CA4ABC">
        <w:rPr>
          <w:rFonts w:cstheme="minorHAnsi"/>
          <w:color w:val="000000" w:themeColor="text1"/>
        </w:rPr>
        <w:t xml:space="preserve"> overall</w:t>
      </w:r>
      <w:r w:rsidR="00657AB5" w:rsidRPr="00CA4ABC">
        <w:rPr>
          <w:rFonts w:cstheme="minorHAnsi"/>
          <w:color w:val="000000" w:themeColor="text1"/>
        </w:rPr>
        <w:t xml:space="preserve"> health</w:t>
      </w:r>
      <w:r w:rsidR="00BE17E8" w:rsidRPr="00CA4ABC">
        <w:rPr>
          <w:rFonts w:cstheme="minorHAnsi"/>
          <w:color w:val="000000" w:themeColor="text1"/>
        </w:rPr>
        <w:t>,</w:t>
      </w:r>
      <w:r w:rsidR="00657AB5" w:rsidRPr="00CA4ABC">
        <w:rPr>
          <w:rFonts w:cstheme="minorHAnsi"/>
          <w:color w:val="000000" w:themeColor="text1"/>
        </w:rPr>
        <w:t xml:space="preserve"> and low levels have been linked to disease states</w:t>
      </w:r>
      <w:r w:rsidR="00F678BF" w:rsidRPr="00CA4ABC">
        <w:rPr>
          <w:rFonts w:cstheme="minorHAnsi"/>
          <w:color w:val="000000" w:themeColor="text1"/>
        </w:rPr>
        <w:t xml:space="preserve"> </w:t>
      </w:r>
      <w:r w:rsidR="00F678BF"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{"citationItems":[{"id":"ITEM-1","itemData":{"DOI":"10.1002/WSBM.1462","ISSN":"1939005X","PMID":"31407867","abstract":"Decades of research in skeletal muscle physiology have provided multiscale insights into the structural and functional complexity of this important anatomical tissue, designed to accomplish the task of generating contraction, force and movement. Skeletal muscle can be viewed as a biomechanical device with various interacting components including the autonomic nerves for impulse transmission, vasculature for efficient oxygenation, and embedded regulatory and metabolic machinery for maintaining cellular homeostasis. The “omics” revolution has propelled a new era in muscle research, allowing us to discern minute details of molecular cross-talk required for effective coordination between the myriad interacting components for efficient muscle function. The objective of this review is to provide a systems-level, comprehensive mapping the molecular mechanisms underlying skeletal muscle structure and function, in health and disease. We begin this review with a focus on molecular mechanisms underlying muscle tissue development (myogenesis), with an emphasis on satellite cells and muscle regeneration. We next review the molecular structure and mechanisms underlying the many structural components of the muscle: neuromuscular junction, sarcomere, cytoskeleton, extracellular matrix, and vasculature surrounding muscle. We highlight aberrant molecular mechanisms and their possible clinical or pathophysiological relevance. We particularly emphasize the impact of environmental stressors (inflammation and oxidative stress) in contributing to muscle pathophysiology including atrophy, hypertrophy, and fibrosis. This article is categorized under: Physiology &gt; Mammalian Physiology in Health and Disease Developmental Biology &gt; Developmental Processes in Health and Disease Models of Systems Properties and Processes &gt; Cellular Models.","author":[{"dropping-particle":"","family":"Mukund","given":"Kavitha","non-dropping-particle":"","parse-names":false,"suffix":""},{"dropping-particle":"","family":"Subramaniam","given":"Shankar","non-dropping-particle":"","parse-names":false,"suffix":""}],"container-title":"Wiley Interdisciplinary Reviews. Systems Biology and Medicine","id":"ITEM-1","issue":"1","issued":{"date-parts":[["2020","1","1"]]},"publisher":"Wiley-Blackwell","title":"Skeletal muscle: A review of molecular structure and function, in health and disease","type":"article-journal","volume":"12"},"uris":["http://www.mendeley.com/documents/?uuid=8a4cfb06-d61a-34cf-85b1-9e0a51ffa00a"]}],"mendeley":{"formattedCitation":"(17)","plainTextFormattedCitation":"(17)","previouslyFormattedCitation":"(17)"},"properties":{"noteIndex":0},"schema":"https://github.com/citation-style-language/schema/raw/master/csl-citation.json"}</w:instrText>
      </w:r>
      <w:r w:rsidR="00F678BF" w:rsidRPr="00CA4ABC">
        <w:rPr>
          <w:rFonts w:cstheme="minorHAnsi"/>
          <w:color w:val="000000" w:themeColor="text1"/>
        </w:rPr>
        <w:fldChar w:fldCharType="separate"/>
      </w:r>
      <w:r w:rsidR="00AD72F0" w:rsidRPr="00CA4ABC">
        <w:rPr>
          <w:rFonts w:cstheme="minorHAnsi"/>
          <w:noProof/>
          <w:color w:val="000000" w:themeColor="text1"/>
        </w:rPr>
        <w:t>(17)</w:t>
      </w:r>
      <w:r w:rsidR="00F678BF" w:rsidRPr="00CA4ABC">
        <w:rPr>
          <w:rFonts w:cstheme="minorHAnsi"/>
          <w:color w:val="000000" w:themeColor="text1"/>
        </w:rPr>
        <w:fldChar w:fldCharType="end"/>
      </w:r>
      <w:r w:rsidR="00827CEB">
        <w:rPr>
          <w:rFonts w:cstheme="minorHAnsi"/>
          <w:color w:val="000000" w:themeColor="text1"/>
        </w:rPr>
        <w:t>.</w:t>
      </w:r>
    </w:p>
    <w:p w14:paraId="1EFFE8DC" w14:textId="77777777" w:rsidR="004F4AF8" w:rsidRPr="00CA4ABC" w:rsidRDefault="004F4AF8" w:rsidP="00F42CB9">
      <w:pPr>
        <w:spacing w:line="360" w:lineRule="auto"/>
        <w:rPr>
          <w:rFonts w:cstheme="minorHAnsi"/>
          <w:lang w:eastAsia="en-GB"/>
        </w:rPr>
      </w:pPr>
    </w:p>
    <w:p w14:paraId="5A94F904" w14:textId="5A5A0545" w:rsidR="004F4AF8" w:rsidRPr="00CA4ABC" w:rsidRDefault="004F4AF8" w:rsidP="00F42CB9">
      <w:pPr>
        <w:pStyle w:val="Heading3"/>
        <w:spacing w:line="360" w:lineRule="auto"/>
        <w:rPr>
          <w:rFonts w:asciiTheme="minorHAnsi" w:hAnsiTheme="minorHAnsi" w:cstheme="minorHAnsi"/>
          <w:color w:val="000000" w:themeColor="text1"/>
        </w:rPr>
      </w:pPr>
      <w:bookmarkStart w:id="17" w:name="_Toc122958272"/>
      <w:bookmarkStart w:id="18" w:name="_Toc135384238"/>
      <w:r w:rsidRPr="00CA4ABC">
        <w:rPr>
          <w:rFonts w:asciiTheme="minorHAnsi" w:hAnsiTheme="minorHAnsi" w:cstheme="minorHAnsi"/>
          <w:color w:val="000000" w:themeColor="text1"/>
        </w:rPr>
        <w:t>1.2.</w:t>
      </w:r>
      <w:r w:rsidR="009C1564" w:rsidRPr="00CA4ABC">
        <w:rPr>
          <w:rFonts w:asciiTheme="minorHAnsi" w:hAnsiTheme="minorHAnsi" w:cstheme="minorHAnsi"/>
          <w:color w:val="000000" w:themeColor="text1"/>
        </w:rPr>
        <w:t>2</w:t>
      </w:r>
      <w:r w:rsidRPr="00CA4ABC">
        <w:rPr>
          <w:rFonts w:asciiTheme="minorHAnsi" w:hAnsiTheme="minorHAnsi" w:cstheme="minorHAnsi"/>
          <w:color w:val="000000" w:themeColor="text1"/>
        </w:rPr>
        <w:t xml:space="preserve"> Muscle metabolism: synthesis and breakdown</w:t>
      </w:r>
      <w:bookmarkEnd w:id="17"/>
      <w:bookmarkEnd w:id="18"/>
    </w:p>
    <w:p w14:paraId="2021F808" w14:textId="6FADA454" w:rsidR="004F4AF8" w:rsidRPr="00CA4ABC" w:rsidRDefault="004F4AF8" w:rsidP="00F42CB9">
      <w:pPr>
        <w:spacing w:line="360" w:lineRule="auto"/>
        <w:rPr>
          <w:rFonts w:cstheme="minorHAnsi"/>
          <w:color w:val="000000" w:themeColor="text1"/>
        </w:rPr>
      </w:pPr>
      <w:r w:rsidRPr="00CA4ABC">
        <w:rPr>
          <w:rFonts w:cstheme="minorHAnsi"/>
          <w:color w:val="000000" w:themeColor="text1"/>
        </w:rPr>
        <w:t>Muscle turnover is the balance between muscle protein synthesis and muscle protein breakdown; this determines the protein content of tissue. Muscle turnover is in a constant state of flux, ebbing between anaboli</w:t>
      </w:r>
      <w:r w:rsidR="0098239B" w:rsidRPr="00CA4ABC">
        <w:rPr>
          <w:rFonts w:cstheme="minorHAnsi"/>
          <w:color w:val="000000" w:themeColor="text1"/>
        </w:rPr>
        <w:t>sm</w:t>
      </w:r>
      <w:r w:rsidRPr="00CA4ABC">
        <w:rPr>
          <w:rFonts w:cstheme="minorHAnsi"/>
          <w:color w:val="000000" w:themeColor="text1"/>
        </w:rPr>
        <w:t xml:space="preserve"> and cataboli</w:t>
      </w:r>
      <w:r w:rsidR="0098239B" w:rsidRPr="00CA4ABC">
        <w:rPr>
          <w:rFonts w:cstheme="minorHAnsi"/>
          <w:color w:val="000000" w:themeColor="text1"/>
        </w:rPr>
        <w:t>sm</w:t>
      </w:r>
      <w:r w:rsidRPr="00CA4ABC">
        <w:rPr>
          <w:rFonts w:cstheme="minorHAnsi"/>
          <w:color w:val="000000" w:themeColor="text1"/>
        </w:rPr>
        <w:t>, in response to environmental factors</w:t>
      </w:r>
      <w:r w:rsidR="00F678BF" w:rsidRPr="00CA4ABC">
        <w:rPr>
          <w:rFonts w:cstheme="minorHAnsi"/>
          <w:color w:val="000000" w:themeColor="text1"/>
        </w:rPr>
        <w:t>, including feeding and fasted states</w:t>
      </w:r>
      <w:r w:rsidRPr="00CA4ABC">
        <w:rPr>
          <w:rFonts w:cstheme="minorHAnsi"/>
          <w:color w:val="000000" w:themeColor="text1"/>
        </w:rPr>
        <w:t xml:space="preserv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{"citationItems":[{"id":"ITEM-1","itemData":{"DOI":"10.1113/JPHYSIOL.2011.225003","ISSN":"00223751","PMID":"22289911","abstract":"Muscle protein synthesis (MPS) is the driving force behind adaptive responses to exercise and represents a widely adopted proxy for gauging chronic efficacy of acute interventions, (i.e. exercise/nutrition). Recent findings in this arena have been progressive. Nutrient-driven increases in MPS are of finite duration (</w:instrText>
      </w:r>
      <w:r w:rsidR="005B258E" w:rsidRPr="00CA4ABC">
        <w:rPr>
          <w:rFonts w:ascii="Cambria Math" w:hAnsi="Cambria Math" w:cs="Cambria Math"/>
          <w:color w:val="000000" w:themeColor="text1"/>
        </w:rPr>
        <w:instrText>∼</w:instrText>
      </w:r>
      <w:r w:rsidR="005B258E" w:rsidRPr="00CA4ABC">
        <w:rPr>
          <w:rFonts w:cstheme="minorHAnsi"/>
          <w:color w:val="000000" w:themeColor="text1"/>
        </w:rPr>
        <w:instrText>1.5 h), switching off thereafter despite sustained amino acid availability and intramuscular anabolic signalling. Intriguingly, this 'muscle-full set-point' is delayed by resistance exercise (RE) (i.e. the feeding × exercise combination is 'more anabolic' than nutrition alone) even ≥24 h beyond a single exercise bout, casting doubt on the importance of nutrient timing vs. sufficiency per se. Studies manipulating exercise intensity/workload have shown that increases in MPS are negligible with RE at 20-40% but maximal at 70-90% of one-repetition maximum when workload is matched (according to load × repetition number). However, low-intensity exercise performed to failure equalises this response. Analysing distinct subcellular fractions (e.g. myofibrillar, sarcoplasmic, mitochondrial) may provide a readout of chronic exercise efficacy in addition to effect size in MPS per se, i.e. while 'mixed' MPS increases similarly with endurance and RE, increases in myofibrillar MPS are specific to RE, prophetic of adaptation (i.e. hypertrophy). Finally, the molecular regulation of MPS by exercise and its regulation via 'anabolic' hormones (e.g. IGF-1) has been questioned, leading to discovery of alternative mechanosensing-signalling to MPS. © 2012 The Authors. The Journal of Physiology © 2012 The Physiological Society.","author":[{"dropping-particle":"","family":"Atherton","given":"P. J.","non-dropping-particle":"","parse-names":false,"suffix":""},{"dropping-particle":"","family":"Smith","given":"K.","non-dropping-particle":"","parse-names":false,"suffix":""}],"container-title":"The Journal of Physiology","id":"ITEM-1","issue":"Pt 5","issued":{"date-parts":[["2012","3","3"]]},"page":"1049","publisher":"Wiley-Blackwell","title":"Muscle protein synthesis in response to nutrition and exercise","type":"article-journal","volume":"590"},"uris":["http://www.mendeley.com/documents/?uuid=f3bc1add-e6bd-35c1-92f2-d094b52c8bcc"]}],"mendeley":{"formattedCitation":"(18)","plainTextFormattedCitation":"(18)","previouslyFormattedCitation":"(18)"},"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(18)</w:t>
      </w:r>
      <w:r w:rsidRPr="00CA4ABC">
        <w:rPr>
          <w:rFonts w:cstheme="minorHAnsi"/>
          <w:color w:val="000000" w:themeColor="text1"/>
        </w:rPr>
        <w:fldChar w:fldCharType="end"/>
      </w:r>
      <w:r w:rsidR="00F678BF" w:rsidRPr="00CA4ABC">
        <w:rPr>
          <w:rFonts w:cstheme="minorHAnsi"/>
          <w:color w:val="000000" w:themeColor="text1"/>
        </w:rPr>
        <w:t xml:space="preserve"> (</w:t>
      </w:r>
      <w:r w:rsidR="00F678BF" w:rsidRPr="00CA4ABC">
        <w:rPr>
          <w:rFonts w:cstheme="minorHAnsi"/>
          <w:color w:val="000000" w:themeColor="text1"/>
        </w:rPr>
        <w:fldChar w:fldCharType="begin"/>
      </w:r>
      <w:r w:rsidR="00F678BF" w:rsidRPr="00CA4ABC">
        <w:rPr>
          <w:rFonts w:cstheme="minorHAnsi"/>
          <w:color w:val="000000" w:themeColor="text1"/>
        </w:rPr>
        <w:instrText xml:space="preserve"> REF _Ref120699905 \h  \* MERGEFORMAT </w:instrText>
      </w:r>
      <w:r w:rsidR="00F678BF" w:rsidRPr="00CA4ABC">
        <w:rPr>
          <w:rFonts w:cstheme="minorHAnsi"/>
          <w:color w:val="000000" w:themeColor="text1"/>
        </w:rPr>
      </w:r>
      <w:r w:rsidR="00F678BF" w:rsidRPr="00CA4ABC">
        <w:rPr>
          <w:rFonts w:cstheme="minorHAnsi"/>
          <w:color w:val="000000" w:themeColor="text1"/>
        </w:rPr>
        <w:fldChar w:fldCharType="separate"/>
      </w:r>
      <w:r w:rsidR="00F678BF" w:rsidRPr="00CA4ABC">
        <w:rPr>
          <w:rFonts w:cstheme="minorHAnsi"/>
          <w:color w:val="000000" w:themeColor="text1"/>
        </w:rPr>
        <w:t xml:space="preserve">Figure </w:t>
      </w:r>
      <w:r w:rsidR="00F678BF" w:rsidRPr="00CA4ABC">
        <w:rPr>
          <w:rFonts w:cstheme="minorHAnsi"/>
          <w:noProof/>
          <w:color w:val="000000" w:themeColor="text1"/>
        </w:rPr>
        <w:t>1</w:t>
      </w:r>
      <w:r w:rsidR="00F678BF" w:rsidRPr="00CA4ABC">
        <w:rPr>
          <w:rFonts w:cstheme="minorHAnsi"/>
          <w:color w:val="000000" w:themeColor="text1"/>
        </w:rPr>
        <w:fldChar w:fldCharType="end"/>
      </w:r>
      <w:r w:rsidRPr="00CA4ABC">
        <w:rPr>
          <w:rFonts w:cstheme="minorHAnsi"/>
          <w:color w:val="000000" w:themeColor="text1"/>
        </w:rPr>
        <w:t>.</w:t>
      </w:r>
      <w:r w:rsidR="00F678BF" w:rsidRPr="00CA4ABC">
        <w:rPr>
          <w:rFonts w:cstheme="minorHAnsi"/>
          <w:color w:val="000000" w:themeColor="text1"/>
        </w:rPr>
        <w:t>)</w:t>
      </w:r>
      <w:r w:rsidRPr="00CA4ABC">
        <w:rPr>
          <w:rFonts w:cstheme="minorHAnsi"/>
          <w:color w:val="000000" w:themeColor="text1"/>
        </w:rPr>
        <w:t xml:space="preserve"> </w:t>
      </w:r>
    </w:p>
    <w:p w14:paraId="5234FBC2" w14:textId="22B4BDDF" w:rsidR="004F4AF8" w:rsidRPr="00CA4ABC" w:rsidRDefault="004F4AF8" w:rsidP="00F42CB9">
      <w:pPr>
        <w:spacing w:line="360" w:lineRule="auto"/>
        <w:rPr>
          <w:rFonts w:cstheme="minorHAnsi"/>
          <w:color w:val="000000" w:themeColor="text1"/>
        </w:rPr>
      </w:pPr>
    </w:p>
    <w:p w14:paraId="2749CC6B" w14:textId="4BA41EC0" w:rsidR="004F4AF8" w:rsidRPr="00F56683" w:rsidRDefault="00297538" w:rsidP="00297538">
      <w:pPr>
        <w:spacing w:line="360" w:lineRule="auto"/>
        <w:rPr>
          <w:rFonts w:cstheme="minorHAnsi"/>
          <w:color w:val="000000" w:themeColor="text1"/>
        </w:rPr>
      </w:pPr>
      <w:bookmarkStart w:id="19" w:name="_Toc127978461"/>
      <w:r w:rsidRPr="00CA4ABC">
        <w:rPr>
          <w:rFonts w:cstheme="minorHAnsi"/>
          <w:noProof/>
          <w:color w:val="000000" w:themeColor="text1"/>
        </w:rPr>
        <w:drawing>
          <wp:anchor distT="0" distB="0" distL="114300" distR="114300" simplePos="0" relativeHeight="251701248" behindDoc="0" locked="0" layoutInCell="1" allowOverlap="1" wp14:anchorId="4F22378F" wp14:editId="1F79B1E4">
            <wp:simplePos x="0" y="0"/>
            <wp:positionH relativeFrom="column">
              <wp:posOffset>-123825</wp:posOffset>
            </wp:positionH>
            <wp:positionV relativeFrom="paragraph">
              <wp:posOffset>59</wp:posOffset>
            </wp:positionV>
            <wp:extent cx="6115050" cy="2686050"/>
            <wp:effectExtent l="0" t="0" r="6350" b="6350"/>
            <wp:wrapSquare wrapText="bothSides"/>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15050" cy="2686050"/>
                    </a:xfrm>
                    <a:prstGeom prst="rect">
                      <a:avLst/>
                    </a:prstGeom>
                  </pic:spPr>
                </pic:pic>
              </a:graphicData>
            </a:graphic>
            <wp14:sizeRelH relativeFrom="page">
              <wp14:pctWidth>0</wp14:pctWidth>
            </wp14:sizeRelH>
            <wp14:sizeRelV relativeFrom="page">
              <wp14:pctHeight>0</wp14:pctHeight>
            </wp14:sizeRelV>
          </wp:anchor>
        </w:drawing>
      </w:r>
      <w:bookmarkStart w:id="20" w:name="_Ref120699905"/>
      <w:bookmarkStart w:id="21" w:name="_Toc127044179"/>
      <w:r w:rsidR="004F4AF8" w:rsidRPr="00F56683">
        <w:rPr>
          <w:rFonts w:cstheme="minorHAnsi"/>
          <w:color w:val="000000" w:themeColor="text1"/>
        </w:rPr>
        <w:t xml:space="preserve">Figure </w:t>
      </w:r>
      <w:r w:rsidR="004F4AF8" w:rsidRPr="00F56683">
        <w:rPr>
          <w:rFonts w:cstheme="minorHAnsi"/>
          <w:color w:val="000000" w:themeColor="text1"/>
        </w:rPr>
        <w:fldChar w:fldCharType="begin"/>
      </w:r>
      <w:r w:rsidR="004F4AF8" w:rsidRPr="00F56683">
        <w:rPr>
          <w:rFonts w:cstheme="minorHAnsi"/>
          <w:color w:val="000000" w:themeColor="text1"/>
        </w:rPr>
        <w:instrText xml:space="preserve"> SEQ Figure \* ARABIC </w:instrText>
      </w:r>
      <w:r w:rsidR="004F4AF8" w:rsidRPr="00F56683">
        <w:rPr>
          <w:rFonts w:cstheme="minorHAnsi"/>
          <w:color w:val="000000" w:themeColor="text1"/>
        </w:rPr>
        <w:fldChar w:fldCharType="separate"/>
      </w:r>
      <w:r w:rsidR="002B439C">
        <w:rPr>
          <w:rFonts w:cstheme="minorHAnsi"/>
          <w:noProof/>
          <w:color w:val="000000" w:themeColor="text1"/>
        </w:rPr>
        <w:t>1</w:t>
      </w:r>
      <w:r w:rsidR="004F4AF8" w:rsidRPr="00F56683">
        <w:rPr>
          <w:rFonts w:cstheme="minorHAnsi"/>
          <w:color w:val="000000" w:themeColor="text1"/>
        </w:rPr>
        <w:fldChar w:fldCharType="end"/>
      </w:r>
      <w:bookmarkEnd w:id="20"/>
      <w:r w:rsidR="00797B66" w:rsidRPr="00F56683">
        <w:rPr>
          <w:rFonts w:cstheme="minorHAnsi"/>
          <w:color w:val="000000" w:themeColor="text1"/>
        </w:rPr>
        <w:t>.</w:t>
      </w:r>
      <w:r w:rsidR="004F4AF8" w:rsidRPr="00F56683">
        <w:rPr>
          <w:rFonts w:cstheme="minorHAnsi"/>
          <w:color w:val="000000" w:themeColor="text1"/>
        </w:rPr>
        <w:t xml:space="preserve"> A schematic view of changes in muscle protein synthesis (MPS) and muscle protein breakdown (MPB) and how a meal (i.e. amino acid provision) can influence this relationship. Diagram extracted and reproduced from (Burd et al., 200</w:t>
      </w:r>
      <w:r w:rsidR="001A58DC" w:rsidRPr="00F56683">
        <w:rPr>
          <w:rFonts w:cstheme="minorHAnsi"/>
          <w:color w:val="000000" w:themeColor="text1"/>
        </w:rPr>
        <w:t>9</w:t>
      </w:r>
      <w:r w:rsidR="00C44903" w:rsidRPr="00F56683">
        <w:rPr>
          <w:rFonts w:cstheme="minorHAnsi"/>
          <w:color w:val="000000" w:themeColor="text1"/>
        </w:rPr>
        <w:t>, with permission</w:t>
      </w:r>
      <w:r w:rsidR="00F6276A" w:rsidRPr="00F56683">
        <w:rPr>
          <w:rFonts w:cstheme="minorHAnsi"/>
          <w:color w:val="000000" w:themeColor="text1"/>
        </w:rPr>
        <w:t xml:space="preserve"> </w:t>
      </w:r>
      <w:r w:rsidR="001A58DC" w:rsidRPr="00F56683">
        <w:rPr>
          <w:rFonts w:cstheme="minorHAnsi"/>
          <w:color w:val="000000" w:themeColor="text1"/>
        </w:rPr>
        <w:fldChar w:fldCharType="begin" w:fldLock="1"/>
      </w:r>
      <w:r w:rsidR="005B258E" w:rsidRPr="00F56683">
        <w:rPr>
          <w:rFonts w:cstheme="minorHAnsi"/>
          <w:color w:val="000000" w:themeColor="text1"/>
        </w:rPr>
        <w:instrText>ADDIN CSL_CITATION {"citationItems":[{"id":"ITEM-1","itemData":{"DOI":"10.1152/JAPPLPHYSIOL.91351.2008","ISSN":"8750-7587","PMID":"19036897","abstract":"Muscle contraction during exercise, whether resistive or endurance in nature, has profound affects on muscle protein turnover that can persist for up to 72 h. It is well established that feeding during the postexercise period is required to bring about a positive net protein balance (muscle protein synthesis - muscle protein breakdown). There is mounting evidence that the timing of ingestion and the protein source during recovery independently regulate the protein synthetic response and influence the extent of muscle hypertrophy. Minor differences in muscle protein turnover appear to exist in young men and women; however, with aging there may be more substantial sex-based differences in response to both feeding and resistance exercise. The recognition of anabolic signaling pathways and molecules are also enhancing our understanding of the regulation of protein turnover following exercise perturbations. In this review we summarize the current understanding of muscle protein turnover in response to exercise and feeding and highlight potential sex-based dimorphisms. Furthermore, we examine the underlying anabolic signaling pathways and molecules that regulate these processes. Copyright © 2009 the American Physiological Society.","author":[{"dropping-particle":"","family":"Burd","given":"Nicholas A.","non-dropping-particle":"","parse-names":false,"suffix":""},{"dropping-particle":"","family":"Tang","given":"Jason E.","non-dropping-particle":"","parse-names":false,"suffix":""},{"dropping-particle":"","family":"Moore","given":"Daniel R.","non-dropping-particle":"","parse-names":false,"suffix":""},{"dropping-particle":"","family":"Phillips","given":"Stuart M.","non-dropping-particle":"","parse-names":false,"suffix":""}],"container-title":"Journal of applied physiology (Bethesda, Md. : 1985)","id":"ITEM-1","issue":"5","issued":{"date-parts":[["2009","5"]]},"page":"1692-1701","publisher":"J Appl Physiol (1985)","title":"Exercise training and protein metabolism: influences of contraction, protein intake, and sex-based differences","type":"article-journal","volume":"106"},"uris":["http://www.mendeley.com/documents/?uuid=af027781-212c-3fd0-a722-3ef679c7317e"]}],"mendeley":{"formattedCitation":"(19)","plainTextFormattedCitation":"(19)","previouslyFormattedCitation":"(19)"},"properties":{"noteIndex":0},"schema":"https://github.com/citation-style-language/schema/raw/master/csl-citation.json"}</w:instrText>
      </w:r>
      <w:r w:rsidR="001A58DC" w:rsidRPr="00F56683">
        <w:rPr>
          <w:rFonts w:cstheme="minorHAnsi"/>
          <w:color w:val="000000" w:themeColor="text1"/>
        </w:rPr>
        <w:fldChar w:fldCharType="separate"/>
      </w:r>
      <w:r w:rsidR="00AD72F0" w:rsidRPr="00F56683">
        <w:rPr>
          <w:rFonts w:cstheme="minorHAnsi"/>
          <w:noProof/>
          <w:color w:val="000000" w:themeColor="text1"/>
        </w:rPr>
        <w:t>(19)</w:t>
      </w:r>
      <w:r w:rsidR="001A58DC" w:rsidRPr="00F56683">
        <w:rPr>
          <w:rFonts w:cstheme="minorHAnsi"/>
          <w:color w:val="000000" w:themeColor="text1"/>
        </w:rPr>
        <w:fldChar w:fldCharType="end"/>
      </w:r>
      <w:r w:rsidR="004F4AF8" w:rsidRPr="00F56683">
        <w:rPr>
          <w:rFonts w:cstheme="minorHAnsi"/>
          <w:color w:val="000000" w:themeColor="text1"/>
        </w:rPr>
        <w:t>).</w:t>
      </w:r>
      <w:bookmarkEnd w:id="19"/>
      <w:bookmarkEnd w:id="21"/>
      <w:r w:rsidR="004F4AF8" w:rsidRPr="00F56683">
        <w:rPr>
          <w:rFonts w:cstheme="minorHAnsi"/>
          <w:color w:val="000000" w:themeColor="text1"/>
        </w:rPr>
        <w:t xml:space="preserve"> </w:t>
      </w:r>
    </w:p>
    <w:p w14:paraId="56D65511" w14:textId="77777777" w:rsidR="00797B66" w:rsidRPr="00CA4ABC" w:rsidRDefault="00797B66" w:rsidP="00F42CB9">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MPS involves the translation of a strand of messenger ribonucleic acid (mRNA) to a protein, by ribosomes, within a muscle cell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{"citationItems":[{"id":"ITEM-1","itemData":{"DOI":"10.1101/CSHPERSPECT.A012252","ISSN":"19430264","PMID":"22888049","abstract":"mRNA translation is the most energy consuming process in the cell. In addition, it plays a pivotal role in the control of gene expression and is therefore tightly regulated. In response to various extracellular stimuli and intracellular cues, signaling pathways induce quantitative and qualitative changes in mRNA translation by modulating the phosphorylation status and thus the activity of components of the translational machinery. In this work we focus on the phosphoinositide 3-kinase (PI3K)/AKT and the mitogen-activated protein kinase (MAPK) pathways, as they are strongly implicated in the regulation of translation in homeostasis, whereas their malfunction has been linked to aberrant translation in human diseases, including cancer. © 2012 Cold Spring Harbor Laboratory Press; all rights reserved.","author":[{"dropping-particle":"","family":"Roux","given":"Philippe P.","non-dropping-particle":"","parse-names":false,"suffix":""},{"dropping-particle":"","family":"Topisirovic","given":"Ivan","non-dropping-particle":"","parse-names":false,"suffix":""}],"container-title":"Cold Spring Harbor Perspectives in Biology","id":"ITEM-1","issue":"11","issued":{"date-parts":[["2012","11"]]},"publisher":"Cold Spring Harbor Laboratory Press","title":"Regulation of mRNA Translation by Signaling Pathways","type":"article-journal","volume":"4"},"uris":["http://www.mendeley.com/documents/?uuid=15f9af0a-c304-3426-ac18-e6ad6d7d7707"]}],"mendeley":{"formattedCitation":"(20)","plainTextFormattedCitation":"(20)","previouslyFormattedCitation":"(20)"},"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(20)</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The mechanistic target of rapamycin (mTOR) signalling pathway is thought to be the major contributor to regulating protein synthesis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{"citationItems":[{"id":"ITEM-1","itemData":{"DOI":"10.3389/FPHYS.2017.00788/XML/NLM","ISSN":"1664042X","abstract":"Maintenance of skeletal muscle mass is regulated by the balance between anabolic and catabolic processes. Mammalian target of rapamycin (mTOR) is an evolutionarily conserved serine/threonine kinase, and is known to play vital roles in protein synthesis. Recent findings have continued to refine our understanding of the function of mTOR in maintaining skeletal muscle mass. mTOR controls the anabolic and catabolic signaling of skeletal muscle mass, resulting in the modulation of muscle hypertrophy and muscle wastage. This review will highlight the fundamental role of mTOR in skeletal muscle growth by summarizing the phenotype of skeletal-specific mTOR deficiency. In addition, the evidence that mTOR is a dual regulator of anabolism and catabolism in skeletal muscle mass will be discussed. A full understanding of mTOR signaling in the maintenance of skeletal muscle mass could help to develop mTOR-targeted therapeutics to prevent muscle wasting.","author":[{"dropping-particle":"","family":"Yoon","given":"Mee Sup","non-dropping-particle":"","parse-names":false,"suffix":""}],"container-title":"Frontiers in Physiology","id":"ITEM-1","issue":"OCT","issued":{"date-parts":[["2017","10","17"]]},"page":"788","publisher":"Frontiers Media S.A.","title":"mTOR as a key regulator in maintaining skeletal muscle mass","type":"article-journal","volume":"8"},"uris":["http://www.mendeley.com/documents/?uuid=1c59a50c-c2bf-3f9e-b232-75323bb5e511"]},{"id":"ITEM-2","itemData":{"DOI":"10.1016/J.CELL.2017.02.004","ISSN":"10974172","PMID":"28283069","abstract":"The mechanistic target of rapamycin (mTOR) coordinates eukaryotic cell growth and metabolism with environmental inputs, including nutrients and growth factors. Extensive research over the past two decades has established a central role for mTOR in regulating many fundamental cell processes, from protein synthesis to autophagy, and deregulated mTOR signaling is implicated in the progression of cancer and diabetes, as well as the aging process. Here, we review recent advances in our understanding of mTOR function, regulation, and importance in mammalian physiology. We also highlight how the mTOR signaling network contributes to human disease and discuss the current and future prospects for therapeutically targeting mTOR in the clinic.","author":[{"dropping-particle":"","family":"Saxton","given":"Robert A.","non-dropping-particle":"","parse-names":false,"suffix":""},{"dropping-particle":"","family":"Sabatini","given":"David M.","non-dropping-particle":"","parse-names":false,"suffix":""}],"container-title":"Cell","id":"ITEM-2","issue":"6","issued":{"date-parts":[["2017","3","3"]]},"page":"960","publisher":"NIH Public Access","title":"mTOR Signaling in Growth, Metabolism, and Disease","type":"article-journal","volume":"168"},"uris":["http://www.mendeley.com/documents/?uuid=b4fcde58-9481-3b5b-b50b-885da314ff85"]}],"mendeley":{"formattedCitation":"(21,22)","plainTextFormattedCitation":"(21,22)","previouslyFormattedCitation":"(21,22)"},"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(21,22)</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mTOR is a kinase which is composed of two multi-protein complexes (TORC1 and TORC2)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{"citationItems":[{"id":"ITEM-1","itemData":{"DOI":"10.1016/J.CELL.2017.02.004","ISSN":"10974172","PMID":"28283069","abstract":"The mechanistic target of rapamycin (mTOR) coordinates eukaryotic cell growth and metabolism with environmental inputs, including nutrients and growth factors. Extensive research over the past two decades has established a central role for mTOR in regulating many fundamental cell processes, from protein synthesis to autophagy, and deregulated mTOR signaling is implicated in the progression of cancer and diabetes, as well as the aging process. Here, we review recent advances in our understanding of mTOR function, regulation, and importance in mammalian physiology. We also highlight how the mTOR signaling network contributes to human disease and discuss the current and future prospects for therapeutically targeting mTOR in the clinic.","author":[{"dropping-particle":"","family":"Saxton","given":"Robert A.","non-dropping-particle":"","parse-names":false,"suffix":""},{"dropping-particle":"","family":"Sabatini","given":"David M.","non-dropping-particle":"","parse-names":false,"suffix":""}],"container-title":"Cell","id":"ITEM-1","issue":"6","issued":{"date-parts":[["2017","3","3"]]},"page":"960","publisher":"NIH Public Access","title":"mTOR Signaling in Growth, Metabolism, and Disease","type":"article-journal","volume":"168"},"uris":["http://www.mendeley.com/documents/?uuid=b4fcde58-9481-3b5b-b50b-885da314ff85"]}],"mendeley":{"formattedCitation":"(22)","plainTextFormattedCitation":"(22)","previouslyFormattedCitation":"(22)"},"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(22)</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Factors such as the availability of amino acids, mechanical loads/stimuli and growth factors can activate mTOR and switch on processes to promote MPS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{"citationItems":[{"id":"ITEM-1","itemData":{"DOI":"10.3390/nu4070740","ISSN":"2072-6643","PMID":"22852061","abstract":"A series of complex intracellular networks influence the regulation of skeletal muscle protein turnover. In recent years, studies have examined how cellular regulators of muscle protein turnover modulate metabolic mechanisms contributing to the loss, gain, or conservation of skeletal muscle mass. Exercise and amino acids both stimulate anabolic signaling potentially through several intracellular pathways including the mammalian target of rapamycin complex 1 and the mitogen activated protein kinase cell signaling cascades. As novel molecular regulators of muscle integrity continue to be explored, a contemporary analysis of the literature is required to understand the metabolic mechanisms by which contractile forces and amino acids affect cellular process that contribute to long-term adaptations and preservation of muscle mass. This article reviews the literature related to how exercise and amino acid availability affect cellular regulators of skeletal muscle mass, especially highlighting recent investigations that have identified mechanisms by which contractile forces and amino acids modulate muscle health. Furthermore, this review will explore integrated exercise and nutrition strategies that promote the maintenance of muscle health by optimizing exercise, and amino acid-induced cell signaling in aging adults susceptible to muscle loss.","author":[{"dropping-particle":"","family":"Pasiakos","given":"Stefan M","non-dropping-particle":"","parse-names":false,"suffix":""}],"container-title":"Nutrients","id":"ITEM-1","issue":"7","issued":{"date-parts":[["2012"]]},"page":"740-58","publisher":"Multidisciplinary Digital Publishing Institute  (MDPI)","title":"Exercise and amino acid anabolic cell signaling and the regulation of skeletal muscle mass.","type":"article-journal","volume":"4"},"uris":["http://www.mendeley.com/documents/?uuid=54082caf-9c9a-3753-8ecc-d1402dc48032"]},{"id":"ITEM-2","itemData":{"DOI":"10.1186/S12970-016-0118-Y","ISSN":"15502783","PMID":"26937223","abstract":"The mechanistic/mammalian target of rapamycin complex 1 (mTORC1) plays a pivotal role in the regulation of skeletal muscle protein synthesis. Activation of the complex leads to phosphorylation of two important sets of substrates, namely eIF4E binding proteins and ribosomal S6 kinases. Phosphorylation of these substrates then leads to an increase in protein synthesis, mainly by enhancing translation initiation. mTORC1 activity is regulated by several inputs, such as growth factors, energy status, amino acids and mechanical stimuli. Research in this field is rapidly evolving and unraveling how these inputs regulate the complex. Therefore this review attempts to provide a brief and up-to-date narrative on the regulation of this marvelous protein complex. Additionally, some sports supplements which have been shown to regulate mTORC1 activity are discussed.","author":[{"dropping-particle":"","family":"Bond","given":"Peter","non-dropping-particle":"","parse-names":false,"suffix":""}],"container-title":"Journal of the International Society of Sports Nutrition","id":"ITEM-2","issue":"1","issued":{"date-parts":[["2016","3","1"]]},"page":"8","publisher":"Taylor &amp; Francis","title":"Regulation of mTORC1 by growth factors, energy status, amino acids and mechanical stimuli at a glance","type":"article-journal","volume":"13"},"uris":["http://www.mendeley.com/documents/?uuid=c44755aa-0b47-36da-a26f-270025e73ea2"]}],"mendeley":{"formattedCitation":"(23,24)","plainTextFormattedCitation":"(23,24)","previouslyFormattedCitation":"(23,24)"},"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(23,24)</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Downstream of mTOR are two further protein kinase families. </w:t>
      </w:r>
      <w:r w:rsidRPr="00CA4ABC">
        <w:rPr>
          <w:rFonts w:asciiTheme="minorHAnsi" w:hAnsiTheme="minorHAnsi" w:cstheme="minorHAnsi"/>
          <w:color w:val="000000" w:themeColor="text1"/>
          <w:shd w:val="clear" w:color="auto" w:fill="FFFFFF"/>
        </w:rPr>
        <w:t>Ribosomal </w:t>
      </w:r>
      <w:r w:rsidRPr="00CA4ABC">
        <w:rPr>
          <w:rStyle w:val="Emphasis"/>
          <w:rFonts w:asciiTheme="minorHAnsi" w:hAnsiTheme="minorHAnsi" w:cstheme="minorHAnsi"/>
          <w:color w:val="000000" w:themeColor="text1"/>
          <w:shd w:val="clear" w:color="auto" w:fill="FFFFFF"/>
        </w:rPr>
        <w:t>protein</w:t>
      </w:r>
      <w:r w:rsidRPr="00CA4ABC">
        <w:rPr>
          <w:rFonts w:asciiTheme="minorHAnsi" w:hAnsiTheme="minorHAnsi" w:cstheme="minorHAnsi"/>
          <w:color w:val="000000" w:themeColor="text1"/>
          <w:shd w:val="clear" w:color="auto" w:fill="FFFFFF"/>
        </w:rPr>
        <w:t> S6 kinase beta-1</w:t>
      </w:r>
      <w:r w:rsidRPr="00CA4ABC">
        <w:rPr>
          <w:rFonts w:asciiTheme="minorHAnsi" w:hAnsiTheme="minorHAnsi" w:cstheme="minorHAnsi"/>
          <w:color w:val="000000" w:themeColor="text1"/>
        </w:rPr>
        <w:t xml:space="preserve"> (S6K1) is activated to stimulate protein synthesis via the phosphorylation of further downstream proteins, namely EIF4B, RPS6 and EEF2. Additionally, mTOR can phosphorylate </w:t>
      </w:r>
      <w:r w:rsidRPr="00CA4ABC">
        <w:rPr>
          <w:rFonts w:asciiTheme="minorHAnsi" w:hAnsiTheme="minorHAnsi" w:cstheme="minorHAnsi"/>
          <w:color w:val="000000" w:themeColor="text1"/>
          <w:shd w:val="clear" w:color="auto" w:fill="FFFFFF"/>
        </w:rPr>
        <w:t>Eukaryotic translation initiation factor 4E (eIF4E)-binding protein 1 </w:t>
      </w:r>
      <w:r w:rsidRPr="00CA4ABC">
        <w:rPr>
          <w:rFonts w:asciiTheme="minorHAnsi" w:hAnsiTheme="minorHAnsi" w:cstheme="minorHAnsi"/>
          <w:color w:val="000000" w:themeColor="text1"/>
        </w:rPr>
        <w:t xml:space="preserve">(4EBP-1), this is a repressor protein that prevents translation from proceeding. Following phosphorylation, 4EBP-1 is released from eIF4E, and MPS is enhanced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{"citationItems":[{"id":"ITEM-1","itemData":{"DOI":"10.1152/japplphysiol.91355.2008","ISSN":"87507587","abstract":"Growth and maintenance of skeletal muscle mass is critical for long-term health and quality of life. Skeletal muscle is a highly adaptable tissue with well-known sensitivities to environmental cues such as growth factors, cytokines, nutrients, and mechanical loading. All of these factors act at the level of the cell and signal through pathways that lead to changes in phenotype through multiple mechanisms. In this review, we discuss the animal and cell culture models used and the signaling mechanisms identified in understanding regulation of protein synthesis in response to mechanical loading/resistance exercise. Particular emphasis has been placed on 1) alterations in mechanical loading and regulation of protein synthesis in both in vivo animal studies and in vitro cell culture studies and 2) upstream mediators regulating mammalian target of rapamycin signaling and protein synthesis during skeletal muscle hypertrophy. Copyright © 2009 the American Physiological Society.","author":[{"dropping-particle":"","family":"Miyazaki","given":"Mitsunori","non-dropping-particle":"","parse-names":false,"suffix":""},{"dropping-particle":"","family":"Esser","given":"Karyn A.","non-dropping-particle":"","parse-names":false,"suffix":""}],"container-title":"Journal of Applied Physiology","id":"ITEM-1","issue":"4","issued":{"date-parts":[["2009","4"]]},"page":"1367-1373","title":"Cellular mechanisms regulating protein synthesis and skeletal muscle hypertrophy in animals","type":"article","volume":"106"},"uris":["http://www.mendeley.com/documents/?uuid=9b636181-1a3c-3efb-b8a0-7e36431dd6ff"]}],"mendeley":{"formattedCitation":"(25)","plainTextFormattedCitation":"(25)","previouslyFormattedCitation":"(25)"},"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(25)</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w:t>
      </w:r>
      <w:r w:rsidRPr="00CA4ABC">
        <w:rPr>
          <w:rFonts w:asciiTheme="minorHAnsi" w:hAnsiTheme="minorHAnsi" w:cstheme="minorHAnsi"/>
          <w:color w:val="000000" w:themeColor="text1"/>
        </w:rPr>
        <w:fldChar w:fldCharType="begin"/>
      </w:r>
      <w:r w:rsidRPr="00CA4ABC">
        <w:rPr>
          <w:rFonts w:asciiTheme="minorHAnsi" w:hAnsiTheme="minorHAnsi" w:cstheme="minorHAnsi"/>
          <w:color w:val="000000" w:themeColor="text1"/>
        </w:rPr>
        <w:instrText xml:space="preserve"> REF _Ref120700647 \h  \* MERGEFORMAT </w:instrText>
      </w:r>
      <w:r w:rsidRPr="00CA4ABC">
        <w:rPr>
          <w:rFonts w:asciiTheme="minorHAnsi" w:hAnsiTheme="minorHAnsi" w:cstheme="minorHAnsi"/>
          <w:color w:val="000000" w:themeColor="text1"/>
        </w:rPr>
      </w:r>
      <w:r w:rsidRPr="00CA4ABC">
        <w:rPr>
          <w:rFonts w:asciiTheme="minorHAnsi" w:hAnsiTheme="minorHAnsi" w:cstheme="minorHAnsi"/>
          <w:color w:val="000000" w:themeColor="text1"/>
        </w:rPr>
        <w:fldChar w:fldCharType="separate"/>
      </w:r>
      <w:r w:rsidRPr="00CA4ABC">
        <w:rPr>
          <w:rFonts w:asciiTheme="minorHAnsi" w:hAnsiTheme="minorHAnsi" w:cstheme="minorHAnsi"/>
          <w:color w:val="000000" w:themeColor="text1"/>
        </w:rPr>
        <w:t xml:space="preserve">Figure </w:t>
      </w:r>
      <w:r w:rsidRPr="00CA4ABC">
        <w:rPr>
          <w:rFonts w:asciiTheme="minorHAnsi" w:hAnsiTheme="minorHAnsi" w:cstheme="minorHAnsi"/>
          <w:noProof/>
          <w:color w:val="000000" w:themeColor="text1"/>
        </w:rPr>
        <w:t>2</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shows the mTOR pathway and factors which feed into MPS.</w:t>
      </w:r>
    </w:p>
    <w:p w14:paraId="778A5001" w14:textId="77777777" w:rsidR="00797B66" w:rsidRPr="00CA4ABC" w:rsidRDefault="00797B66" w:rsidP="00F42CB9">
      <w:pPr>
        <w:spacing w:line="360" w:lineRule="auto"/>
        <w:rPr>
          <w:rFonts w:cstheme="minorHAnsi"/>
          <w:color w:val="000000" w:themeColor="text1"/>
        </w:rPr>
      </w:pPr>
      <w:r w:rsidRPr="00CA4ABC">
        <w:rPr>
          <w:rFonts w:cstheme="minorHAnsi"/>
          <w:color w:val="000000" w:themeColor="text1"/>
        </w:rPr>
        <w:lastRenderedPageBreak/>
        <w:fldChar w:fldCharType="begin"/>
      </w:r>
      <w:r w:rsidRPr="00CA4ABC">
        <w:rPr>
          <w:rFonts w:cstheme="minorHAnsi"/>
          <w:color w:val="000000" w:themeColor="text1"/>
        </w:rPr>
        <w:instrText xml:space="preserve"> INCLUDEPICTURE "https://efdeportes.com/efd131/leucine-stimulates-mtor-01.jpg" \* MERGEFORMATINET </w:instrText>
      </w:r>
      <w:r w:rsidRPr="00CA4ABC">
        <w:rPr>
          <w:rFonts w:cstheme="minorHAnsi"/>
          <w:color w:val="000000" w:themeColor="text1"/>
        </w:rPr>
        <w:fldChar w:fldCharType="separate"/>
      </w:r>
      <w:r w:rsidRPr="00CA4ABC">
        <w:rPr>
          <w:rFonts w:cstheme="minorHAnsi"/>
          <w:noProof/>
          <w:color w:val="000000" w:themeColor="text1"/>
        </w:rPr>
        <w:drawing>
          <wp:inline distT="0" distB="0" distL="0" distR="0" wp14:anchorId="46C16BE5" wp14:editId="0554FEB8">
            <wp:extent cx="5727700" cy="4010025"/>
            <wp:effectExtent l="0" t="0" r="0" b="3175"/>
            <wp:docPr id="54" name="Picture 54" descr="Leucine stimulates mTOR and muscle protein synthesis in both animal and  h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ucine stimulates mTOR and muscle protein synthesis in both animal and  huma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4010025"/>
                    </a:xfrm>
                    <a:prstGeom prst="rect">
                      <a:avLst/>
                    </a:prstGeom>
                    <a:noFill/>
                    <a:ln>
                      <a:noFill/>
                    </a:ln>
                  </pic:spPr>
                </pic:pic>
              </a:graphicData>
            </a:graphic>
          </wp:inline>
        </w:drawing>
      </w:r>
      <w:r w:rsidRPr="00CA4ABC">
        <w:rPr>
          <w:rFonts w:cstheme="minorHAnsi"/>
          <w:color w:val="000000" w:themeColor="text1"/>
        </w:rPr>
        <w:fldChar w:fldCharType="end"/>
      </w:r>
    </w:p>
    <w:p w14:paraId="102C269C" w14:textId="77777777" w:rsidR="00797B66" w:rsidRPr="00CA4ABC" w:rsidRDefault="00797B66" w:rsidP="00F42CB9">
      <w:pPr>
        <w:spacing w:line="360" w:lineRule="auto"/>
        <w:rPr>
          <w:rFonts w:cstheme="minorHAnsi"/>
          <w:color w:val="000000" w:themeColor="text1"/>
        </w:rPr>
      </w:pPr>
    </w:p>
    <w:p w14:paraId="08D1E60C" w14:textId="76D096CF" w:rsidR="00797B66" w:rsidRPr="00F56683" w:rsidRDefault="00797B66" w:rsidP="00F42CB9">
      <w:pPr>
        <w:pStyle w:val="Caption"/>
        <w:spacing w:line="360" w:lineRule="auto"/>
        <w:rPr>
          <w:rFonts w:cstheme="minorHAnsi"/>
          <w:b/>
          <w:bCs/>
          <w:i w:val="0"/>
          <w:iCs w:val="0"/>
          <w:color w:val="000000" w:themeColor="text1"/>
          <w:sz w:val="24"/>
          <w:szCs w:val="24"/>
        </w:rPr>
      </w:pPr>
      <w:bookmarkStart w:id="22" w:name="_Ref120700647"/>
      <w:bookmarkStart w:id="23" w:name="_Toc127044180"/>
      <w:bookmarkStart w:id="24" w:name="_Toc127978462"/>
      <w:r w:rsidRPr="00F56683">
        <w:rPr>
          <w:rFonts w:cstheme="minorHAnsi"/>
          <w:i w:val="0"/>
          <w:iCs w:val="0"/>
          <w:color w:val="000000" w:themeColor="text1"/>
          <w:sz w:val="24"/>
          <w:szCs w:val="24"/>
        </w:rPr>
        <w:t xml:space="preserve">Figure </w:t>
      </w:r>
      <w:r w:rsidRPr="00F56683">
        <w:rPr>
          <w:rFonts w:cstheme="minorHAnsi"/>
          <w:i w:val="0"/>
          <w:iCs w:val="0"/>
          <w:color w:val="000000" w:themeColor="text1"/>
          <w:sz w:val="24"/>
          <w:szCs w:val="24"/>
        </w:rPr>
        <w:fldChar w:fldCharType="begin"/>
      </w:r>
      <w:r w:rsidRPr="00F56683">
        <w:rPr>
          <w:rFonts w:cstheme="minorHAnsi"/>
          <w:i w:val="0"/>
          <w:iCs w:val="0"/>
          <w:color w:val="000000" w:themeColor="text1"/>
          <w:sz w:val="24"/>
          <w:szCs w:val="24"/>
        </w:rPr>
        <w:instrText xml:space="preserve"> SEQ Figure \* ARABIC </w:instrText>
      </w:r>
      <w:r w:rsidRPr="00F56683">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2</w:t>
      </w:r>
      <w:r w:rsidRPr="00F56683">
        <w:rPr>
          <w:rFonts w:cstheme="minorHAnsi"/>
          <w:i w:val="0"/>
          <w:iCs w:val="0"/>
          <w:color w:val="000000" w:themeColor="text1"/>
          <w:sz w:val="24"/>
          <w:szCs w:val="24"/>
        </w:rPr>
        <w:fldChar w:fldCharType="end"/>
      </w:r>
      <w:bookmarkEnd w:id="22"/>
      <w:r w:rsidR="00F56683">
        <w:rPr>
          <w:rFonts w:cstheme="minorHAnsi"/>
          <w:i w:val="0"/>
          <w:iCs w:val="0"/>
          <w:color w:val="000000" w:themeColor="text1"/>
          <w:sz w:val="24"/>
          <w:szCs w:val="24"/>
        </w:rPr>
        <w:t>.</w:t>
      </w:r>
      <w:r w:rsidRPr="00F56683">
        <w:rPr>
          <w:rFonts w:cstheme="minorHAnsi"/>
          <w:i w:val="0"/>
          <w:iCs w:val="0"/>
          <w:color w:val="000000" w:themeColor="text1"/>
          <w:sz w:val="24"/>
          <w:szCs w:val="24"/>
        </w:rPr>
        <w:t xml:space="preserve"> The activation of the mTOR pathway, to promote MPS by anabolic factors including the amino acid leucine. (Image taken from Pimentel, Zemdegs 2009, with permission from the journal </w:t>
      </w:r>
      <w:r w:rsidRPr="00F56683">
        <w:rPr>
          <w:rFonts w:cstheme="minorHAnsi"/>
          <w:i w:val="0"/>
          <w:iCs w:val="0"/>
          <w:color w:val="000000" w:themeColor="text1"/>
          <w:sz w:val="24"/>
          <w:szCs w:val="24"/>
        </w:rPr>
        <w:fldChar w:fldCharType="begin" w:fldLock="1"/>
      </w:r>
      <w:r w:rsidRPr="00F56683">
        <w:rPr>
          <w:rFonts w:cstheme="minorHAnsi"/>
          <w:i w:val="0"/>
          <w:iCs w:val="0"/>
          <w:color w:val="000000" w:themeColor="text1"/>
          <w:sz w:val="24"/>
          <w:szCs w:val="24"/>
        </w:rPr>
        <w:instrText>ADDIN CSL_CITATION {"citationItems":[{"id":"ITEM-1","itemData":{"URL":"https://www.efdeportes.com/efd131/leucine-stimulates-mtor-and-muscle-protein-synthesis.htm","accessed":{"date-parts":[["2023","1","15"]]},"id":"ITEM-1","issued":{"date-parts":[["0"]]},"title":"Leucine stimulates mTOR and muscle protein synthesis in both animal and human","type":"webpage"},"uris":["http://www.mendeley.com/documents/?uuid=3c3a6db3-1915-3d5d-b585-c4bbec2b86f5"]}],"mendeley":{"formattedCitation":"(26)","plainTextFormattedCitation":"(26)","previouslyFormattedCitation":"(26)"},"properties":{"noteIndex":0},"schema":"https://github.com/citation-style-language/schema/raw/master/csl-citation.json"}</w:instrText>
      </w:r>
      <w:r w:rsidRPr="00F56683">
        <w:rPr>
          <w:rFonts w:cstheme="minorHAnsi"/>
          <w:i w:val="0"/>
          <w:iCs w:val="0"/>
          <w:color w:val="000000" w:themeColor="text1"/>
          <w:sz w:val="24"/>
          <w:szCs w:val="24"/>
        </w:rPr>
        <w:fldChar w:fldCharType="separate"/>
      </w:r>
      <w:r w:rsidRPr="00F56683">
        <w:rPr>
          <w:rFonts w:cstheme="minorHAnsi"/>
          <w:i w:val="0"/>
          <w:iCs w:val="0"/>
          <w:noProof/>
          <w:color w:val="000000" w:themeColor="text1"/>
          <w:sz w:val="24"/>
          <w:szCs w:val="24"/>
        </w:rPr>
        <w:t>(26)</w:t>
      </w:r>
      <w:r w:rsidRPr="00F56683">
        <w:rPr>
          <w:rFonts w:cstheme="minorHAnsi"/>
          <w:i w:val="0"/>
          <w:iCs w:val="0"/>
          <w:color w:val="000000" w:themeColor="text1"/>
          <w:sz w:val="24"/>
          <w:szCs w:val="24"/>
        </w:rPr>
        <w:fldChar w:fldCharType="end"/>
      </w:r>
      <w:r w:rsidRPr="00F56683">
        <w:rPr>
          <w:rFonts w:cstheme="minorHAnsi"/>
          <w:i w:val="0"/>
          <w:iCs w:val="0"/>
          <w:color w:val="000000" w:themeColor="text1"/>
          <w:sz w:val="24"/>
          <w:szCs w:val="24"/>
        </w:rPr>
        <w:t>)</w:t>
      </w:r>
      <w:bookmarkEnd w:id="23"/>
      <w:bookmarkEnd w:id="24"/>
    </w:p>
    <w:p w14:paraId="777316C0" w14:textId="77777777" w:rsidR="00797B66" w:rsidRPr="00CA4ABC" w:rsidRDefault="00797B66" w:rsidP="00F42CB9">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Observing factors which up and downregulate MPS aids with understanding the potential to modify these pathways in favour of preventing muscle loss i.e. through MPS upregulation. Isotope tracking investigations have pointed toward the amino acid leucine being a key regulator in the turnover of muscle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{"citationItems":[{"id":"ITEM-1","itemData":{"DOI":"10.1210/JCEM.86.5.7481","ISSN":"0021-972X","PMID":"11344218","abstract":"Branched chain amino acids (BCAA) are particularly effective anabolic agents. Recent in vitro studies suggest that amino acids, particularly leucine, activate a signaling pathway that enhances messenger ribonucleic acid translation and protein synthesis. The physiological relevance of these findings to normal human physiology is uncertain. We examined the effects of BCAA on the phosphorylation of eukaryotic initiation factor 4E-binding protein 1 (eIF4E-BP1) and ribosomal protein S6 kinase (p70S6K) in skeletal muscle of seven healthy volunteers. We simultaneously examined whether BCAA affect urinary nitrogen excretion and forearm skeletal muscle protein turnover and whether the catabolic action of glucocorticoids could be mediated in part by inhibition of the action of BCAA on the protein synthetic apparatus.BCAA infusion decreased urinary nitrogen excretion (P &amp;lt; 0.02), whole body phenylalanine flux (P &amp;lt; 0.02), plasma phenylalanine concentration (P &amp;lt; 0.001), and improved forearm phenylalanine balance (P = 0.03). BCAA also increased the phosphorylation of both eIF4E-BP1 (P &amp;lt; 0.02) and p70S6K (P &amp;lt; 0.03), consistent with an action to activate the protein synthetic apparatus. Dexamethasone increased plasma phenylalanine concentration (P &amp;lt; 0.001), prevented the BCAA-induced anabolic shift in forearm protein balance, and inhibited their action on the phosphorylation of p70S6K. We conclude that in human skeletal muscle BCAA act directly as nutrient signals to activate messenger ribonucleic acid translation and potentiate protein synthesis. Glucocorticoids interfere with this action, and that may be part of the mechanism by which they promote net protein catabolism in muscle.","author":[{"dropping-particle":"","family":"Liu","given":"Zhenqi","non-dropping-particle":"","parse-names":false,"suffix":""},{"dropping-particle":"","family":"Jahn","given":"Linda A.","non-dropping-particle":"","parse-names":false,"suffix":""},{"dropping-particle":"","family":"Long","given":"Wen","non-dropping-particle":"","parse-names":false,"suffix":""},{"dropping-particle":"","family":"Fryburg","given":"David A.","non-dropping-particle":"","parse-names":false,"suffix":""},{"dropping-particle":"","family":"Wei","given":"Liping","non-dropping-particle":"","parse-names":false,"suffix":""},{"dropping-particle":"","family":"Barrett","given":"Eugene J.","non-dropping-particle":"","parse-names":false,"suffix":""}],"container-title":"The Journal of clinical endocrinology and metabolism","id":"ITEM-1","issue":"5","issued":{"date-parts":[["2001","5","1"]]},"page":"2136-2143","publisher":"J Clin Endocrinol Metab","title":"Branched chain amino acids activate messenger ribonucleic acid translation regulatory proteins in human skeletal muscle, and glucocorticoids blunt this action","type":"article-journal","volume":"86"},"uris":["http://www.mendeley.com/documents/?uuid=42fe6f2e-70d5-3692-8e59-25b6d8344888"]}],"mendeley":{"formattedCitation":"(27)","plainTextFormattedCitation":"(27)","previouslyFormattedCitation":"(27)"},"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(27)</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This amino acid is believed to be particularly important for regulating the phosphorylation state of mTOR and can act as a switch for its activation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{"citationItems":[{"id":"ITEM-1","itemData":{"DOI":"10.1093/jn/131.3.861S","ISSN":"0022-3166","PMID":"11238775","abstract":"In this study an overview is presented of the mTOR signaling pathway and its regulation by amino acids, particularly L-leucine. Our laboratory is studying amino acid regulation of mTOR in adipocytes. Potential roles for mTOR in adipocytes that were previously posited include hypertrophic growth, leptin secretion, protein synthesis and adipose tissue morphogenesis. A current area of interest in the field is how amino acids regulate mTOR and which amino acids are regulatory. Revelations concerning mechanism and recognition are emerging from different laboratories that examined the structural requirements for stimulation and inhibition of the mTOR signaling pathway by leucine and amino acid analogs. In adipocytes and some other cell types, leucine appears to be the main regulatory amino acid. However, this is not uniformly the case. In those cells where mTOR is regulated by several amino acids, there is evidence that the mechanism of mTOR activation may be different from cells where mainly leucine is regulatory. Furthermore, in tissues where leucine regulates mTOR, the possible existence of different tissue-specific leucine recognition sites may be indicated.","author":[{"dropping-particle":"","family":"Lynch","given":"Christopher J.","non-dropping-particle":"","parse-names":false,"suffix":""}],"container-title":"The Journal of Nutrition","id":"ITEM-1","issue":"3","issued":{"date-parts":[["2001","4","1"]]},"page":"861S-865S","title":"Role of Leucine in the Regulation of mTOR by Amino Acids: Revelations from Structure–Activity Studies","type":"article-journal","volume":"131"},"uris":["http://www.mendeley.com/documents/?uuid=4ad7d907-47dd-3695-93e9-bc7638237a7a"]}],"mendeley":{"formattedCitation":"(28)","plainTextFormattedCitation":"(28)","previouslyFormattedCitation":"(28)"},"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(28)</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w:t>
      </w:r>
    </w:p>
    <w:p w14:paraId="153CAD07" w14:textId="77777777" w:rsidR="00797B66" w:rsidRPr="00CA4ABC" w:rsidRDefault="00797B66" w:rsidP="00F42CB9">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In contrast, MPB is dominant in the fasted state (</w:t>
      </w:r>
      <w:r w:rsidRPr="00CA4ABC">
        <w:rPr>
          <w:rFonts w:asciiTheme="minorHAnsi" w:hAnsiTheme="minorHAnsi" w:cstheme="minorHAnsi"/>
          <w:color w:val="000000" w:themeColor="text1"/>
        </w:rPr>
        <w:fldChar w:fldCharType="begin"/>
      </w:r>
      <w:r w:rsidRPr="00CA4ABC">
        <w:rPr>
          <w:rFonts w:asciiTheme="minorHAnsi" w:hAnsiTheme="minorHAnsi" w:cstheme="minorHAnsi"/>
          <w:color w:val="000000" w:themeColor="text1"/>
        </w:rPr>
        <w:instrText xml:space="preserve"> REF _Ref120699905 \h  \* MERGEFORMAT </w:instrText>
      </w:r>
      <w:r w:rsidRPr="00CA4ABC">
        <w:rPr>
          <w:rFonts w:asciiTheme="minorHAnsi" w:hAnsiTheme="minorHAnsi" w:cstheme="minorHAnsi"/>
          <w:color w:val="000000" w:themeColor="text1"/>
        </w:rPr>
      </w:r>
      <w:r w:rsidRPr="00CA4ABC">
        <w:rPr>
          <w:rFonts w:asciiTheme="minorHAnsi" w:hAnsiTheme="minorHAnsi" w:cstheme="minorHAnsi"/>
          <w:color w:val="000000" w:themeColor="text1"/>
        </w:rPr>
        <w:fldChar w:fldCharType="separate"/>
      </w:r>
      <w:r w:rsidRPr="00CA4ABC">
        <w:rPr>
          <w:rFonts w:asciiTheme="minorHAnsi" w:hAnsiTheme="minorHAnsi" w:cstheme="minorHAnsi"/>
          <w:color w:val="000000" w:themeColor="text1"/>
        </w:rPr>
        <w:t xml:space="preserve">Figure </w:t>
      </w:r>
      <w:r w:rsidRPr="00CA4ABC">
        <w:rPr>
          <w:rFonts w:asciiTheme="minorHAnsi" w:hAnsiTheme="minorHAnsi" w:cstheme="minorHAnsi"/>
          <w:noProof/>
          <w:color w:val="000000" w:themeColor="text1"/>
        </w:rPr>
        <w:t>1</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Although this could contribute to muscle loss, MPB is still an important metabolic component of muscle remodelling and may aid with repair, so is required to some extent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{"citationItems":[{"id":"ITEM-1","itemData":{"DOI":"10.3390/NU8040181","ISSN":"2072-6643","PMID":"27023595","abstract":"Skeletal muscle is critical for human health. Protein feeding, alongside resistance exercise, is a potent stimulus for muscle protein synthesis (MPS) and is a key factor that regulates skeletal muscle mass (SMM). The main purpose of this narrative review was to evaluate the latest evidence for optimising the amino acid or protein source, dose, timing, pattern and macronutrient coingestion for increasing or preserving SMM in healthy young and healthy older adults. We used a systematic search strategy of PubMed and Web of Science to retrieve all articles related to this review objective. In summary, our findings support the notion that protein guidelines for increasing or preserving SMM are more complex than simply recommending a total daily amount of protein. Instead, multifactorial interactions between protein source, dose, timing, pattern and macronutrient coingestion, alongside exercise, influence the stimulation of MPS, and thus should be considered in the context of protein recommendations for regulating SMM. To conclude, on the basis of currently available scientific literature, protein recommendations for optimising SMM should be tailored to the population or context of interest, with consideration given to age and resting/post resistance exercise conditions.","author":[{"dropping-particle":"","family":"Witard","given":"Oliver C.","non-dropping-particle":"","parse-names":false,"suffix":""},{"dropping-particle":"","family":"Wardle","given":"Sophie L.","non-dropping-particle":"","parse-names":false,"suffix":""},{"dropping-particle":"","family":"Macnaughton","given":"Lindsay S.","non-dropping-particle":"","parse-names":false,"suffix":""},{"dropping-particle":"","family":"Hodgson","given":"Adrian B.","non-dropping-particle":"","parse-names":false,"suffix":""},{"dropping-particle":"","family":"Tipton","given":"Kevin D.","non-dropping-particle":"","parse-names":false,"suffix":""}],"container-title":"Nutrients","id":"ITEM-1","issue":"4","issued":{"date-parts":[["2016","3","23"]]},"publisher":"Nutrients","title":"Protein Considerations for Optimising Skeletal Muscle Mass in Healthy Young and Older Adults","type":"article-journal","volume":"8"},"uris":["http://www.mendeley.com/documents/?uuid=fe54d483-0558-3ad7-bcf6-75179020d5c0"]}],"mendeley":{"formattedCitation":"(29)","plainTextFormattedCitation":"(29)","previouslyFormattedCitation":"(29)"},"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(29)</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Issues arise when MPB occurs more dominantly in a chronic capacity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{"citationItems":[{"id":"ITEM-1","itemData":{"DOI":"10.1007/S40279-017-0845-5","ISSN":"11792035","PMID":"29368185","abstract":"Muscle protein breakdown (MPB) is an important metabolic component of muscle remodeling, adaptation to training, and increasing muscle mass. Degradation of muscle proteins occurs via the integration of three main systems—autophagy and the calpain and ubiquitin-proteasome systems. These systems do not operate independently, and the regulation is complex. Complete degradation of a protein requires some combination of the systems. Determination of MPB in humans is technically challenging, leading to a relative dearth of information. Available information on the dynamic response of MPB primarily comes from stable isotopic methods with expression and activity measures providing complementary information. It seems clear that resistance exercise increases MPB, but not as much as the increase in muscle protein synthesis. Both hyperaminoacidemia and hyperinsulinemia inhibit the post-exercise response of MPB. Available data do not allow a comprehensive examination of the mechanisms behind these responses. Practical nutrition recommendations for interventions to suppress MPB following exercise are often made. However, it is likely that some degree of increased MPB following exercise is an important component for optimal remodeling. At this time, it is not possible to determine the impact of nutrition on any individual muscle protein. Thus, until we can develop and employ better methods to elucidate the role of MPB following exercise and the response to nutrition, recommendations to optimize post exercise nutrition should focus on the response of muscle protein synthesis. The aim of this review is to provide a comprehensive examination of the state of knowledge, including methodological considerations, of the response of MPB to exercise and nutrition in humans.","author":[{"dropping-particle":"","family":"Tipton","given":"Kevin D.","non-dropping-particle":"","parse-names":false,"suffix":""},{"dropping-particle":"","family":"Hamilton","given":"D. Lee","non-dropping-particle":"","parse-names":false,"suffix":""},{"dropping-particle":"","family":"Gallagher","given":"Iain J.","non-dropping-particle":"","parse-names":false,"suffix":""}],"container-title":"Sports Medicine (Auckland, N.z.)","id":"ITEM-1","issue":"Suppl 1","issued":{"date-parts":[["2018","3","1"]]},"page":"53","publisher":"Springer","title":"Assessing the Role of Muscle Protein Breakdown in Response to Nutrition and Exercise in Humans","type":"article-journal","volume":"48"},"uris":["http://www.mendeley.com/documents/?uuid=185b68c9-90f3-38f9-b97e-a9d0848943ab"]}],"mendeley":{"formattedCitation":"(30)","plainTextFormattedCitation":"(30)","previouslyFormattedCitation":"(30)"},"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(30)</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Degradation of protein occurs via three main systems which are integrated, coordinated and work simultaneously to achieve MPB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{"citationItems":[{"id":"ITEM-1","itemData":{"DOI":"10.1007/S40279-017-0845-5","ISSN":"11792035","PMID":"29368185","abstract":"Muscle protein breakdown (MPB) is an important metabolic component of muscle remodeling, adaptation to training, and increasing muscle mass. Degradation of muscle proteins occurs via the integration of three main systems—autophagy and the calpain and ubiquitin-proteasome systems. These systems do not operate independently, and the regulation is complex. Complete degradation of a protein requires some combination of the systems. Determination of MPB in humans is technically challenging, leading to a relative dearth of information. Available information on the dynamic response of MPB primarily comes from stable isotopic methods with expression and activity measures providing complementary information. It seems clear that resistance exercise increases MPB, but not as much as the increase in muscle protein synthesis. Both hyperaminoacidemia and hyperinsulinemia inhibit the post-exercise response of MPB. Available data do not allow a comprehensive examination of the mechanisms behind these responses. Practical nutrition recommendations for interventions to suppress MPB following exercise are often made. However, it is likely that some degree of increased MPB following exercise is an important component for optimal remodeling. At this time, it is not possible to determine the impact of nutrition on any individual muscle protein. Thus, until we can develop and employ better methods to elucidate the role of MPB following exercise and the response to nutrition, recommendations to optimize post exercise nutrition should focus on the response of muscle protein synthesis. The aim of this review is to provide a comprehensive examination of the state of knowledge, including methodological considerations, of the response of MPB to exercise and nutrition in humans.","author":[{"dropping-particle":"","family":"Tipton","given":"Kevin D.","non-dropping-particle":"","parse-names":false,"suffix":""},{"dropping-particle":"","family":"Hamilton","given":"D. Lee","non-dropping-particle":"","parse-names":false,"suffix":""},{"dropping-particle":"","family":"Gallagher","given":"Iain J.","non-dropping-particle":"","parse-names":false,"suffix":""}],"container-title":"Sports Medicine (Auckland, N.z.)","id":"ITEM-1","issue":"Suppl 1","issued":{"date-parts":[["2018","3","1"]]},"page":"53","publisher":"Springer","title":"Assessing the Role of Muscle Protein Breakdown in Response to Nutrition and Exercise in Humans","type":"article-journal","volume":"48"},"uris":["http://www.mendeley.com/documents/?uuid=185b68c9-90f3-38f9-b97e-a9d0848943ab"]}],"mendeley":{"formattedCitation":"(30)","plainTextFormattedCitation":"(30)","previouslyFormattedCitation":"(30)"},"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(30)</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These </w:t>
      </w:r>
      <w:r w:rsidRPr="00CA4ABC">
        <w:rPr>
          <w:rFonts w:asciiTheme="minorHAnsi" w:hAnsiTheme="minorHAnsi" w:cstheme="minorHAnsi"/>
          <w:color w:val="000000" w:themeColor="text1"/>
        </w:rPr>
        <w:lastRenderedPageBreak/>
        <w:t xml:space="preserve">include the ubiquitin-proteasome system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{"citationItems":[{"id":"ITEM-1","itemData":{"DOI":"10.1016/J.BBADIS.2008.10.011","ISSN":"0006-3002","PMID":"18992328","abstract":"Skeletal muscle exhibits great plasticity in response to altered activity levels, ultimately resulting in tissue remodelling and substantial changes in mass. Animal research would suggest that the ubiquitin proteasome system, in particular the ubiquitin ligases MAFbx/atrogin-1 and MuRF1, are instrumental to the processes underlying these changes. This review article therefore examines the role of proteasomal-mediated protein degradation in human skeletal muscle in health and disease. Specifically, the effects of exercise, disuse and inflammatory disease states on the ubiquitin proteasome system in human skeletal muscle are examined. The article also identifies several inconsistencies between published human studies and data obtained from animal models of muscle atrophy, highlighting the need for a more comprehensive examination of the molecular events responsible for modulating muscle mass in humans. © 2008 Elsevier B.V. All rights reserved.","author":[{"dropping-particle":"","family":"Murton","given":"A. J.","non-dropping-particle":"","parse-names":false,"suffix":""},{"dropping-particle":"","family":"Constantin","given":"D.","non-dropping-particle":"","parse-names":false,"suffix":""},{"dropping-particle":"","family":"Greenhaff","given":"P. L.","non-dropping-particle":"","parse-names":false,"suffix":""}],"container-title":"Biochimica et biophysica acta","id":"ITEM-1","issue":"12","issued":{"date-parts":[["2008","12"]]},"page":"730-743","publisher":"Biochim Biophys Acta","title":"The involvement of the ubiquitin proteasome system in human skeletal muscle remodelling and atrophy","type":"article-journal","volume":"1782"},"uris":["http://www.mendeley.com/documents/?uuid=17d14f61-c26e-37f4-9618-dc4c86df2cec"]}],"mendeley":{"formattedCitation":"(31)","plainTextFormattedCitation":"(31)","previouslyFormattedCitation":"(31)"},"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(31)</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the calpain system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{"citationItems":[{"id":"ITEM-1","itemData":{"DOI":"10.1016/0167-4781(95)00027-E","ISSN":"01674781","PMID":"7742367","abstract":"In the mammalian calpain system, two isozymes, μ- and m-types, have been well-characterized, and are considered to be conserved in the avian system as well. Thus, chicken calpain, whose large subunit was cloned in 1984, has long been regarded as 'm-type', since chicken also possesses 'μ-type' activity, although its structure has not yet been elucidated. In this study, we identified three kinds of cDNAs encoding distinct chicken calpain large subunits. Two of the three were highly similar to the mammalian μ-type and p94, respectively. The third shows a much higher similarity to mammalian m-type than the first identified chicken calpain, indicating that this molecule, which has been considered as 'm-type', should be renamed. We, therefore, designated it 'μ/m-calpain', because its sequence and Ca2+-sensitivity lie between μ- and m-types. Northern blot analyses revealed that chicken mCL and μCL, as well as μ/mCL, show ubiquitous expression, while p94 was detected predominantly in skeletal muscle, as previously reported. Chicken skeletal muscle, therefore, expresses at least four types of calpain, three ubiquitous and one tissue-specific. © 1995.","author":[{"dropping-particle":"","family":"Sorimachi","given":"Hiroyuki","non-dropping-particle":"","parse-names":false,"suffix":""},{"dropping-particle":"","family":"Tsukahara","given":"Toshifumi","non-dropping-particle":"","parse-names":false,"suffix":""},{"dropping-particle":"","family":"Okada-Ban","given":"Mai","non-dropping-particle":"","parse-names":false,"suffix":""},{"dropping-particle":"","family":"Sugita","given":"Hideo","non-dropping-particle":"","parse-names":false,"suffix":""},{"dropping-particle":"","family":"Ishiura","given":"Shoichi","non-dropping-particle":"","parse-names":false,"suffix":""},{"dropping-particle":"","family":"Suzuki","given":"Koichi","non-dropping-particle":"","parse-names":false,"suffix":""}],"container-title":"BBA - Gene Structure and Expression","id":"ITEM-1","issue":"3","issued":{"date-parts":[["1995","4","26"]]},"page":"381-393","title":"Identification of a third ubiquitous calpain species - chicken muscle expresses four distinct calpains","type":"article-journal","volume":"1261"},"uris":["http://www.mendeley.com/documents/?uuid=09589345-2b88-3ea6-a9f4-6ee58948ada4"]}],"mendeley":{"formattedCitation":"(32)","plainTextFormattedCitation":"(32)","previouslyFormattedCitation":"(32)"},"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(32)</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and the autophagy system </w:t>
      </w:r>
      <w:r w:rsidRPr="00CA4ABC">
        <w:rPr>
          <w:rFonts w:asciiTheme="minorHAnsi" w:hAnsiTheme="minorHAnsi" w:cstheme="minorHAnsi"/>
          <w:color w:val="000000" w:themeColor="text1"/>
        </w:rPr>
        <w:fldChar w:fldCharType="begin" w:fldLock="1"/>
      </w:r>
      <w:r w:rsidRPr="00CA4ABC">
        <w:rPr>
          <w:rFonts w:asciiTheme="minorHAnsi" w:hAnsiTheme="minorHAnsi" w:cstheme="minorHAnsi"/>
          <w:color w:val="000000" w:themeColor="text1"/>
        </w:rPr>
        <w:instrText>ADDIN CSL_CITATION {"citationItems":[{"id":"ITEM-1","itemData":{"DOI":"10.1002/PATH.2697","ISSN":"00223417","PMID":"20225336","abstract":"Autophagy is a self-degradative process that is important for balancing sources of energy at critical times in development and in response to nutrient stress. Autophagy also plays a housekeeping role in removing misfolded or aggregated proteins, clearing damaged organelles, such as mitochondria, endoplasmic reticulum and peroxisomes, as well as eliminating intracellular pathogens. Thus, autophagy is generally thought of as a survival mechanism, although its deregulation has been linked to non-apoptotic cell death. Autophagy can be either non-selective or selective in the removal of specific organelles, ribosomes and protein aggregates, although the mechanisms regulating aspects of selective autophagy are not fully worked out. In addition to elimination of intracellular aggregates and damaged organelles, autophagy promotes cellular senescence and cell surface antigen presentation, protects against genome instability and prevents necrosis, giving it a key role in preventing diseases such as cancer, neurodegeneration, cardiomyopathy, diabetes, liver disease, autoimmune diseases and infections. This review summarizes the most up-to-date findings on how autophagy is executed and regulated at the molecular level and how its disruption can lead to disease. Copyright © 2010 Pathological Society of Great Britain and Ireland. Published by John Wiley &amp; Sons, Ltd.","author":[{"dropping-particle":"","family":"Glick","given":"Danielle","non-dropping-particle":"","parse-names":false,"suffix":""},{"dropping-particle":"","family":"Barth","given":"Sandra","non-dropping-particle":"","parse-names":false,"suffix":""},{"dropping-particle":"","family":"Macleod","given":"Kay F.","non-dropping-particle":"","parse-names":false,"suffix":""}],"container-title":"The Journal of pathology","id":"ITEM-1","issue":"1","issued":{"date-parts":[["2010","5"]]},"page":"3","publisher":"NIH Public Access","title":"Autophagy: cellular and molecular mechanisms","type":"article-journal","volume":"221"},"uris":["http://www.mendeley.com/documents/?uuid=5cd6411f-347f-398a-a5a5-0c036186a947"]}],"mendeley":{"formattedCitation":"(33)","plainTextFormattedCitation":"(33)","previouslyFormattedCitation":"(33)"},"properties":{"noteIndex":0},"schema":"https://github.com/citation-style-language/schema/raw/master/csl-citation.json"}</w:instrText>
      </w:r>
      <w:r w:rsidRPr="00CA4ABC">
        <w:rPr>
          <w:rFonts w:asciiTheme="minorHAnsi" w:hAnsiTheme="minorHAnsi" w:cstheme="minorHAnsi"/>
          <w:color w:val="000000" w:themeColor="text1"/>
        </w:rPr>
        <w:fldChar w:fldCharType="separate"/>
      </w:r>
      <w:r w:rsidRPr="00CA4ABC">
        <w:rPr>
          <w:rFonts w:asciiTheme="minorHAnsi" w:hAnsiTheme="minorHAnsi" w:cstheme="minorHAnsi"/>
          <w:noProof/>
          <w:color w:val="000000" w:themeColor="text1"/>
        </w:rPr>
        <w:t>(33)</w:t>
      </w:r>
      <w:r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 xml:space="preserve">. </w:t>
      </w:r>
    </w:p>
    <w:p w14:paraId="53C6A0F6" w14:textId="77777777" w:rsidR="00797B66" w:rsidRPr="00CA4ABC" w:rsidRDefault="00797B66" w:rsidP="00F42CB9">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To prevent muscle loss from occurring, it is important to ensure MPB does not consistently outweigh MPS. This means that it is important to understand the processes behind these reactions. Following on from this, once this has been deciphered, it may be possible to manipulate muscle metabolism via intervention practices. </w:t>
      </w:r>
    </w:p>
    <w:p w14:paraId="0619D8C9" w14:textId="77777777" w:rsidR="00797B66" w:rsidRPr="00CA4ABC" w:rsidRDefault="00797B66" w:rsidP="00F42CB9">
      <w:pPr>
        <w:pStyle w:val="Heading3"/>
        <w:spacing w:line="360" w:lineRule="auto"/>
        <w:rPr>
          <w:rFonts w:asciiTheme="minorHAnsi" w:hAnsiTheme="minorHAnsi" w:cstheme="minorHAnsi"/>
          <w:color w:val="000000" w:themeColor="text1"/>
        </w:rPr>
      </w:pPr>
      <w:bookmarkStart w:id="25" w:name="_Toc135384239"/>
      <w:r w:rsidRPr="00CA4ABC">
        <w:rPr>
          <w:rFonts w:asciiTheme="minorHAnsi" w:hAnsiTheme="minorHAnsi" w:cstheme="minorHAnsi"/>
          <w:color w:val="000000" w:themeColor="text1"/>
        </w:rPr>
        <w:t>1.2.3 Techniques to measure muscle metabolism</w:t>
      </w:r>
      <w:bookmarkEnd w:id="25"/>
    </w:p>
    <w:p w14:paraId="289E3B36" w14:textId="77777777" w:rsidR="00797B66" w:rsidRPr="00CA4ABC" w:rsidRDefault="00797B66" w:rsidP="00F42CB9">
      <w:pPr>
        <w:spacing w:line="360" w:lineRule="auto"/>
        <w:rPr>
          <w:rFonts w:cstheme="minorHAnsi"/>
          <w:color w:val="000000" w:themeColor="text1"/>
        </w:rPr>
      </w:pPr>
      <w:r w:rsidRPr="00CA4ABC">
        <w:rPr>
          <w:rFonts w:cstheme="minorHAnsi"/>
          <w:color w:val="000000" w:themeColor="text1"/>
        </w:rPr>
        <w:t xml:space="preserve">Stable isotope methodologies can be used, in vivo, to track dynamic measures of protein turnover in acute (~hours) timeframes </w:t>
      </w:r>
      <w:r w:rsidRPr="00CA4ABC">
        <w:rPr>
          <w:rFonts w:cstheme="minorHAnsi"/>
          <w:color w:val="000000" w:themeColor="text1"/>
        </w:rPr>
        <w:fldChar w:fldCharType="begin" w:fldLock="1"/>
      </w:r>
      <w:r w:rsidRPr="00CA4ABC">
        <w:rPr>
          <w:rFonts w:cstheme="minorHAnsi"/>
          <w:color w:val="000000" w:themeColor="text1"/>
        </w:rPr>
        <w:instrText>ADDIN CSL_CITATION {"citationItems":[{"id":"ITEM-1","itemData":{"DOI":"10.1042/cs0630519","ISSN":"0143-5221","abstract":"1. Measurements have been made of whole-body and skeletal muscle protein synthesis in fed and fasted adults with L-[1-13C]leucine. 2. The marked increase in whole-body synthesis on feeding largely reflects the changes in protein synthesis in muscle, which doubles on feeding, compared with a 40% increase in that of the rest of the body. 3. Skeletal muscle in fed man contributes more than half to total protein synthesis occurring in the whole body.","author":[{"dropping-particle":"","family":"Rennie","given":"M. J.","non-dropping-particle":"","parse-names":false,"suffix":""},{"dropping-particle":"","family":"Edwards","given":"R. H. T.","non-dropping-particle":"","parse-names":false,"suffix":""},{"dropping-particle":"","family":"Halliday","given":"D.","non-dropping-particle":"","parse-names":false,"suffix":""},{"dropping-particle":"","family":"Matthews","given":"D. E.","non-dropping-particle":"","parse-names":false,"suffix":""},{"dropping-particle":"","family":"Wolman","given":"S. L.","non-dropping-particle":"","parse-names":false,"suffix":""},{"dropping-particle":"","family":"Millward","given":"D. J.","non-dropping-particle":"","parse-names":false,"suffix":""}],"container-title":"Clinical Science","id":"ITEM-1","issued":{"date-parts":[["1982"]]},"title":"Muscle Protein Synthesis Measured by Stable Isotope Techniques in Man: The Effects of Feeding and Fasting","type":"article-journal"},"uris":["http://www.mendeley.com/documents/?uuid=83b8c0a2-a17c-364c-af98-cc2712f265b0"]}],"mendeley":{"formattedCitation":"(34)","plainTextFormattedCitation":"(34)","previouslyFormattedCitation":"(34)"},"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(34)</w:t>
      </w:r>
      <w:r w:rsidRPr="00CA4ABC">
        <w:rPr>
          <w:rFonts w:cstheme="minorHAnsi"/>
          <w:color w:val="000000" w:themeColor="text1"/>
        </w:rPr>
        <w:fldChar w:fldCharType="end"/>
      </w:r>
      <w:r w:rsidRPr="00CA4ABC">
        <w:rPr>
          <w:rFonts w:cstheme="minorHAnsi"/>
          <w:color w:val="000000" w:themeColor="text1"/>
        </w:rPr>
        <w:t>. However, there is a requirement for constant tracer infusions. Stable isotopes have different masses from their endogenous counterparts, allowing them to be differentiated using spectrometric techniques. Obtaining muscle biopsies and examining them for the incorporation of isotopic motifs into biological samples can be used to estimate the fractional synthetic rate (FSR) of skeletal muscle proteins. This is done by measuring the</w:t>
      </w:r>
      <w:r w:rsidRPr="00CA4ABC">
        <w:rPr>
          <w:rFonts w:cstheme="minorHAnsi"/>
          <w:color w:val="000000" w:themeColor="text1"/>
          <w:shd w:val="clear" w:color="auto" w:fill="FFFFFF"/>
        </w:rPr>
        <w:t xml:space="preserve"> tracer enrichment of the precursor pool and the amount of tracer incorporated into skeletal muscle protein. The FSR is considered the gold-standard measure of skeletal muscle protein synthesis </w:t>
      </w:r>
      <w:r w:rsidRPr="00CA4ABC">
        <w:rPr>
          <w:rFonts w:cstheme="minorHAnsi"/>
          <w:color w:val="000000" w:themeColor="text1"/>
          <w:shd w:val="clear" w:color="auto" w:fill="FFFFFF"/>
        </w:rPr>
        <w:fldChar w:fldCharType="begin" w:fldLock="1"/>
      </w:r>
      <w:r w:rsidRPr="00CA4ABC">
        <w:rPr>
          <w:rFonts w:cstheme="minorHAnsi"/>
          <w:color w:val="000000" w:themeColor="text1"/>
          <w:shd w:val="clear" w:color="auto" w:fill="FFFFFF"/>
        </w:rPr>
        <w:instrText>ADDIN CSL_CITATION {"citationItems":[{"id":"ITEM-1","itemData":{"DOI":"10.1002/MAS.21507","ISSN":"1098-2787","PMID":"27182900","abstract":"Over a century ago, Frederick Soddy provided the first evidence for the existence of isotopes; elements that occupy the same position in the periodic table are essentially chemically identical but differ in mass due to a different number of neutrons within the atomic nucleus. Allied to the discovery of isotopes was the development of some of the first forms of mass spectrometers, driven forward by the Nobel laureates JJ Thomson and FW Aston, enabling the accurate separation, identification, and quantification of the relative abundance of these isotopes. As a result, within a few years, the number of known isotopes both stable and radioactive had greatly increased and there are now over 300 stable or radioisotopes presently known. Unknown at the time, however, was the potential utility of these isotopes within biological disciplines, it was soon discovered that these stable isotopes, particularly those of carbon (13C), nitrogen (15N), oxygen (18O), and hydrogen (2H) could be chemically introduced into organic compounds, such as fatty acids, amino acids, and sugars, and used to “trace” the metabolic fate of these compounds within biological systems. From this important breakthrough, the age of the isotope tracer was born. Over the following 80 yrs, stable isotopes would become a vital tool in not only the biological sciences, but also areas as diverse as forensics, geology, and art. This progress has been almost exclusively driven through the development of new and innovative mass spectrometry equipment from IRMS to GC-MS to LC-MS, which has allowed for the accurate quantitation of isotopic abundance within samples of complex matrices. This historical review details the development of stable isotope tracers as metabolic tools, with particular reference to their use in monitoring protein metabolism, highlighting the unique array of tools that are now available for the investigation of protein metabolism in vivo at a whole body down to a single protein level. Importantly, it will detail how this development has been closely aligned to the technological development within the area of mass spectrometry. Without the dedicated development provided by these mass spectrometrists over the past century, the use of stable isotope tracers within the field of protein metabolism would not be as widely applied as it is today, this relationship will no doubt continue to flourish in the future and stable isotope tracers will maintain their importance as a tool within the …","author":[{"dropping-particle":"","family":"Wilkinson","given":"Daniel James","non-dropping-particle":"","parse-names":false,"suffix":""}],"container-title":"Mass spectrometry reviews","id":"ITEM-1","issue":"1","issued":{"date-parts":[["2018","1","1"]]},"page":"57-80","publisher":"Mass Spectrom Rev","title":"Historical and contemporary stable isotope tracer approaches to studying mammalian protein metabolism","type":"article-journal","volume":"37"},"uris":["http://www.mendeley.com/documents/?uuid=5a68b404-f054-3681-a16c-05284d928753"]}],"mendeley":{"formattedCitation":"(35)","plainTextFormattedCitation":"(35)","previouslyFormattedCitation":"(35)"},"properties":{"noteIndex":0},"schema":"https://github.com/citation-style-language/schema/raw/master/csl-citation.json"}</w:instrText>
      </w:r>
      <w:r w:rsidRPr="00CA4ABC">
        <w:rPr>
          <w:rFonts w:cstheme="minorHAnsi"/>
          <w:color w:val="000000" w:themeColor="text1"/>
          <w:shd w:val="clear" w:color="auto" w:fill="FFFFFF"/>
        </w:rPr>
        <w:fldChar w:fldCharType="separate"/>
      </w:r>
      <w:r w:rsidRPr="00CA4ABC">
        <w:rPr>
          <w:rFonts w:cstheme="minorHAnsi"/>
          <w:noProof/>
          <w:color w:val="000000" w:themeColor="text1"/>
          <w:shd w:val="clear" w:color="auto" w:fill="FFFFFF"/>
        </w:rPr>
        <w:t>(35)</w:t>
      </w:r>
      <w:r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but,</w:t>
      </w:r>
      <w:r w:rsidRPr="00CA4ABC">
        <w:rPr>
          <w:rFonts w:cstheme="minorHAnsi"/>
          <w:color w:val="000000" w:themeColor="text1"/>
        </w:rPr>
        <w:t xml:space="preserve"> is an invasive process. Alternatively, end-product methods can be used. Deuterated water, where hydrogen is displaced by labelled deuterium, provides a method for observing the cumulative incorporation of deuterium into muscle through the use of gas chromatography </w:t>
      </w:r>
      <w:r w:rsidRPr="00CA4ABC">
        <w:rPr>
          <w:rFonts w:cstheme="minorHAnsi"/>
          <w:color w:val="000000" w:themeColor="text1"/>
        </w:rPr>
        <w:fldChar w:fldCharType="begin" w:fldLock="1"/>
      </w:r>
      <w:r w:rsidRPr="00CA4ABC">
        <w:rPr>
          <w:rFonts w:cstheme="minorHAnsi"/>
          <w:color w:val="000000" w:themeColor="text1"/>
        </w:rPr>
        <w:instrText>ADDIN CSL_CITATION {"citationItems":[{"id":"ITEM-1","itemData":{"DOI":"10.1152/JAPPLPHYSIOL.00855.2019/ASSET/IMAGES/LARGE/ZDG0042033660004.JPEG","ISSN":"15221601","PMID":"32213116","abstract":"The use of deuterium oxide (D2O) has greatly expanded the scope of what is possible for the measurement of protein synthesis. The greatest asset of D2O labeling is that it facilitates the measurement of synthesis rates over prolonged periods of time from single proteins through integrated tissue-based measurements. Because the ease of administration, the method is amenable for use in a variety of models and conditions. Although the method adheres to the same rules as other isotope methods, the flexibility can create conditions that are not the same as other approaches and thus requires careful execution to maintain validity and reliability. For this CORP article, we provide a history that gave rise to the method and discuss the advantages and disadvantages of the method, the critical assumptions, guidelines, and best practices based on instrumentation, models, and experimental design. The goal of this CORP article is to propagate additional use of D2O in a manner that produces reliable and valid data.","author":[{"dropping-particle":"","family":"Miller","given":"Benjamin F.","non-dropping-particle":"","parse-names":false,"suffix":""},{"dropping-particle":"","family":"Reid","given":"Justin J.","non-dropping-particle":"","parse-names":false,"suffix":""},{"dropping-particle":"","family":"Price","given":"John C.","non-dropping-particle":"","parse-names":false,"suffix":""},{"dropping-particle":"","family":"Lin","given":"Hsien Jung L.","non-dropping-particle":"","parse-names":false,"suffix":""},{"dropping-particle":"","family":"Atherton","given":"Philip J.","non-dropping-particle":"","parse-names":false,"suffix":""},{"dropping-particle":"","family":"Smith","given":"Kenneth","non-dropping-particle":"","parse-names":false,"suffix":""}],"container-title":"Journal of Applied Physiology","id":"ITEM-1","issue":"5","issued":{"date-parts":[["2020","5","1"]]},"page":"1163-1176","publisher":"American Physiological Society","title":"CORP: The use of deuterated water for the measurement of protein synthesis","type":"article-journal","volume":"128"},"uris":["http://www.mendeley.com/documents/?uuid=553bf30c-6a71-3fda-8424-1210214eebd9"]}],"mendeley":{"formattedCitation":"(36)","plainTextFormattedCitation":"(36)","previouslyFormattedCitation":"(36)"},"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(36)</w:t>
      </w:r>
      <w:r w:rsidRPr="00CA4ABC">
        <w:rPr>
          <w:rFonts w:cstheme="minorHAnsi"/>
          <w:color w:val="000000" w:themeColor="text1"/>
        </w:rPr>
        <w:fldChar w:fldCharType="end"/>
      </w:r>
      <w:r w:rsidRPr="00CA4ABC">
        <w:rPr>
          <w:rFonts w:cstheme="minorHAnsi"/>
          <w:color w:val="000000" w:themeColor="text1"/>
        </w:rPr>
        <w:t xml:space="preserve">. This technique is the favoured protocol for monitoring MPS in free-living individuals over weeks to months. However, it has financial and practical limitations, including the risk of nausea and illness in volunteers </w:t>
      </w:r>
      <w:r w:rsidRPr="00CA4ABC">
        <w:rPr>
          <w:rFonts w:cstheme="minorHAnsi"/>
          <w:color w:val="000000" w:themeColor="text1"/>
        </w:rPr>
        <w:fldChar w:fldCharType="begin" w:fldLock="1"/>
      </w:r>
      <w:r w:rsidRPr="00CA4ABC">
        <w:rPr>
          <w:rFonts w:cstheme="minorHAnsi"/>
          <w:color w:val="000000" w:themeColor="text1"/>
        </w:rPr>
        <w:instrText>ADDIN CSL_CITATION {"citationItems":[{"id":"ITEM-1","itemData":{"DOI":"10.1152/JAPPLPHYSIOL.00855.2019/ASSET/IMAGES/LARGE/ZDG0042033660004.JPEG","ISSN":"15221601","PMID":"32213116","abstract":"The use of deuterium oxide (D2O) has greatly expanded the scope of what is possible for the measurement of protein synthesis. The greatest asset of D2O labeling is that it facilitates the measurement of synthesis rates over prolonged periods of time from single proteins through integrated tissue-based measurements. Because the ease of administration, the method is amenable for use in a variety of models and conditions. Although the method adheres to the same rules as other isotope methods, the flexibility can create conditions that are not the same as other approaches and thus requires careful execution to maintain validity and reliability. For this CORP article, we provide a history that gave rise to the method and discuss the advantages and disadvantages of the method, the critical assumptions, guidelines, and best practices based on instrumentation, models, and experimental design. The goal of this CORP article is to propagate additional use of D2O in a manner that produces reliable and valid data.","author":[{"dropping-particle":"","family":"Miller","given":"Benjamin F.","non-dropping-particle":"","parse-names":false,"suffix":""},{"dropping-particle":"","family":"Reid","given":"Justin J.","non-dropping-particle":"","parse-names":false,"suffix":""},{"dropping-particle":"","family":"Price","given":"John C.","non-dropping-particle":"","parse-names":false,"suffix":""},{"dropping-particle":"","family":"Lin","given":"Hsien Jung L.","non-dropping-particle":"","parse-names":false,"suffix":""},{"dropping-particle":"","family":"Atherton","given":"Philip J.","non-dropping-particle":"","parse-names":false,"suffix":""},{"dropping-particle":"","family":"Smith","given":"Kenneth","non-dropping-particle":"","parse-names":false,"suffix":""}],"container-title":"Journal of Applied Physiology","id":"ITEM-1","issue":"5","issued":{"date-parts":[["2020","5","1"]]},"page":"1163-1176","publisher":"American Physiological Society","title":"CORP: The use of deuterated water for the measurement of protein synthesis","type":"article-journal","volume":"128"},"uris":["http://www.mendeley.com/documents/?uuid=553bf30c-6a71-3fda-8424-1210214eebd9"]}],"mendeley":{"formattedCitation":"(36)","plainTextFormattedCitation":"(36)","previouslyFormattedCitation":"(36)"},"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(36)</w:t>
      </w:r>
      <w:r w:rsidRPr="00CA4ABC">
        <w:rPr>
          <w:rFonts w:cstheme="minorHAnsi"/>
          <w:color w:val="000000" w:themeColor="text1"/>
        </w:rPr>
        <w:fldChar w:fldCharType="end"/>
      </w:r>
      <w:r w:rsidRPr="00CA4ABC">
        <w:rPr>
          <w:rFonts w:cstheme="minorHAnsi"/>
          <w:color w:val="000000" w:themeColor="text1"/>
        </w:rPr>
        <w:t xml:space="preserve">. </w:t>
      </w:r>
    </w:p>
    <w:p w14:paraId="59525631" w14:textId="77777777" w:rsidR="00797B66" w:rsidRPr="00CA4ABC" w:rsidRDefault="00797B66" w:rsidP="00F42CB9">
      <w:pPr>
        <w:spacing w:line="360" w:lineRule="auto"/>
        <w:rPr>
          <w:rFonts w:cstheme="minorHAnsi"/>
          <w:color w:val="000000" w:themeColor="text1"/>
        </w:rPr>
      </w:pPr>
      <w:r w:rsidRPr="00CA4ABC">
        <w:rPr>
          <w:rFonts w:cstheme="minorHAnsi"/>
          <w:color w:val="000000" w:themeColor="text1"/>
        </w:rPr>
        <w:t xml:space="preserve">mTOR activity can also be used as a readout for MPS activity. The best way to monitor this in cells is through western blot analysis using antibodies that are specific to the phosphorylates residues of the target protein </w:t>
      </w:r>
      <w:r w:rsidRPr="00CA4ABC">
        <w:rPr>
          <w:rFonts w:cstheme="minorHAnsi"/>
          <w:color w:val="000000" w:themeColor="text1"/>
        </w:rPr>
        <w:fldChar w:fldCharType="begin" w:fldLock="1"/>
      </w:r>
      <w:r w:rsidRPr="00CA4ABC">
        <w:rPr>
          <w:rFonts w:cstheme="minorHAnsi"/>
          <w:color w:val="000000" w:themeColor="text1"/>
        </w:rPr>
        <w:instrText>ADDIN CSL_CITATION {"citationItems":[{"id":"ITEM-1","itemData":{"DOI":"10.1016/S0076-6879(08)03611-2","ISSN":"1557-7988","PMID":"19200882","abstract":"Mammalian target of rapamycin (mTOR) is an evolutionarily conserved serine/threonine protein kinase implicated in a wide array of cellular processes such as cell growth, proliferation, and survival. Analogous to the situation in yeast, mTOR forms two distinct functional complexes termed mTOR complex 1 and 2 (mTORC1 and mTORC2). mTORC1 activity is inhibited by rapamycin, a specific inhibitor of mTOR, whereas mTORC2 activity is resistant to short-term treatments with rapamycin. In response to growth factors, mTORC2 phosphorylates Akt, an essential kinase involved in cell survival. On the other hand, mTORC1 can be activated by both growth factors and nutrients such as glucose and amino acids. In turn, mTORC1 regulates the activity of the translational machinery by modulating S6 kinase (S6K) activity and eIF4E binding protein 1 (4E-BP1) through direct phosphorylation. Consequently, protein synthesis and cell growth are stimulated in a variety of different cell types. In addition, mTORC1 inhibits autophagy, an essential protein degradation and recycling system, which cells employ to sustain their viability in times of limited availability of nutrients. Recent studies have highlighted the fact that autophagy plays crucial roles in many aspects of human health including cancer development, neurodegenerative disease, diabetes, and aging. It is likely that dysregulation of the mTOR-autophagy pathway may contribute at least in part to these human disorders. Therefore, the assessment of mTOR activity is important to understand the status of autophagy in the cells being analyzed and its role in autophagy-related disorders. In this section, we describe methods to monitor mTOR activity both in vitro and in vivo. © 2009 Elsevier Inc. All rights reserved.","author":[{"dropping-particle":"","family":"Ikenoue","given":"Tsuneo","non-dropping-particle":"","parse-names":false,"suffix":""},{"dropping-particle":"","family":"Hong","given":"Sungki","non-dropping-particle":"","parse-names":false,"suffix":""},{"dropping-particle":"","family":"Inoki","given":"Ken","non-dropping-particle":"","parse-names":false,"suffix":""}],"container-title":"Methods in enzymology","id":"ITEM-1","issue":"C","issued":{"date-parts":[["2009"]]},"page":"165-180","publisher":"Methods Enzymol","title":"Monitoring mammalian target of rapamycin (mTOR) activity","type":"article-journal","volume":"452"},"uris":["http://www.mendeley.com/documents/?uuid=3ab6bf97-3afb-31bc-9338-9653f50afbe7"]}],"mendeley":{"formattedCitation":"(37)","plainTextFormattedCitation":"(37)","previouslyFormattedCitation":"(37)"},"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(37)</w:t>
      </w:r>
      <w:r w:rsidRPr="00CA4ABC">
        <w:rPr>
          <w:rFonts w:cstheme="minorHAnsi"/>
          <w:color w:val="000000" w:themeColor="text1"/>
        </w:rPr>
        <w:fldChar w:fldCharType="end"/>
      </w:r>
      <w:r w:rsidRPr="00CA4ABC">
        <w:rPr>
          <w:rFonts w:cstheme="minorHAnsi"/>
          <w:color w:val="000000" w:themeColor="text1"/>
        </w:rPr>
        <w:t xml:space="preserve">; likely to be downstream components of the mTOR pathway/substrate of mTOR complexes (outlined in section 1.2.2). Again, muscle biopsy samples are required for obtaining the tissue to be analysed and need to be immediately lysed to prevent mTOR activity from decreasing prior to further processing and western blot analysis </w:t>
      </w:r>
      <w:r w:rsidRPr="00CA4ABC">
        <w:rPr>
          <w:rFonts w:cstheme="minorHAnsi"/>
          <w:color w:val="000000" w:themeColor="text1"/>
        </w:rPr>
        <w:fldChar w:fldCharType="begin" w:fldLock="1"/>
      </w:r>
      <w:r w:rsidRPr="00CA4ABC">
        <w:rPr>
          <w:rFonts w:cstheme="minorHAnsi"/>
          <w:color w:val="000000" w:themeColor="text1"/>
        </w:rPr>
        <w:instrText>ADDIN CSL_CITATION {"citationItems":[{"id":"ITEM-1","itemData":{"DOI":"10.1016/S0076-6879(08)03611-2","ISSN":"1557-7988","PMID":"19200882","abstract":"Mammalian target of rapamycin (mTOR) is an evolutionarily conserved serine/threonine protein kinase implicated in a wide array of cellular processes such as cell growth, proliferation, and survival. Analogous to the situation in yeast, mTOR forms two distinct functional complexes termed mTOR complex 1 and 2 (mTORC1 and mTORC2). mTORC1 activity is inhibited by rapamycin, a specific inhibitor of mTOR, whereas mTORC2 activity is resistant to short-term treatments with rapamycin. In response to growth factors, mTORC2 phosphorylates Akt, an essential kinase involved in cell survival. On the other hand, mTORC1 can be activated by both growth factors and nutrients such as glucose and amino acids. In turn, mTORC1 regulates the activity of the translational machinery by modulating S6 kinase (S6K) activity and eIF4E binding protein 1 (4E-BP1) through direct phosphorylation. Consequently, protein synthesis and cell growth are stimulated in a variety of different cell types. In addition, mTORC1 inhibits autophagy, an essential protein degradation and recycling system, which cells employ to sustain their viability in times of limited availability of nutrients. Recent studies have highlighted the fact that autophagy plays crucial roles in many aspects of human health including cancer development, neurodegenerative disease, diabetes, and aging. It is likely that dysregulation of the mTOR-autophagy pathway may contribute at least in part to these human disorders. Therefore, the assessment of mTOR activity is important to understand the status of autophagy in the cells being analyzed and its role in autophagy-related disorders. In this section, we describe methods to monitor mTOR activity both in vitro and in vivo. © 2009 Elsevier Inc. All rights reserved.","author":[{"dropping-particle":"","family":"Ikenoue","given":"Tsuneo","non-dropping-particle":"","parse-names":false,"suffix":""},{"dropping-particle":"","family":"Hong","given":"Sungki","non-dropping-particle":"","parse-names":false,"suffix":""},{"dropping-particle":"","family":"Inoki","given":"Ken","non-dropping-particle":"","parse-names":false,"suffix":""}],"container-title":"Methods in enzymology","id":"ITEM-1","issue":"C","issued":{"date-parts":[["2009"]]},"page":"165-180","publisher":"Methods Enzymol","title":"Monitoring mammalian target of rapamycin (mTOR) activity","type":"article-journal","volume":"452"},"uris":["http://www.mendeley.com/documents/?uuid=3ab6bf97-3afb-31bc-9338-9653f50afbe7"]}],"mendeley":{"formattedCitation":"(37)","plainTextFormattedCitation":"(37)","previouslyFormattedCitation":"(37)"},"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(37)</w:t>
      </w:r>
      <w:r w:rsidRPr="00CA4ABC">
        <w:rPr>
          <w:rFonts w:cstheme="minorHAnsi"/>
          <w:color w:val="000000" w:themeColor="text1"/>
        </w:rPr>
        <w:fldChar w:fldCharType="end"/>
      </w:r>
      <w:r w:rsidRPr="00CA4ABC">
        <w:rPr>
          <w:rFonts w:cstheme="minorHAnsi"/>
          <w:color w:val="000000" w:themeColor="text1"/>
        </w:rPr>
        <w:t>. Having an awareness and understanding of techniques relating to muscle metabolism is warranted for research in this field to gain an understanding of outcome successes.</w:t>
      </w:r>
    </w:p>
    <w:p w14:paraId="6D8DAE7A" w14:textId="77777777" w:rsidR="004F4AF8" w:rsidRPr="00CA4ABC" w:rsidRDefault="004F4AF8" w:rsidP="00F42CB9">
      <w:pPr>
        <w:spacing w:line="360" w:lineRule="auto"/>
        <w:rPr>
          <w:rFonts w:cstheme="minorHAnsi"/>
          <w:color w:val="000000" w:themeColor="text1"/>
        </w:rPr>
      </w:pPr>
    </w:p>
    <w:p w14:paraId="6F6B7C46" w14:textId="3F117F64" w:rsidR="004F4AF8" w:rsidRPr="00CA4ABC" w:rsidRDefault="004F4AF8" w:rsidP="00F42CB9">
      <w:pPr>
        <w:pStyle w:val="Heading3"/>
        <w:spacing w:line="360" w:lineRule="auto"/>
        <w:rPr>
          <w:rFonts w:asciiTheme="minorHAnsi" w:hAnsiTheme="minorHAnsi" w:cstheme="minorHAnsi"/>
          <w:color w:val="000000" w:themeColor="text1"/>
        </w:rPr>
      </w:pPr>
      <w:bookmarkStart w:id="26" w:name="_Toc135384240"/>
      <w:r w:rsidRPr="00CA4ABC">
        <w:rPr>
          <w:rFonts w:asciiTheme="minorHAnsi" w:hAnsiTheme="minorHAnsi" w:cstheme="minorHAnsi"/>
          <w:color w:val="000000" w:themeColor="text1"/>
        </w:rPr>
        <w:t>1.2.4  Assessment of muscle mass, strength and function</w:t>
      </w:r>
      <w:bookmarkEnd w:id="26"/>
    </w:p>
    <w:p w14:paraId="098B704F" w14:textId="4C5D7BE2" w:rsidR="004F4AF8" w:rsidRPr="00CA4ABC" w:rsidRDefault="004F4AF8" w:rsidP="00F42CB9">
      <w:pPr>
        <w:spacing w:line="360" w:lineRule="auto"/>
        <w:ind w:firstLine="720"/>
        <w:rPr>
          <w:rFonts w:cstheme="minorHAnsi"/>
          <w:color w:val="000000" w:themeColor="text1"/>
        </w:rPr>
      </w:pPr>
      <w:r w:rsidRPr="00CA4ABC">
        <w:rPr>
          <w:rFonts w:cstheme="minorHAnsi"/>
          <w:color w:val="000000" w:themeColor="text1"/>
        </w:rPr>
        <w:t>To further a</w:t>
      </w:r>
      <w:r w:rsidR="004030CB" w:rsidRPr="00CA4ABC">
        <w:rPr>
          <w:rFonts w:cstheme="minorHAnsi"/>
          <w:color w:val="000000" w:themeColor="text1"/>
        </w:rPr>
        <w:t>ss</w:t>
      </w:r>
      <w:r w:rsidRPr="00CA4ABC">
        <w:rPr>
          <w:rFonts w:cstheme="minorHAnsi"/>
          <w:color w:val="000000" w:themeColor="text1"/>
        </w:rPr>
        <w:t>ess the success of an intervention, determining the impact it has on muscle mass, strength and function outcomes is of value. Muscle strength can be defined as</w:t>
      </w:r>
      <w:r w:rsidR="004030CB" w:rsidRPr="00CA4ABC">
        <w:rPr>
          <w:rFonts w:cstheme="minorHAnsi"/>
          <w:color w:val="000000" w:themeColor="text1"/>
        </w:rPr>
        <w:t xml:space="preserve"> "</w:t>
      </w:r>
      <w:r w:rsidRPr="00CA4ABC">
        <w:rPr>
          <w:rFonts w:cstheme="minorHAnsi"/>
          <w:color w:val="000000" w:themeColor="text1"/>
        </w:rPr>
        <w:t>the ability of a muscle group to develop maximal contractile force against a resistance in a single contraction</w:t>
      </w:r>
      <w:r w:rsidR="004030CB"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{"citationItems":[{"id":"ITEM-1","itemData":{"DOI":"10.1177/001872087001200307","ISSN":"15478181","PMID":"5483807","abstract":"Application of strength data to human engineering problems is often hampered by ambiguities of both terminology and data. This paper attempts to point out some of the problems. After defining “stre...","author":[{"dropping-particle":"","family":"Kroemer","given":"K. H.Eberhard","non-dropping-particle":"","parse-names":false,"suffix":""}],"container-title":"https://doi.org/10.1177/001872087001200307","id":"ITEM-1","issue":"3","issued":{"date-parts":[["2016","7","2"]]},"page":"297-313","publisher":"SAGE PublicationsSage CA: Los Angeles, CA","title":"Human Strength: Terminology, Measurement, and Interpretation of Data","type":"article-journal","volume":"12"},"uris":["http://www.mendeley.com/documents/?uuid=c9bbfd2a-9ef8-3184-b4b2-e63b9ecb1c36"]}],"mendeley":{"formattedCitation":"(38)","plainTextFormattedCitation":"(38)","previouslyFormattedCitation":"(38)"},"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(38)</w:t>
      </w:r>
      <w:r w:rsidRPr="00CA4ABC">
        <w:rPr>
          <w:rFonts w:cstheme="minorHAnsi"/>
          <w:color w:val="000000" w:themeColor="text1"/>
        </w:rPr>
        <w:fldChar w:fldCharType="end"/>
      </w:r>
      <w:r w:rsidRPr="00CA4ABC">
        <w:rPr>
          <w:rFonts w:cstheme="minorHAnsi"/>
          <w:color w:val="000000" w:themeColor="text1"/>
        </w:rPr>
        <w:t>. Muscle function links to muscle strength, power (</w:t>
      </w:r>
      <w:r w:rsidR="004030CB" w:rsidRPr="00CA4ABC">
        <w:rPr>
          <w:rFonts w:cstheme="minorHAnsi"/>
          <w:color w:val="000000" w:themeColor="text1"/>
        </w:rPr>
        <w:t xml:space="preserve">the </w:t>
      </w:r>
      <w:r w:rsidRPr="00CA4ABC">
        <w:rPr>
          <w:rFonts w:cstheme="minorHAnsi"/>
          <w:color w:val="000000" w:themeColor="text1"/>
        </w:rPr>
        <w:t xml:space="preserve">ability to exert a force as rapidly as possible) and muscular endurance (the ability of </w:t>
      </w:r>
      <w:r w:rsidR="004030CB" w:rsidRPr="00CA4ABC">
        <w:rPr>
          <w:rFonts w:cstheme="minorHAnsi"/>
          <w:color w:val="000000" w:themeColor="text1"/>
        </w:rPr>
        <w:t xml:space="preserve">a </w:t>
      </w:r>
      <w:r w:rsidRPr="00CA4ABC">
        <w:rPr>
          <w:rFonts w:cstheme="minorHAnsi"/>
          <w:color w:val="000000" w:themeColor="text1"/>
        </w:rPr>
        <w:t xml:space="preserve">muscle to exert force against resistance over a sustained period of time)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{"citationItems":[{"id":"ITEM-1","itemData":{"DOI":"10.1002/WSBM.1462","ISSN":"1939005X","PMID":"31407867","abstract":"Decades of research in skeletal muscle physiology have provided multiscale insights into the structural and functional complexity of this important anatomical tissue, designed to accomplish the task of generating contraction, force and movement. Skeletal muscle can be viewed as a biomechanical device with various interacting components including the autonomic nerves for impulse transmission, vasculature for efficient oxygenation, and embedded regulatory and metabolic machinery for maintaining cellular homeostasis. The “omics” revolution has propelled a new era in muscle research, allowing us to discern minute details of molecular cross-talk required for effective coordination between the myriad interacting components for efficient muscle function. The objective of this review is to provide a systems-level, comprehensive mapping the molecular mechanisms underlying skeletal muscle structure and function, in health and disease. We begin this review with a focus on molecular mechanisms underlying muscle tissue development (myogenesis), with an emphasis on satellite cells and muscle regeneration. We next review the molecular structure and mechanisms underlying the many structural components of the muscle: neuromuscular junction, sarcomere, cytoskeleton, extracellular matrix, and vasculature surrounding muscle. We highlight aberrant molecular mechanisms and their possible clinical or pathophysiological relevance. We particularly emphasize the impact of environmental stressors (inflammation and oxidative stress) in contributing to muscle pathophysiology including atrophy, hypertrophy, and fibrosis. This article is categorized under: Physiology &gt; Mammalian Physiology in Health and Disease Developmental Biology &gt; Developmental Processes in Health and Disease Models of Systems Properties and Processes &gt; Cellular Models.","author":[{"dropping-particle":"","family":"Mukund","given":"Kavitha","non-dropping-particle":"","parse-names":false,"suffix":""},{"dropping-particle":"","family":"Subramaniam","given":"Shankar","non-dropping-particle":"","parse-names":false,"suffix":""}],"container-title":"Wiley Interdisciplinary Reviews. Systems Biology and Medicine","id":"ITEM-1","issue":"1","issued":{"date-parts":[["2020","1","1"]]},"publisher":"Wiley-Blackwell","title":"Skeletal muscle: A review of molecular structure and function, in health and disease","type":"article-journal","volume":"12"},"uris":["http://www.mendeley.com/documents/?uuid=add2dab0-4c85-380f-8c7a-de3453d0ce3a"]}],"mendeley":{"formattedCitation":"(17)","plainTextFormattedCitation":"(17)","previouslyFormattedCitation":"(17)"},"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(17)</w:t>
      </w:r>
      <w:r w:rsidRPr="00CA4ABC">
        <w:rPr>
          <w:rFonts w:cstheme="minorHAnsi"/>
          <w:color w:val="000000" w:themeColor="text1"/>
        </w:rPr>
        <w:fldChar w:fldCharType="end"/>
      </w:r>
      <w:r w:rsidRPr="00CA4ABC">
        <w:rPr>
          <w:rFonts w:cstheme="minorHAnsi"/>
          <w:color w:val="000000" w:themeColor="text1"/>
        </w:rPr>
        <w:t>. Equipment and techniques to allow for accurate and reliable assessments of these features are required. Current</w:t>
      </w:r>
      <w:r w:rsidR="004030CB" w:rsidRPr="00CA4ABC">
        <w:rPr>
          <w:rFonts w:cstheme="minorHAnsi"/>
          <w:color w:val="000000" w:themeColor="text1"/>
        </w:rPr>
        <w:t>ly</w:t>
      </w:r>
      <w:r w:rsidRPr="00CA4ABC">
        <w:rPr>
          <w:rFonts w:cstheme="minorHAnsi"/>
          <w:color w:val="000000" w:themeColor="text1"/>
        </w:rPr>
        <w:t xml:space="preserve"> available techniques vary in complexity, ease of use and accuracy and all make assumptions which can influence their appropriateness in certain situations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{"citationItems":[{"id":"ITEM-1","itemData":{"DOI":"10.1136/ADC.2005.085522","ISSN":"00039888","PMID":"16790722","abstract":"Several aspects of body composition, in particular the amount and distribution of body fat and the amount and composition of lean mass, are now understood to be important health outcomes in infants and children. Their measurement is increasingly considered in clinical practice; however, paediatricians are often unsure as to which techniques are appropriate and suitable for application in specific contexts. This article summarises the pros and cons of measurement technologies currently available for paediatric application. Simple techniques are adequate for many purposes, and simple regional data may often be of greater value than \"whole body\" values obtained by more sophisticated approaches.","author":[{"dropping-particle":"","family":"Wells","given":"Jonathan C.K.","non-dropping-particle":"","parse-names":false,"suffix":""},{"dropping-particle":"","family":"Fewtrell","given":"M. S.","non-dropping-particle":"","parse-names":false,"suffix":""}],"container-title":"Archives of Disease in Childhood","id":"ITEM-1","issue":"7","issued":{"date-parts":[["2006","7"]]},"page":"612","publisher":"BMJ Publishing Group","title":"Measuring body composition","type":"article-journal","volume":"91"},"uris":["http://www.mendeley.com/documents/?uuid=9784c63f-3fee-3478-981d-edf452c72ae2"]},{"id":"ITEM-2","itemData":{"DOI":"10.1097/MCO.0B013E32830B5F23","ISSN":"13631950","PMID":"18685451","abstract":"Purpose of Review: The present study reviews the most recently developed and commonly used methods for the determination of human body composition in vivo with relevance for nutritional assessment. Recent Findings: Body composition measurement methods are continuously being perfected with the most commonly used methods being bioelectrical impedance analysis, dilution techniques, air displacement plethysmography, dual energy X-ray absorptiometry, and MRI or magnetic resonance spectroscopy. Recent developments include three-dimensional photonic scanning and quantitative magnetic resonance. Collectively, these techniques allow for the measurement of fat, fat-free mass, bone mineral content, total body water, extracellular water, total adipose tissue and its subdepots (visceral, subcutaneous, and intermuscular), skeletal muscle, select organs, and ectopic fat depots. Summary: There is an ongoing need to perfect methods that provide information beyond mass and structure (static measures) to kinetic measures that yield information on metabolic and biological functions. On the basis of the wide range of measurable properties, analytical methods and known body composition models, clinicians and scientists can quantify a number of body components and with longitudinal assessment, can track changes in health and disease with implications for understanding efficacy of nutritional and clinical interventions, diagnosis, prevention, and treatment in clinical settings. With the greater need to understand precursors of health risk beginning in childhood, a gap exists in appropriate in-vivo measurement methods beginning at birth. © 2008 Wolters Kluwer Health | Lippincott Williams &amp; Wilkins.","author":[{"dropping-particle":"","family":"Lee","given":"Seon Yeong","non-dropping-particle":"","parse-names":false,"suffix":""},{"dropping-particle":"","family":"Gallagher","given":"Dympna","non-dropping-particle":"","parse-names":false,"suffix":""}],"container-title":"Current opinion in clinical nutrition and metabolic care","id":"ITEM-2","issue":"5","issued":{"date-parts":[["2008","9"]]},"page":"566","publisher":"NIH Public Access","title":"Assessment methods in human body composition","type":"article-journal","volume":"11"},"uris":["http://www.mendeley.com/documents/?uuid=365c8604-6667-3939-bfa2-b85f384a3bb9"]}],"mendeley":{"formattedCitation":"(39,40)","plainTextFormattedCitation":"(39,40)","previouslyFormattedCitation":"(39,40)"},"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(39,40)</w:t>
      </w:r>
      <w:r w:rsidRPr="00CA4ABC">
        <w:rPr>
          <w:rFonts w:cstheme="minorHAnsi"/>
          <w:color w:val="000000" w:themeColor="text1"/>
        </w:rPr>
        <w:fldChar w:fldCharType="end"/>
      </w:r>
      <w:r w:rsidRPr="00CA4ABC">
        <w:rPr>
          <w:rFonts w:cstheme="minorHAnsi"/>
          <w:color w:val="000000" w:themeColor="text1"/>
        </w:rPr>
        <w:t xml:space="preserve">.  Some techniques may not be practical or affordable in field environments, so it is possible that a trade-off is required, and consideration should be paid to the strength and limitations of each technique. </w:t>
      </w:r>
      <w:r w:rsidRPr="00CA4ABC">
        <w:rPr>
          <w:rFonts w:cstheme="minorHAnsi"/>
          <w:color w:val="000000" w:themeColor="text1"/>
        </w:rPr>
        <w:fldChar w:fldCharType="begin"/>
      </w:r>
      <w:r w:rsidRPr="00CA4ABC">
        <w:rPr>
          <w:rFonts w:cstheme="minorHAnsi"/>
          <w:color w:val="000000" w:themeColor="text1"/>
        </w:rPr>
        <w:instrText xml:space="preserve"> REF _Ref120702480 \h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Table </w:t>
      </w:r>
      <w:r w:rsidRPr="00CA4ABC">
        <w:rPr>
          <w:rFonts w:cstheme="minorHAnsi"/>
          <w:noProof/>
          <w:color w:val="000000" w:themeColor="text1"/>
        </w:rPr>
        <w:t>1</w:t>
      </w:r>
      <w:r w:rsidRPr="00CA4ABC">
        <w:rPr>
          <w:rFonts w:cstheme="minorHAnsi"/>
          <w:color w:val="000000" w:themeColor="text1"/>
        </w:rPr>
        <w:fldChar w:fldCharType="end"/>
      </w:r>
      <w:r w:rsidRPr="00CA4ABC">
        <w:rPr>
          <w:rFonts w:cstheme="minorHAnsi"/>
          <w:color w:val="000000" w:themeColor="text1"/>
        </w:rPr>
        <w:t xml:space="preserve"> outlines the common protocols used to take readouts for muscle mass, strength and function.  </w:t>
      </w:r>
    </w:p>
    <w:p w14:paraId="4560494F" w14:textId="77777777" w:rsidR="004F4AF8" w:rsidRPr="00CA4ABC" w:rsidRDefault="004F4AF8" w:rsidP="00F42CB9">
      <w:pPr>
        <w:spacing w:line="360" w:lineRule="auto"/>
        <w:rPr>
          <w:rFonts w:cstheme="minorHAnsi"/>
          <w:color w:val="000000" w:themeColor="text1"/>
        </w:rPr>
      </w:pPr>
    </w:p>
    <w:p w14:paraId="19E947E6" w14:textId="364A42D5" w:rsidR="004F4AF8" w:rsidRPr="00CA4ABC" w:rsidRDefault="004F4AF8" w:rsidP="00F42CB9">
      <w:pPr>
        <w:spacing w:line="360" w:lineRule="auto"/>
        <w:rPr>
          <w:rFonts w:cstheme="minorHAnsi"/>
          <w:color w:val="000000" w:themeColor="text1"/>
        </w:rPr>
        <w:sectPr w:rsidR="004F4AF8" w:rsidRPr="00CA4ABC" w:rsidSect="00EF1855">
          <w:pgSz w:w="11900" w:h="16840"/>
          <w:pgMar w:top="1440" w:right="1440" w:bottom="1440" w:left="1440" w:header="708" w:footer="708" w:gutter="0"/>
          <w:cols w:space="708"/>
          <w:docGrid w:linePitch="360"/>
        </w:sectPr>
      </w:pPr>
      <w:r w:rsidRPr="00CA4ABC">
        <w:rPr>
          <w:rFonts w:cstheme="minorHAnsi"/>
          <w:color w:val="000000" w:themeColor="text1"/>
        </w:rPr>
        <w:t xml:space="preserve">Assessing one parameter is often suboptimal on its own and </w:t>
      </w:r>
      <w:r w:rsidR="00CF53C2" w:rsidRPr="00CA4ABC">
        <w:rPr>
          <w:rFonts w:cstheme="minorHAnsi"/>
          <w:color w:val="000000" w:themeColor="text1"/>
        </w:rPr>
        <w:t xml:space="preserve">measuring </w:t>
      </w:r>
      <w:r w:rsidRPr="00CA4ABC">
        <w:rPr>
          <w:rFonts w:cstheme="minorHAnsi"/>
          <w:color w:val="000000" w:themeColor="text1"/>
        </w:rPr>
        <w:t>multiple</w:t>
      </w:r>
      <w:r w:rsidR="00CF53C2" w:rsidRPr="00CA4ABC">
        <w:rPr>
          <w:rFonts w:cstheme="minorHAnsi"/>
          <w:color w:val="000000" w:themeColor="text1"/>
        </w:rPr>
        <w:t xml:space="preserve"> aspect</w:t>
      </w:r>
      <w:r w:rsidRPr="00CA4ABC">
        <w:rPr>
          <w:rFonts w:cstheme="minorHAnsi"/>
          <w:color w:val="000000" w:themeColor="text1"/>
        </w:rPr>
        <w:t>s</w:t>
      </w:r>
      <w:r w:rsidR="00CF53C2" w:rsidRPr="00CA4ABC">
        <w:rPr>
          <w:rFonts w:cstheme="minorHAnsi"/>
          <w:color w:val="000000" w:themeColor="text1"/>
        </w:rPr>
        <w:t xml:space="preserve"> of</w:t>
      </w:r>
      <w:r w:rsidRPr="00CA4ABC">
        <w:rPr>
          <w:rFonts w:cstheme="minorHAnsi"/>
          <w:color w:val="000000" w:themeColor="text1"/>
        </w:rPr>
        <w:t xml:space="preserve"> muscle mass, strength and function provide</w:t>
      </w:r>
      <w:r w:rsidR="00D75599" w:rsidRPr="00CA4ABC">
        <w:rPr>
          <w:rFonts w:cstheme="minorHAnsi"/>
          <w:color w:val="000000" w:themeColor="text1"/>
        </w:rPr>
        <w:t>s</w:t>
      </w:r>
      <w:r w:rsidRPr="00CA4ABC">
        <w:rPr>
          <w:rFonts w:cstheme="minorHAnsi"/>
          <w:color w:val="000000" w:themeColor="text1"/>
        </w:rPr>
        <w:t xml:space="preserve"> a better overview o</w:t>
      </w:r>
      <w:r w:rsidR="004030CB" w:rsidRPr="00CA4ABC">
        <w:rPr>
          <w:rFonts w:cstheme="minorHAnsi"/>
          <w:color w:val="000000" w:themeColor="text1"/>
        </w:rPr>
        <w:t>f</w:t>
      </w:r>
      <w:r w:rsidRPr="00CA4ABC">
        <w:rPr>
          <w:rFonts w:cstheme="minorHAnsi"/>
          <w:color w:val="000000" w:themeColor="text1"/>
        </w:rPr>
        <w:t xml:space="preserve"> an individual’s muscle status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{"citationItems":[{"id":"ITEM-1","itemData":{"DOI":"10.1136/ADC.2005.085522","ISSN":"00039888","PMID":"16790722","abstract":"Several aspects of body composition, in particular the amount and distribution of body fat and the amount and composition of lean mass, are now understood to be important health outcomes in infants and children. Their measurement is increasingly considered in clinical practice; however, paediatricians are often unsure as to which techniques are appropriate and suitable for application in specific contexts. This article summarises the pros and cons of measurement technologies currently available for paediatric application. Simple techniques are adequate for many purposes, and simple regional data may often be of greater value than \"whole body\" values obtained by more sophisticated approaches.","author":[{"dropping-particle":"","family":"Wells","given":"Jonathan C.K.","non-dropping-particle":"","parse-names":false,"suffix":""},{"dropping-particle":"","family":"Fewtrell","given":"M. S.","non-dropping-particle":"","parse-names":false,"suffix":""}],"container-title":"Archives of Disease in Childhood","id":"ITEM-1","issue":"7","issued":{"date-parts":[["2006","7"]]},"page":"612","publisher":"BMJ Publishing Group","title":"Measuring body composition","type":"article-journal","volume":"91"},"uris":["http://www.mendeley.com/documents/?uuid=9784c63f-3fee-3478-981d-edf452c72ae2"]}],"mendeley":{"formattedCitation":"(39)","plainTextFormattedCitation":"(39)","previouslyFormattedCitation":"(39)"},"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(39)</w:t>
      </w:r>
      <w:r w:rsidRPr="00CA4ABC">
        <w:rPr>
          <w:rFonts w:cstheme="minorHAnsi"/>
          <w:color w:val="000000" w:themeColor="text1"/>
        </w:rPr>
        <w:fldChar w:fldCharType="end"/>
      </w:r>
      <w:r w:rsidRPr="00CA4ABC">
        <w:rPr>
          <w:rFonts w:cstheme="minorHAnsi"/>
          <w:color w:val="000000" w:themeColor="text1"/>
        </w:rPr>
        <w:t>. This is demonstrated in the overall requirements for diagnosing sarcopenia, as proposed by EWGSOP 2 (</w:t>
      </w:r>
      <w:r w:rsidRPr="00CA4ABC">
        <w:rPr>
          <w:rFonts w:cstheme="minorHAnsi"/>
          <w:color w:val="000000" w:themeColor="text1"/>
        </w:rPr>
        <w:fldChar w:fldCharType="begin"/>
      </w:r>
      <w:r w:rsidRPr="00CA4ABC">
        <w:rPr>
          <w:rFonts w:cstheme="minorHAnsi"/>
          <w:color w:val="000000" w:themeColor="text1"/>
        </w:rPr>
        <w:instrText xml:space="preserve"> REF _Ref120717899 \h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Table </w:t>
      </w:r>
      <w:r w:rsidRPr="00CA4ABC">
        <w:rPr>
          <w:rFonts w:cstheme="minorHAnsi"/>
          <w:noProof/>
          <w:color w:val="000000" w:themeColor="text1"/>
        </w:rPr>
        <w:t>2</w:t>
      </w:r>
      <w:r w:rsidRPr="00CA4ABC">
        <w:rPr>
          <w:rFonts w:cstheme="minorHAnsi"/>
          <w:color w:val="000000" w:themeColor="text1"/>
        </w:rPr>
        <w:fldChar w:fldCharType="end"/>
      </w:r>
      <w:r w:rsidRPr="00CA4ABC">
        <w:rPr>
          <w:rFonts w:cstheme="minorHAnsi"/>
          <w:color w:val="000000" w:themeColor="text1"/>
        </w:rPr>
        <w:t>). Cross</w:t>
      </w:r>
      <w:r w:rsidR="0057585D" w:rsidRPr="00CA4ABC">
        <w:rPr>
          <w:rFonts w:cstheme="minorHAnsi"/>
          <w:color w:val="000000" w:themeColor="text1"/>
        </w:rPr>
        <w:t>-</w:t>
      </w:r>
      <w:r w:rsidRPr="00CA4ABC">
        <w:rPr>
          <w:rFonts w:cstheme="minorHAnsi"/>
          <w:color w:val="000000" w:themeColor="text1"/>
        </w:rPr>
        <w:t xml:space="preserve">over between muscle parameter measurement techniques and sarcopenia diagnosis </w:t>
      </w:r>
      <w:r w:rsidR="0057585D" w:rsidRPr="00CA4ABC">
        <w:rPr>
          <w:rFonts w:cstheme="minorHAnsi"/>
          <w:color w:val="000000" w:themeColor="text1"/>
        </w:rPr>
        <w:t>is</w:t>
      </w:r>
      <w:r w:rsidRPr="00CA4ABC">
        <w:rPr>
          <w:rFonts w:cstheme="minorHAnsi"/>
          <w:color w:val="000000" w:themeColor="text1"/>
        </w:rPr>
        <w:t xml:space="preserve"> apparent. However, it should be noted diagnosing muscle loss conditions need to be done in clinical settings with limited time/equipment</w:t>
      </w:r>
      <w:r w:rsidR="00C82209" w:rsidRPr="00CA4ABC">
        <w:rPr>
          <w:rFonts w:cstheme="minorHAnsi"/>
          <w:color w:val="000000" w:themeColor="text1"/>
        </w:rPr>
        <w:t>,</w:t>
      </w:r>
      <w:r w:rsidRPr="00CA4ABC">
        <w:rPr>
          <w:rFonts w:cstheme="minorHAnsi"/>
          <w:color w:val="000000" w:themeColor="text1"/>
        </w:rPr>
        <w:t xml:space="preserve"> and this may </w:t>
      </w:r>
      <w:r w:rsidR="00D75599" w:rsidRPr="00CA4ABC">
        <w:rPr>
          <w:rFonts w:cstheme="minorHAnsi"/>
          <w:color w:val="000000" w:themeColor="text1"/>
        </w:rPr>
        <w:t xml:space="preserve">impact </w:t>
      </w:r>
      <w:r w:rsidRPr="00CA4ABC">
        <w:rPr>
          <w:rFonts w:cstheme="minorHAnsi"/>
          <w:color w:val="000000" w:themeColor="text1"/>
        </w:rPr>
        <w:t xml:space="preserve">measurement accuracy. In </w:t>
      </w:r>
      <w:r w:rsidR="00D75599" w:rsidRPr="00CA4ABC">
        <w:rPr>
          <w:rFonts w:cstheme="minorHAnsi"/>
          <w:color w:val="000000" w:themeColor="text1"/>
        </w:rPr>
        <w:t xml:space="preserve">a </w:t>
      </w:r>
      <w:r w:rsidRPr="00CA4ABC">
        <w:rPr>
          <w:rFonts w:cstheme="minorHAnsi"/>
          <w:color w:val="000000" w:themeColor="text1"/>
        </w:rPr>
        <w:t>research</w:t>
      </w:r>
      <w:r w:rsidR="00D75599" w:rsidRPr="00CA4ABC">
        <w:rPr>
          <w:rFonts w:cstheme="minorHAnsi"/>
          <w:color w:val="000000" w:themeColor="text1"/>
        </w:rPr>
        <w:t xml:space="preserve"> setting</w:t>
      </w:r>
      <w:r w:rsidRPr="00CA4ABC">
        <w:rPr>
          <w:rFonts w:cstheme="minorHAnsi"/>
          <w:color w:val="000000" w:themeColor="text1"/>
        </w:rPr>
        <w:t>,</w:t>
      </w:r>
      <w:r w:rsidR="00D75599" w:rsidRPr="00CA4ABC">
        <w:rPr>
          <w:rFonts w:cstheme="minorHAnsi"/>
          <w:color w:val="000000" w:themeColor="text1"/>
        </w:rPr>
        <w:t xml:space="preserve"> while</w:t>
      </w:r>
      <w:r w:rsidRPr="00CA4ABC">
        <w:rPr>
          <w:rFonts w:cstheme="minorHAnsi"/>
          <w:color w:val="000000" w:themeColor="text1"/>
        </w:rPr>
        <w:t xml:space="preserve"> it is important to take the most thorough and reliable measurements, individual characteristics and demographics may need to be </w:t>
      </w:r>
      <w:r w:rsidR="00D75599" w:rsidRPr="00CA4ABC">
        <w:rPr>
          <w:rFonts w:cstheme="minorHAnsi"/>
          <w:color w:val="000000" w:themeColor="text1"/>
        </w:rPr>
        <w:t>taken into account</w:t>
      </w:r>
      <w:r w:rsidRPr="00CA4ABC">
        <w:rPr>
          <w:rFonts w:cstheme="minorHAnsi"/>
          <w:color w:val="000000" w:themeColor="text1"/>
        </w:rPr>
        <w:t xml:space="preserve"> </w:t>
      </w:r>
      <w:r w:rsidR="00D75599" w:rsidRPr="00CA4ABC">
        <w:rPr>
          <w:rFonts w:cstheme="minorHAnsi"/>
          <w:color w:val="000000" w:themeColor="text1"/>
        </w:rPr>
        <w:t>for</w:t>
      </w:r>
      <w:r w:rsidRPr="00CA4ABC">
        <w:rPr>
          <w:rFonts w:cstheme="minorHAnsi"/>
          <w:color w:val="000000" w:themeColor="text1"/>
        </w:rPr>
        <w:t xml:space="preserve"> tool selection, for example</w:t>
      </w:r>
      <w:r w:rsidR="00C82209" w:rsidRPr="00CA4ABC">
        <w:rPr>
          <w:rFonts w:cstheme="minorHAnsi"/>
          <w:color w:val="000000" w:themeColor="text1"/>
        </w:rPr>
        <w:t>,</w:t>
      </w:r>
      <w:r w:rsidRPr="00CA4ABC">
        <w:rPr>
          <w:rFonts w:cstheme="minorHAnsi"/>
          <w:color w:val="000000" w:themeColor="text1"/>
        </w:rPr>
        <w:t xml:space="preserve"> mobility and fitness level. Overall, muscle parameter selection is a key consideration for trial design and will receive attention for the intervention protocol design (chapter 6.)</w:t>
      </w:r>
    </w:p>
    <w:p w14:paraId="2578011F" w14:textId="77777777" w:rsidR="004F4AF8" w:rsidRPr="00CA4ABC" w:rsidRDefault="004F4AF8" w:rsidP="00F42CB9">
      <w:pPr>
        <w:spacing w:line="360" w:lineRule="auto"/>
        <w:rPr>
          <w:rFonts w:cstheme="minorHAnsi"/>
          <w:color w:val="000000" w:themeColor="text1"/>
          <w:shd w:val="clear" w:color="auto" w:fill="FFFFFF"/>
        </w:rPr>
      </w:pPr>
    </w:p>
    <w:tbl>
      <w:tblPr>
        <w:tblStyle w:val="TableGrid"/>
        <w:tblW w:w="16037" w:type="dxa"/>
        <w:tblInd w:w="-998" w:type="dxa"/>
        <w:tblLook w:val="04A0" w:firstRow="1" w:lastRow="0" w:firstColumn="1" w:lastColumn="0" w:noHBand="0" w:noVBand="1"/>
      </w:tblPr>
      <w:tblGrid>
        <w:gridCol w:w="1624"/>
        <w:gridCol w:w="2346"/>
        <w:gridCol w:w="3196"/>
        <w:gridCol w:w="2889"/>
        <w:gridCol w:w="2855"/>
        <w:gridCol w:w="3127"/>
      </w:tblGrid>
      <w:tr w:rsidR="004F4AF8" w:rsidRPr="00CA4ABC" w14:paraId="22C3CCAF" w14:textId="77777777" w:rsidTr="00365825">
        <w:trPr>
          <w:trHeight w:val="408"/>
        </w:trPr>
        <w:tc>
          <w:tcPr>
            <w:tcW w:w="1624" w:type="dxa"/>
          </w:tcPr>
          <w:p w14:paraId="07CFCF71" w14:textId="77777777" w:rsidR="004F4AF8" w:rsidRPr="00CA4ABC" w:rsidRDefault="004F4AF8" w:rsidP="00F42CB9">
            <w:pPr>
              <w:spacing w:line="360" w:lineRule="auto"/>
              <w:jc w:val="center"/>
              <w:rPr>
                <w:rFonts w:cstheme="minorHAnsi"/>
                <w:color w:val="000000" w:themeColor="text1"/>
                <w:sz w:val="20"/>
                <w:szCs w:val="20"/>
              </w:rPr>
            </w:pPr>
          </w:p>
        </w:tc>
        <w:tc>
          <w:tcPr>
            <w:tcW w:w="2346" w:type="dxa"/>
          </w:tcPr>
          <w:p w14:paraId="4A55D8F9" w14:textId="77777777" w:rsidR="004F4AF8" w:rsidRPr="00CA4ABC" w:rsidRDefault="004F4AF8" w:rsidP="00F42CB9">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Assessment technique</w:t>
            </w:r>
          </w:p>
        </w:tc>
        <w:tc>
          <w:tcPr>
            <w:tcW w:w="3196" w:type="dxa"/>
          </w:tcPr>
          <w:p w14:paraId="5A71A7C4" w14:textId="77777777" w:rsidR="004F4AF8" w:rsidRPr="00CA4ABC" w:rsidRDefault="004F4AF8" w:rsidP="00F42CB9">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Description</w:t>
            </w:r>
          </w:p>
        </w:tc>
        <w:tc>
          <w:tcPr>
            <w:tcW w:w="2889" w:type="dxa"/>
          </w:tcPr>
          <w:p w14:paraId="553DE5D7" w14:textId="77777777" w:rsidR="004F4AF8" w:rsidRPr="00CA4ABC" w:rsidRDefault="004F4AF8" w:rsidP="00F42CB9">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Read-outs provided</w:t>
            </w:r>
          </w:p>
        </w:tc>
        <w:tc>
          <w:tcPr>
            <w:tcW w:w="2855" w:type="dxa"/>
          </w:tcPr>
          <w:p w14:paraId="42A74890" w14:textId="77777777" w:rsidR="004F4AF8" w:rsidRPr="00CA4ABC" w:rsidRDefault="004F4AF8" w:rsidP="00F42CB9">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Strengths</w:t>
            </w:r>
          </w:p>
        </w:tc>
        <w:tc>
          <w:tcPr>
            <w:tcW w:w="3127" w:type="dxa"/>
          </w:tcPr>
          <w:p w14:paraId="2697A5E3" w14:textId="77777777" w:rsidR="004F4AF8" w:rsidRPr="00CA4ABC" w:rsidRDefault="004F4AF8" w:rsidP="00F42CB9">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Limitations</w:t>
            </w:r>
          </w:p>
        </w:tc>
      </w:tr>
      <w:tr w:rsidR="004F4AF8" w:rsidRPr="00CA4ABC" w14:paraId="02D49C80" w14:textId="77777777" w:rsidTr="00365825">
        <w:trPr>
          <w:trHeight w:val="994"/>
        </w:trPr>
        <w:tc>
          <w:tcPr>
            <w:tcW w:w="1624" w:type="dxa"/>
            <w:vMerge w:val="restart"/>
          </w:tcPr>
          <w:p w14:paraId="4C901989"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Muscle Mass (body composition)</w:t>
            </w:r>
          </w:p>
        </w:tc>
        <w:tc>
          <w:tcPr>
            <w:tcW w:w="2346" w:type="dxa"/>
          </w:tcPr>
          <w:p w14:paraId="4F306CF1" w14:textId="75034C14"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Dual</w:t>
            </w:r>
            <w:r w:rsidR="008E5721" w:rsidRPr="00CA4ABC">
              <w:rPr>
                <w:rFonts w:cstheme="minorHAnsi"/>
                <w:color w:val="000000" w:themeColor="text1"/>
                <w:sz w:val="20"/>
                <w:szCs w:val="20"/>
              </w:rPr>
              <w:t>-</w:t>
            </w:r>
            <w:r w:rsidRPr="00CA4ABC">
              <w:rPr>
                <w:rFonts w:cstheme="minorHAnsi"/>
                <w:color w:val="000000" w:themeColor="text1"/>
                <w:sz w:val="20"/>
                <w:szCs w:val="20"/>
              </w:rPr>
              <w:t>energy X-ray absorptiometry (DXA)</w:t>
            </w:r>
          </w:p>
        </w:tc>
        <w:tc>
          <w:tcPr>
            <w:tcW w:w="3196" w:type="dxa"/>
          </w:tcPr>
          <w:p w14:paraId="0FD04108"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X-rays are attenuated to different extents dependent on a tissue’s thickness, density and chemical composition.</w:t>
            </w:r>
          </w:p>
        </w:tc>
        <w:tc>
          <w:tcPr>
            <w:tcW w:w="2889" w:type="dxa"/>
          </w:tcPr>
          <w:p w14:paraId="435B7D76"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Bone mineral density, fat, lean soft tissue and visceral adipose tissue mass</w:t>
            </w:r>
          </w:p>
        </w:tc>
        <w:tc>
          <w:tcPr>
            <w:tcW w:w="2855" w:type="dxa"/>
          </w:tcPr>
          <w:p w14:paraId="27E9027E"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Referred to as the reference. Quick, safe.</w:t>
            </w:r>
          </w:p>
        </w:tc>
        <w:tc>
          <w:tcPr>
            <w:tcW w:w="3127" w:type="dxa"/>
          </w:tcPr>
          <w:p w14:paraId="31116175" w14:textId="58F4FAEE"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Variability between manufacture</w:t>
            </w:r>
            <w:r w:rsidR="00C92D46" w:rsidRPr="00CA4ABC">
              <w:rPr>
                <w:rFonts w:cstheme="minorHAnsi"/>
                <w:color w:val="000000" w:themeColor="text1"/>
                <w:sz w:val="20"/>
                <w:szCs w:val="20"/>
              </w:rPr>
              <w:t>r</w:t>
            </w:r>
            <w:r w:rsidRPr="00CA4ABC">
              <w:rPr>
                <w:rFonts w:cstheme="minorHAnsi"/>
                <w:color w:val="000000" w:themeColor="text1"/>
                <w:sz w:val="20"/>
                <w:szCs w:val="20"/>
              </w:rPr>
              <w:t>s, models and software. Issues fitting on the machine bed.</w:t>
            </w:r>
          </w:p>
        </w:tc>
      </w:tr>
      <w:tr w:rsidR="004F4AF8" w:rsidRPr="00CA4ABC" w14:paraId="451C02D4" w14:textId="77777777" w:rsidTr="00365825">
        <w:trPr>
          <w:trHeight w:val="1263"/>
        </w:trPr>
        <w:tc>
          <w:tcPr>
            <w:tcW w:w="1624" w:type="dxa"/>
            <w:vMerge/>
          </w:tcPr>
          <w:p w14:paraId="3184898E"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449DE920"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Densitometric methods – hydrostatic weighing, air displacement plethysmography (BodPod)</w:t>
            </w:r>
          </w:p>
        </w:tc>
        <w:tc>
          <w:tcPr>
            <w:tcW w:w="3196" w:type="dxa"/>
          </w:tcPr>
          <w:p w14:paraId="7905479D"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Estimations made using the ratio of body mass to body volume</w:t>
            </w:r>
          </w:p>
        </w:tc>
        <w:tc>
          <w:tcPr>
            <w:tcW w:w="2889" w:type="dxa"/>
          </w:tcPr>
          <w:p w14:paraId="5A994DD1" w14:textId="77777777" w:rsidR="004F4AF8" w:rsidRPr="00CA4ABC" w:rsidRDefault="004F4AF8" w:rsidP="00F42CB9">
            <w:pPr>
              <w:spacing w:line="360" w:lineRule="auto"/>
              <w:rPr>
                <w:rFonts w:cstheme="minorHAnsi"/>
                <w:color w:val="000000" w:themeColor="text1"/>
                <w:sz w:val="20"/>
                <w:szCs w:val="20"/>
              </w:rPr>
            </w:pPr>
          </w:p>
        </w:tc>
        <w:tc>
          <w:tcPr>
            <w:tcW w:w="2855" w:type="dxa"/>
          </w:tcPr>
          <w:p w14:paraId="464B2776" w14:textId="77777777" w:rsidR="004F4AF8" w:rsidRPr="00CA4ABC" w:rsidRDefault="004F4AF8" w:rsidP="00F42CB9">
            <w:pPr>
              <w:spacing w:line="360" w:lineRule="auto"/>
              <w:rPr>
                <w:rFonts w:cstheme="minorHAnsi"/>
                <w:color w:val="000000" w:themeColor="text1"/>
                <w:sz w:val="20"/>
                <w:szCs w:val="20"/>
              </w:rPr>
            </w:pPr>
          </w:p>
        </w:tc>
        <w:tc>
          <w:tcPr>
            <w:tcW w:w="3127" w:type="dxa"/>
          </w:tcPr>
          <w:p w14:paraId="4C35C038"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Specialised equipment makes field measurements unattainable.</w:t>
            </w:r>
          </w:p>
        </w:tc>
      </w:tr>
      <w:tr w:rsidR="004F4AF8" w:rsidRPr="00CA4ABC" w14:paraId="74F8697E" w14:textId="77777777" w:rsidTr="00365825">
        <w:trPr>
          <w:trHeight w:val="1253"/>
        </w:trPr>
        <w:tc>
          <w:tcPr>
            <w:tcW w:w="1624" w:type="dxa"/>
            <w:vMerge/>
          </w:tcPr>
          <w:p w14:paraId="5EA55ABA"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08967800"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Skin folds</w:t>
            </w:r>
          </w:p>
        </w:tc>
        <w:tc>
          <w:tcPr>
            <w:tcW w:w="3196" w:type="dxa"/>
          </w:tcPr>
          <w:p w14:paraId="0F865718"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Measuring the thickness of subcutaneous adipose tissue at various landmark sites using calliper instruments</w:t>
            </w:r>
          </w:p>
        </w:tc>
        <w:tc>
          <w:tcPr>
            <w:tcW w:w="2889" w:type="dxa"/>
          </w:tcPr>
          <w:p w14:paraId="2FC7E4F3"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Millimetres measurement at each landmark which can be totalled together.</w:t>
            </w:r>
          </w:p>
        </w:tc>
        <w:tc>
          <w:tcPr>
            <w:tcW w:w="2855" w:type="dxa"/>
          </w:tcPr>
          <w:p w14:paraId="22A6FEB8"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Portable and able to be used in field settings. </w:t>
            </w:r>
          </w:p>
        </w:tc>
        <w:tc>
          <w:tcPr>
            <w:tcW w:w="3127" w:type="dxa"/>
          </w:tcPr>
          <w:p w14:paraId="7B869469" w14:textId="536111FE"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Highly susceptible to human error. Inter and intra</w:t>
            </w:r>
            <w:r w:rsidR="008E5721" w:rsidRPr="00CA4ABC">
              <w:rPr>
                <w:rFonts w:cstheme="minorHAnsi"/>
                <w:color w:val="000000" w:themeColor="text1"/>
                <w:sz w:val="20"/>
                <w:szCs w:val="20"/>
              </w:rPr>
              <w:t>-</w:t>
            </w:r>
            <w:r w:rsidRPr="00CA4ABC">
              <w:rPr>
                <w:rFonts w:cstheme="minorHAnsi"/>
                <w:color w:val="000000" w:themeColor="text1"/>
                <w:sz w:val="20"/>
                <w:szCs w:val="20"/>
              </w:rPr>
              <w:t>recorder differences. Inaccuracy of prediction equations for converting to body density readouts.</w:t>
            </w:r>
          </w:p>
        </w:tc>
      </w:tr>
      <w:tr w:rsidR="004F4AF8" w:rsidRPr="00CA4ABC" w14:paraId="66F1C0BE" w14:textId="77777777" w:rsidTr="00365825">
        <w:trPr>
          <w:trHeight w:val="988"/>
        </w:trPr>
        <w:tc>
          <w:tcPr>
            <w:tcW w:w="1624" w:type="dxa"/>
            <w:vMerge/>
          </w:tcPr>
          <w:p w14:paraId="78F3EF98"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413B9EEB"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Bioelectrical impedance</w:t>
            </w:r>
          </w:p>
        </w:tc>
        <w:tc>
          <w:tcPr>
            <w:tcW w:w="3196" w:type="dxa"/>
          </w:tcPr>
          <w:p w14:paraId="274C6B39" w14:textId="68B21FB6"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 low-level electrical current is pass</w:t>
            </w:r>
            <w:r w:rsidR="00CC4188" w:rsidRPr="00CA4ABC">
              <w:rPr>
                <w:rFonts w:cstheme="minorHAnsi"/>
                <w:color w:val="000000" w:themeColor="text1"/>
                <w:sz w:val="20"/>
                <w:szCs w:val="20"/>
              </w:rPr>
              <w:t>ed</w:t>
            </w:r>
            <w:r w:rsidRPr="00CA4ABC">
              <w:rPr>
                <w:rFonts w:cstheme="minorHAnsi"/>
                <w:color w:val="000000" w:themeColor="text1"/>
                <w:sz w:val="20"/>
                <w:szCs w:val="20"/>
              </w:rPr>
              <w:t xml:space="preserve"> around the body. Water content of tissue influence</w:t>
            </w:r>
            <w:r w:rsidR="00CC4188" w:rsidRPr="00CA4ABC">
              <w:rPr>
                <w:rFonts w:cstheme="minorHAnsi"/>
                <w:color w:val="000000" w:themeColor="text1"/>
                <w:sz w:val="20"/>
                <w:szCs w:val="20"/>
              </w:rPr>
              <w:t>s</w:t>
            </w:r>
            <w:r w:rsidRPr="00CA4ABC">
              <w:rPr>
                <w:rFonts w:cstheme="minorHAnsi"/>
                <w:color w:val="000000" w:themeColor="text1"/>
                <w:sz w:val="20"/>
                <w:szCs w:val="20"/>
              </w:rPr>
              <w:t xml:space="preserve"> current flow.</w:t>
            </w:r>
          </w:p>
        </w:tc>
        <w:tc>
          <w:tcPr>
            <w:tcW w:w="2889" w:type="dxa"/>
          </w:tcPr>
          <w:p w14:paraId="39BA38FB"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Impedance measured. Lower impedance suggests more fat free mass as water content is higher in these tissues.</w:t>
            </w:r>
          </w:p>
        </w:tc>
        <w:tc>
          <w:tcPr>
            <w:tcW w:w="2855" w:type="dxa"/>
          </w:tcPr>
          <w:p w14:paraId="3828D5C4"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Quick</w:t>
            </w:r>
          </w:p>
        </w:tc>
        <w:tc>
          <w:tcPr>
            <w:tcW w:w="3127" w:type="dxa"/>
          </w:tcPr>
          <w:p w14:paraId="119D9F37" w14:textId="109A2164"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Affected by hydration status. Can’t be used if </w:t>
            </w:r>
            <w:r w:rsidR="008E5721" w:rsidRPr="00CA4ABC">
              <w:rPr>
                <w:rFonts w:cstheme="minorHAnsi"/>
                <w:color w:val="000000" w:themeColor="text1"/>
                <w:sz w:val="20"/>
                <w:szCs w:val="20"/>
              </w:rPr>
              <w:t xml:space="preserve">an </w:t>
            </w:r>
            <w:r w:rsidRPr="00CA4ABC">
              <w:rPr>
                <w:rFonts w:cstheme="minorHAnsi"/>
                <w:color w:val="000000" w:themeColor="text1"/>
                <w:sz w:val="20"/>
                <w:szCs w:val="20"/>
              </w:rPr>
              <w:t>individuals is pregnant or has a pacemaker.</w:t>
            </w:r>
          </w:p>
        </w:tc>
      </w:tr>
      <w:tr w:rsidR="004F4AF8" w:rsidRPr="00CA4ABC" w14:paraId="7374358F" w14:textId="77777777" w:rsidTr="00365825">
        <w:trPr>
          <w:trHeight w:val="973"/>
        </w:trPr>
        <w:tc>
          <w:tcPr>
            <w:tcW w:w="1624" w:type="dxa"/>
            <w:vMerge/>
          </w:tcPr>
          <w:p w14:paraId="637C28F7"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2D3C73CF"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Ultrasound</w:t>
            </w:r>
          </w:p>
        </w:tc>
        <w:tc>
          <w:tcPr>
            <w:tcW w:w="3196" w:type="dxa"/>
          </w:tcPr>
          <w:p w14:paraId="03338B25"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Transducers that can send and receive sound</w:t>
            </w:r>
          </w:p>
        </w:tc>
        <w:tc>
          <w:tcPr>
            <w:tcW w:w="2889" w:type="dxa"/>
          </w:tcPr>
          <w:p w14:paraId="6B6DADBB"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Signals reflected back when tissue interface is encountered are presented on a screen</w:t>
            </w:r>
          </w:p>
        </w:tc>
        <w:tc>
          <w:tcPr>
            <w:tcW w:w="2855" w:type="dxa"/>
          </w:tcPr>
          <w:p w14:paraId="69AECDFA"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Many measurements can be obtained. Varying size and accuracy of devices available including portable devices.</w:t>
            </w:r>
          </w:p>
        </w:tc>
        <w:tc>
          <w:tcPr>
            <w:tcW w:w="3127" w:type="dxa"/>
          </w:tcPr>
          <w:p w14:paraId="7220E814"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High levels of training required by the measurer for both taking and interpreting the measurement.</w:t>
            </w:r>
          </w:p>
        </w:tc>
      </w:tr>
      <w:tr w:rsidR="004F4AF8" w:rsidRPr="00CA4ABC" w14:paraId="5D4BE488" w14:textId="77777777" w:rsidTr="00365825">
        <w:trPr>
          <w:trHeight w:val="649"/>
        </w:trPr>
        <w:tc>
          <w:tcPr>
            <w:tcW w:w="1624" w:type="dxa"/>
            <w:vMerge/>
          </w:tcPr>
          <w:p w14:paraId="4C37972D"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0BAF664D"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Anthropometric</w:t>
            </w:r>
          </w:p>
        </w:tc>
        <w:tc>
          <w:tcPr>
            <w:tcW w:w="3196" w:type="dxa"/>
          </w:tcPr>
          <w:p w14:paraId="62F4605A" w14:textId="435CDD8B"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Determin</w:t>
            </w:r>
            <w:r w:rsidR="008E5721" w:rsidRPr="00CA4ABC">
              <w:rPr>
                <w:rFonts w:cstheme="minorHAnsi"/>
                <w:color w:val="000000" w:themeColor="text1"/>
                <w:sz w:val="20"/>
                <w:szCs w:val="20"/>
              </w:rPr>
              <w:t>e</w:t>
            </w:r>
            <w:r w:rsidRPr="00CA4ABC">
              <w:rPr>
                <w:rFonts w:cstheme="minorHAnsi"/>
                <w:color w:val="000000" w:themeColor="text1"/>
                <w:sz w:val="20"/>
                <w:szCs w:val="20"/>
              </w:rPr>
              <w:t xml:space="preserve"> </w:t>
            </w:r>
            <w:r w:rsidR="008E5721" w:rsidRPr="00CA4ABC">
              <w:rPr>
                <w:rFonts w:cstheme="minorHAnsi"/>
                <w:color w:val="000000" w:themeColor="text1"/>
                <w:sz w:val="20"/>
                <w:szCs w:val="20"/>
              </w:rPr>
              <w:t xml:space="preserve">the </w:t>
            </w:r>
            <w:r w:rsidRPr="00CA4ABC">
              <w:rPr>
                <w:rFonts w:cstheme="minorHAnsi"/>
                <w:color w:val="000000" w:themeColor="text1"/>
                <w:sz w:val="20"/>
                <w:szCs w:val="20"/>
              </w:rPr>
              <w:t>size and proportions of the body.</w:t>
            </w:r>
          </w:p>
        </w:tc>
        <w:tc>
          <w:tcPr>
            <w:tcW w:w="2889" w:type="dxa"/>
          </w:tcPr>
          <w:p w14:paraId="5421485E"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Height, weight, circumference, skeletal diameter, segment length</w:t>
            </w:r>
          </w:p>
        </w:tc>
        <w:tc>
          <w:tcPr>
            <w:tcW w:w="2855" w:type="dxa"/>
          </w:tcPr>
          <w:p w14:paraId="1BE218AA"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Quick and easy to obtain</w:t>
            </w:r>
          </w:p>
        </w:tc>
        <w:tc>
          <w:tcPr>
            <w:tcW w:w="3127" w:type="dxa"/>
          </w:tcPr>
          <w:p w14:paraId="4BD8F56B"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Lowest level of information. </w:t>
            </w:r>
          </w:p>
        </w:tc>
      </w:tr>
      <w:tr w:rsidR="004F4AF8" w:rsidRPr="00CA4ABC" w14:paraId="271E535D" w14:textId="77777777" w:rsidTr="00365825">
        <w:trPr>
          <w:trHeight w:val="880"/>
        </w:trPr>
        <w:tc>
          <w:tcPr>
            <w:tcW w:w="1624" w:type="dxa"/>
            <w:vMerge w:val="restart"/>
          </w:tcPr>
          <w:p w14:paraId="438B2D5E"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Muscle strength</w:t>
            </w:r>
          </w:p>
        </w:tc>
        <w:tc>
          <w:tcPr>
            <w:tcW w:w="2346" w:type="dxa"/>
          </w:tcPr>
          <w:p w14:paraId="4D584192"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Dynamometers – Handgrip, lower back and leg muscle</w:t>
            </w:r>
          </w:p>
        </w:tc>
        <w:tc>
          <w:tcPr>
            <w:tcW w:w="3196" w:type="dxa"/>
          </w:tcPr>
          <w:p w14:paraId="4DD85062"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Maximum force exerted in a single contraction against an immovable resistance </w:t>
            </w:r>
          </w:p>
        </w:tc>
        <w:tc>
          <w:tcPr>
            <w:tcW w:w="2889" w:type="dxa"/>
          </w:tcPr>
          <w:p w14:paraId="7E90B157"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Isometric (static) strength</w:t>
            </w:r>
          </w:p>
        </w:tc>
        <w:tc>
          <w:tcPr>
            <w:tcW w:w="2855" w:type="dxa"/>
          </w:tcPr>
          <w:p w14:paraId="0FF04C79"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Quick and easy, portable equipment available.</w:t>
            </w:r>
          </w:p>
        </w:tc>
        <w:tc>
          <w:tcPr>
            <w:tcW w:w="3127" w:type="dxa"/>
          </w:tcPr>
          <w:p w14:paraId="10B266CC" w14:textId="34EF6001"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It has been proposed that declines in handgrip </w:t>
            </w:r>
            <w:r w:rsidR="008E5721" w:rsidRPr="00CA4ABC">
              <w:rPr>
                <w:rFonts w:cstheme="minorHAnsi"/>
                <w:color w:val="000000" w:themeColor="text1"/>
                <w:sz w:val="20"/>
                <w:szCs w:val="20"/>
              </w:rPr>
              <w:t>are</w:t>
            </w:r>
            <w:r w:rsidRPr="00CA4ABC">
              <w:rPr>
                <w:rFonts w:cstheme="minorHAnsi"/>
                <w:color w:val="000000" w:themeColor="text1"/>
                <w:sz w:val="20"/>
                <w:szCs w:val="20"/>
              </w:rPr>
              <w:t xml:space="preserve"> closely linked to cognitive dysfunction, rather than muscle declines, per se</w:t>
            </w:r>
            <w:r w:rsidR="00CC4188" w:rsidRPr="00CA4ABC">
              <w:rPr>
                <w:rFonts w:cstheme="minorHAnsi"/>
                <w:color w:val="000000" w:themeColor="text1"/>
                <w:sz w:val="20"/>
                <w:szCs w:val="20"/>
              </w:rPr>
              <w:t xml:space="preserve"> </w:t>
            </w:r>
            <w:r w:rsidR="00C92D46" w:rsidRPr="00CA4ABC">
              <w:rPr>
                <w:rFonts w:cstheme="minorHAnsi"/>
                <w:color w:val="000000" w:themeColor="text1"/>
                <w:sz w:val="20"/>
                <w:szCs w:val="20"/>
              </w:rPr>
              <w:fldChar w:fldCharType="begin" w:fldLock="1"/>
            </w:r>
            <w:r w:rsidR="005B258E" w:rsidRPr="00CA4ABC">
              <w:rPr>
                <w:rFonts w:cstheme="minorHAnsi"/>
                <w:color w:val="000000" w:themeColor="text1"/>
                <w:sz w:val="20"/>
                <w:szCs w:val="20"/>
              </w:rPr>
              <w:instrText>ADDIN CSL_CITATION {"citationItems":[{"id":"ITEM-1","itemData":{"DOI":"10.1016/J.NEUROBIOLAGING.2018.07.023","ISSN":"0197-4580","PMID":"30172220","abstract":"Demonstrations that grip strength has predictive power in relation to a range of health conditions—even when these are assessed decades later—has motivated claims that hand-grip dynamometry has the potential to serve as a “vital sign” for middle-aged and older adults. Central to this belief has been the assumption that grip strength is a simple measure of physical performance that provides a marker of muscle status in general, and sarcopenia in particular. It is now evident that while differences in grip strength between individuals are influenced by musculoskeletal factors, “lifespan” changes in grip strength within individuals are exquisitely sensitive to integrity of neural systems that mediate the control of coordinated movement. The close and pervasive relationships between age-related declines in maximum grip strength and expressions of cognitive dysfunction can therefore be understood in terms of the convergent functional and structural mediation of cognitive and motor processes by the human brain. In the context of aging, maximum grip strength is a discriminating measure of neurological function and brain health.","author":[{"dropping-particle":"","family":"Carson","given":"Richard G.","non-dropping-particle":"","parse-names":false,"suffix":""}],"container-title":"Neurobiology of Aging","id":"ITEM-1","issued":{"date-parts":[["2018","11","1"]]},"page":"189-222","publisher":"Elsevier","title":"Get a grip: individual variations in grip strength are a marker of brain health","type":"article-journal","volume":"71"},"uris":["http://www.mendeley.com/documents/?uuid=f6035490-c47c-3cbd-b59d-5a0dd1bdcfa4"]}],"mendeley":{"formattedCitation":"(41)","plainTextFormattedCitation":"(41)","previouslyFormattedCitation":"(41)"},"properties":{"noteIndex":0},"schema":"https://github.com/citation-style-language/schema/raw/master/csl-citation.json"}</w:instrText>
            </w:r>
            <w:r w:rsidR="00C92D46" w:rsidRPr="00CA4ABC">
              <w:rPr>
                <w:rFonts w:cstheme="minorHAnsi"/>
                <w:color w:val="000000" w:themeColor="text1"/>
                <w:sz w:val="20"/>
                <w:szCs w:val="20"/>
              </w:rPr>
              <w:fldChar w:fldCharType="separate"/>
            </w:r>
            <w:r w:rsidR="00AD72F0" w:rsidRPr="00CA4ABC">
              <w:rPr>
                <w:rFonts w:cstheme="minorHAnsi"/>
                <w:noProof/>
                <w:color w:val="000000" w:themeColor="text1"/>
                <w:sz w:val="20"/>
                <w:szCs w:val="20"/>
              </w:rPr>
              <w:t>(41)</w:t>
            </w:r>
            <w:r w:rsidR="00C92D46" w:rsidRPr="00CA4ABC">
              <w:rPr>
                <w:rFonts w:cstheme="minorHAnsi"/>
                <w:color w:val="000000" w:themeColor="text1"/>
                <w:sz w:val="20"/>
                <w:szCs w:val="20"/>
              </w:rPr>
              <w:fldChar w:fldCharType="end"/>
            </w:r>
          </w:p>
        </w:tc>
      </w:tr>
      <w:tr w:rsidR="004F4AF8" w:rsidRPr="00CA4ABC" w14:paraId="5E559C24" w14:textId="77777777" w:rsidTr="00365825">
        <w:trPr>
          <w:trHeight w:val="316"/>
        </w:trPr>
        <w:tc>
          <w:tcPr>
            <w:tcW w:w="1624" w:type="dxa"/>
            <w:vMerge/>
          </w:tcPr>
          <w:p w14:paraId="5170D38D"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7070ADF9"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1 rep maximum testing (1RM)</w:t>
            </w:r>
          </w:p>
        </w:tc>
        <w:tc>
          <w:tcPr>
            <w:tcW w:w="3196" w:type="dxa"/>
          </w:tcPr>
          <w:p w14:paraId="2DCF1CEC" w14:textId="2FF984BF" w:rsidR="004F4AF8" w:rsidRPr="00CA4ABC" w:rsidRDefault="00CC4188" w:rsidP="00F42CB9">
            <w:pPr>
              <w:spacing w:line="360" w:lineRule="auto"/>
              <w:rPr>
                <w:rFonts w:cstheme="minorHAnsi"/>
                <w:color w:val="000000" w:themeColor="text1"/>
                <w:sz w:val="20"/>
                <w:szCs w:val="20"/>
              </w:rPr>
            </w:pPr>
            <w:r w:rsidRPr="00CA4ABC">
              <w:rPr>
                <w:rFonts w:cstheme="minorHAnsi"/>
                <w:color w:val="202124"/>
                <w:sz w:val="20"/>
                <w:szCs w:val="20"/>
                <w:shd w:val="clear" w:color="auto" w:fill="FFFFFF"/>
              </w:rPr>
              <w:t>The maximal weight an individual can lift for only one repetition with</w:t>
            </w:r>
            <w:r w:rsidR="008E5721" w:rsidRPr="00CA4ABC">
              <w:rPr>
                <w:rFonts w:cstheme="minorHAnsi"/>
                <w:color w:val="202124"/>
                <w:sz w:val="20"/>
                <w:szCs w:val="20"/>
                <w:shd w:val="clear" w:color="auto" w:fill="FFFFFF"/>
              </w:rPr>
              <w:t xml:space="preserve"> the</w:t>
            </w:r>
            <w:r w:rsidRPr="00CA4ABC">
              <w:rPr>
                <w:rFonts w:cstheme="minorHAnsi"/>
                <w:color w:val="202124"/>
                <w:sz w:val="20"/>
                <w:szCs w:val="20"/>
                <w:shd w:val="clear" w:color="auto" w:fill="FFFFFF"/>
              </w:rPr>
              <w:t xml:space="preserve"> correct technique.</w:t>
            </w:r>
          </w:p>
        </w:tc>
        <w:tc>
          <w:tcPr>
            <w:tcW w:w="2889" w:type="dxa"/>
          </w:tcPr>
          <w:p w14:paraId="7D956020" w14:textId="77777777" w:rsidR="004F4AF8" w:rsidRPr="00CA4ABC" w:rsidRDefault="004F4AF8" w:rsidP="00F42CB9">
            <w:pPr>
              <w:spacing w:line="360" w:lineRule="auto"/>
              <w:rPr>
                <w:rFonts w:cstheme="minorHAnsi"/>
                <w:color w:val="000000" w:themeColor="text1"/>
                <w:sz w:val="20"/>
                <w:szCs w:val="20"/>
              </w:rPr>
            </w:pPr>
          </w:p>
        </w:tc>
        <w:tc>
          <w:tcPr>
            <w:tcW w:w="2855" w:type="dxa"/>
          </w:tcPr>
          <w:p w14:paraId="66959605"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Gives the most accurate readouts if done properly.</w:t>
            </w:r>
          </w:p>
        </w:tc>
        <w:tc>
          <w:tcPr>
            <w:tcW w:w="3127" w:type="dxa"/>
          </w:tcPr>
          <w:p w14:paraId="13A93B53"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Needs to be done safely. Gold standards require force plates paired with linear transducer, which are expensive. Adjustments may need to be made, especially for older adults</w:t>
            </w:r>
          </w:p>
        </w:tc>
      </w:tr>
      <w:tr w:rsidR="004F4AF8" w:rsidRPr="00CA4ABC" w14:paraId="557BACD9" w14:textId="77777777" w:rsidTr="00365825">
        <w:trPr>
          <w:trHeight w:val="289"/>
        </w:trPr>
        <w:tc>
          <w:tcPr>
            <w:tcW w:w="1624" w:type="dxa"/>
            <w:vMerge/>
          </w:tcPr>
          <w:p w14:paraId="15540BBD"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54531266"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Isokinetic dynameters</w:t>
            </w:r>
          </w:p>
        </w:tc>
        <w:tc>
          <w:tcPr>
            <w:tcW w:w="3196" w:type="dxa"/>
          </w:tcPr>
          <w:p w14:paraId="11F5AA80"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Speed of the limb is kept at a constant velocity, leading to increasing in muscular force translating to increased resistance</w:t>
            </w:r>
          </w:p>
        </w:tc>
        <w:tc>
          <w:tcPr>
            <w:tcW w:w="2889" w:type="dxa"/>
          </w:tcPr>
          <w:p w14:paraId="189AA301"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Muscular torque productions </w:t>
            </w:r>
            <w:r w:rsidRPr="00CA4ABC">
              <w:rPr>
                <w:rFonts w:cstheme="minorHAnsi"/>
                <w:color w:val="000000" w:themeColor="text1"/>
                <w:sz w:val="20"/>
                <w:szCs w:val="20"/>
              </w:rPr>
              <w:sym w:font="Wingdings" w:char="F0E0"/>
            </w:r>
            <w:r w:rsidRPr="00CA4ABC">
              <w:rPr>
                <w:rFonts w:cstheme="minorHAnsi"/>
                <w:color w:val="000000" w:themeColor="text1"/>
                <w:sz w:val="20"/>
                <w:szCs w:val="20"/>
              </w:rPr>
              <w:t xml:space="preserve"> calculations of peak torque, total work and power.</w:t>
            </w:r>
          </w:p>
        </w:tc>
        <w:tc>
          <w:tcPr>
            <w:tcW w:w="2855" w:type="dxa"/>
          </w:tcPr>
          <w:p w14:paraId="7F6C212B" w14:textId="77777777" w:rsidR="004F4AF8" w:rsidRPr="00CA4ABC" w:rsidRDefault="004F4AF8" w:rsidP="00F42CB9">
            <w:pPr>
              <w:spacing w:line="360" w:lineRule="auto"/>
              <w:rPr>
                <w:rFonts w:cstheme="minorHAnsi"/>
                <w:color w:val="000000" w:themeColor="text1"/>
                <w:sz w:val="20"/>
                <w:szCs w:val="20"/>
              </w:rPr>
            </w:pPr>
          </w:p>
        </w:tc>
        <w:tc>
          <w:tcPr>
            <w:tcW w:w="3127" w:type="dxa"/>
          </w:tcPr>
          <w:p w14:paraId="72417D95" w14:textId="77777777" w:rsidR="004F4AF8" w:rsidRPr="00CA4ABC" w:rsidRDefault="004F4AF8" w:rsidP="00F42CB9">
            <w:pPr>
              <w:spacing w:line="360" w:lineRule="auto"/>
              <w:rPr>
                <w:rFonts w:cstheme="minorHAnsi"/>
                <w:color w:val="000000" w:themeColor="text1"/>
                <w:sz w:val="20"/>
                <w:szCs w:val="20"/>
              </w:rPr>
            </w:pPr>
          </w:p>
        </w:tc>
      </w:tr>
      <w:tr w:rsidR="004F4AF8" w:rsidRPr="00CA4ABC" w14:paraId="50EC65BA" w14:textId="77777777" w:rsidTr="00365825">
        <w:trPr>
          <w:trHeight w:val="289"/>
        </w:trPr>
        <w:tc>
          <w:tcPr>
            <w:tcW w:w="1624" w:type="dxa"/>
            <w:vMerge/>
          </w:tcPr>
          <w:p w14:paraId="04A2D415"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75AED589"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Calisthenic-type exercises</w:t>
            </w:r>
          </w:p>
        </w:tc>
        <w:tc>
          <w:tcPr>
            <w:tcW w:w="3196" w:type="dxa"/>
          </w:tcPr>
          <w:p w14:paraId="4F42D38B" w14:textId="07394783"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Identi</w:t>
            </w:r>
            <w:r w:rsidR="008E5721" w:rsidRPr="00CA4ABC">
              <w:rPr>
                <w:rFonts w:cstheme="minorHAnsi"/>
                <w:color w:val="000000" w:themeColor="text1"/>
                <w:sz w:val="20"/>
                <w:szCs w:val="20"/>
              </w:rPr>
              <w:t>fy</w:t>
            </w:r>
            <w:r w:rsidRPr="00CA4ABC">
              <w:rPr>
                <w:rFonts w:cstheme="minorHAnsi"/>
                <w:color w:val="000000" w:themeColor="text1"/>
                <w:sz w:val="20"/>
                <w:szCs w:val="20"/>
              </w:rPr>
              <w:t xml:space="preserve"> the maximum weight, in excess of body mass, than an individual can lift for one rep.</w:t>
            </w:r>
          </w:p>
        </w:tc>
        <w:tc>
          <w:tcPr>
            <w:tcW w:w="2889" w:type="dxa"/>
          </w:tcPr>
          <w:p w14:paraId="51BA4F31" w14:textId="77777777" w:rsidR="004F4AF8" w:rsidRPr="00CA4ABC" w:rsidRDefault="004F4AF8" w:rsidP="00F42CB9">
            <w:pPr>
              <w:spacing w:line="360" w:lineRule="auto"/>
              <w:rPr>
                <w:rFonts w:cstheme="minorHAnsi"/>
                <w:color w:val="000000" w:themeColor="text1"/>
                <w:sz w:val="20"/>
                <w:szCs w:val="20"/>
              </w:rPr>
            </w:pPr>
          </w:p>
        </w:tc>
        <w:tc>
          <w:tcPr>
            <w:tcW w:w="2855" w:type="dxa"/>
          </w:tcPr>
          <w:p w14:paraId="737CE084"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Easy to perform in a field setting. Specialised equipment not required </w:t>
            </w:r>
          </w:p>
        </w:tc>
        <w:tc>
          <w:tcPr>
            <w:tcW w:w="3127" w:type="dxa"/>
          </w:tcPr>
          <w:p w14:paraId="18BE205E"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Lowest accuracy readouts. </w:t>
            </w:r>
          </w:p>
        </w:tc>
      </w:tr>
      <w:tr w:rsidR="004F4AF8" w:rsidRPr="00CA4ABC" w14:paraId="2478C39E" w14:textId="77777777" w:rsidTr="00365825">
        <w:trPr>
          <w:trHeight w:val="1343"/>
        </w:trPr>
        <w:tc>
          <w:tcPr>
            <w:tcW w:w="1624" w:type="dxa"/>
            <w:vMerge w:val="restart"/>
          </w:tcPr>
          <w:p w14:paraId="18077786"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Muscle function/physical performance</w:t>
            </w:r>
          </w:p>
        </w:tc>
        <w:tc>
          <w:tcPr>
            <w:tcW w:w="2346" w:type="dxa"/>
          </w:tcPr>
          <w:p w14:paraId="7181192F"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Power</w:t>
            </w:r>
          </w:p>
        </w:tc>
        <w:tc>
          <w:tcPr>
            <w:tcW w:w="3196" w:type="dxa"/>
          </w:tcPr>
          <w:p w14:paraId="00B0012F"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Work done per unit of time</w:t>
            </w:r>
          </w:p>
        </w:tc>
        <w:tc>
          <w:tcPr>
            <w:tcW w:w="2889" w:type="dxa"/>
          </w:tcPr>
          <w:p w14:paraId="7B2A2B22"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Work rate</w:t>
            </w:r>
          </w:p>
        </w:tc>
        <w:tc>
          <w:tcPr>
            <w:tcW w:w="2855" w:type="dxa"/>
          </w:tcPr>
          <w:p w14:paraId="1BC5A700"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Power declines before mass and strength with ageing so readouts of this could be highly effective for identifying those </w:t>
            </w:r>
            <w:r w:rsidRPr="00CA4ABC">
              <w:rPr>
                <w:rFonts w:cstheme="minorHAnsi"/>
                <w:color w:val="000000" w:themeColor="text1"/>
                <w:sz w:val="20"/>
                <w:szCs w:val="20"/>
              </w:rPr>
              <w:lastRenderedPageBreak/>
              <w:t>who may benefit from interventions.</w:t>
            </w:r>
          </w:p>
        </w:tc>
        <w:tc>
          <w:tcPr>
            <w:tcW w:w="3127" w:type="dxa"/>
          </w:tcPr>
          <w:p w14:paraId="08A45C62"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lastRenderedPageBreak/>
              <w:t>May need to be collected alongside other information to obtain an accurate picture.</w:t>
            </w:r>
          </w:p>
        </w:tc>
      </w:tr>
      <w:tr w:rsidR="004F4AF8" w:rsidRPr="00CA4ABC" w14:paraId="0161FCD1" w14:textId="77777777" w:rsidTr="00365825">
        <w:trPr>
          <w:trHeight w:val="289"/>
        </w:trPr>
        <w:tc>
          <w:tcPr>
            <w:tcW w:w="1624" w:type="dxa"/>
            <w:vMerge/>
          </w:tcPr>
          <w:p w14:paraId="47F537B9"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25679E4F"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Gait speed</w:t>
            </w:r>
          </w:p>
        </w:tc>
        <w:tc>
          <w:tcPr>
            <w:tcW w:w="3196" w:type="dxa"/>
          </w:tcPr>
          <w:p w14:paraId="1330F7F8"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Measure via a short (2.4-10m) or long distance walk (400-m)</w:t>
            </w:r>
          </w:p>
        </w:tc>
        <w:tc>
          <w:tcPr>
            <w:tcW w:w="2889" w:type="dxa"/>
          </w:tcPr>
          <w:p w14:paraId="58A5B292"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Time to complete distance.</w:t>
            </w:r>
          </w:p>
        </w:tc>
        <w:tc>
          <w:tcPr>
            <w:tcW w:w="2855" w:type="dxa"/>
          </w:tcPr>
          <w:p w14:paraId="67C05DD5" w14:textId="77777777" w:rsidR="004F4AF8" w:rsidRPr="00CA4ABC" w:rsidRDefault="004F4AF8" w:rsidP="00F42CB9">
            <w:pPr>
              <w:spacing w:line="360" w:lineRule="auto"/>
              <w:rPr>
                <w:rFonts w:cstheme="minorHAnsi"/>
                <w:color w:val="000000" w:themeColor="text1"/>
                <w:sz w:val="20"/>
                <w:szCs w:val="20"/>
              </w:rPr>
            </w:pPr>
          </w:p>
        </w:tc>
        <w:tc>
          <w:tcPr>
            <w:tcW w:w="3127" w:type="dxa"/>
          </w:tcPr>
          <w:p w14:paraId="59DCA991"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For longer distance walks, appropriate space is required.</w:t>
            </w:r>
          </w:p>
        </w:tc>
      </w:tr>
      <w:tr w:rsidR="004F4AF8" w:rsidRPr="00CA4ABC" w14:paraId="3AC26518" w14:textId="77777777" w:rsidTr="00365825">
        <w:trPr>
          <w:trHeight w:val="289"/>
        </w:trPr>
        <w:tc>
          <w:tcPr>
            <w:tcW w:w="1624" w:type="dxa"/>
            <w:vMerge/>
          </w:tcPr>
          <w:p w14:paraId="272C88F0"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728E1CB4"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Chair stand</w:t>
            </w:r>
          </w:p>
        </w:tc>
        <w:tc>
          <w:tcPr>
            <w:tcW w:w="3196" w:type="dxa"/>
          </w:tcPr>
          <w:p w14:paraId="50F00F9A"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Individual rise and returns to a seated position in a chair</w:t>
            </w:r>
          </w:p>
        </w:tc>
        <w:tc>
          <w:tcPr>
            <w:tcW w:w="2889" w:type="dxa"/>
          </w:tcPr>
          <w:p w14:paraId="24935FE3"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As many repetitions as possible in a defined period of time, or time to do a specified number of reps.</w:t>
            </w:r>
          </w:p>
        </w:tc>
        <w:tc>
          <w:tcPr>
            <w:tcW w:w="2855" w:type="dxa"/>
          </w:tcPr>
          <w:p w14:paraId="44D2523E"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Little equipment required</w:t>
            </w:r>
          </w:p>
        </w:tc>
        <w:tc>
          <w:tcPr>
            <w:tcW w:w="3127" w:type="dxa"/>
          </w:tcPr>
          <w:p w14:paraId="53A9F900"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Cardiovascular systems may be a limiting factor, rather than strength.</w:t>
            </w:r>
          </w:p>
        </w:tc>
      </w:tr>
      <w:tr w:rsidR="004F4AF8" w:rsidRPr="00CA4ABC" w14:paraId="11E49C35" w14:textId="77777777" w:rsidTr="00365825">
        <w:trPr>
          <w:trHeight w:val="316"/>
        </w:trPr>
        <w:tc>
          <w:tcPr>
            <w:tcW w:w="1624" w:type="dxa"/>
            <w:vMerge/>
          </w:tcPr>
          <w:p w14:paraId="4EAD195E" w14:textId="77777777" w:rsidR="004F4AF8" w:rsidRPr="00CA4ABC" w:rsidRDefault="004F4AF8" w:rsidP="00F42CB9">
            <w:pPr>
              <w:spacing w:line="360" w:lineRule="auto"/>
              <w:rPr>
                <w:rFonts w:cstheme="minorHAnsi"/>
                <w:color w:val="000000" w:themeColor="text1"/>
                <w:sz w:val="20"/>
                <w:szCs w:val="20"/>
              </w:rPr>
            </w:pPr>
          </w:p>
        </w:tc>
        <w:tc>
          <w:tcPr>
            <w:tcW w:w="2346" w:type="dxa"/>
          </w:tcPr>
          <w:p w14:paraId="61B30835"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Timed up and go (TUG)</w:t>
            </w:r>
          </w:p>
        </w:tc>
        <w:tc>
          <w:tcPr>
            <w:tcW w:w="3196" w:type="dxa"/>
          </w:tcPr>
          <w:p w14:paraId="2C4ECA06"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An extension of a chair stand, with an added walk before returning to seating.</w:t>
            </w:r>
          </w:p>
        </w:tc>
        <w:tc>
          <w:tcPr>
            <w:tcW w:w="2889" w:type="dxa"/>
          </w:tcPr>
          <w:p w14:paraId="65A909D1"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As above</w:t>
            </w:r>
          </w:p>
        </w:tc>
        <w:tc>
          <w:tcPr>
            <w:tcW w:w="2855" w:type="dxa"/>
          </w:tcPr>
          <w:p w14:paraId="20EA7543"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As above</w:t>
            </w:r>
          </w:p>
        </w:tc>
        <w:tc>
          <w:tcPr>
            <w:tcW w:w="3127" w:type="dxa"/>
          </w:tcPr>
          <w:p w14:paraId="5DA1591D"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As above</w:t>
            </w:r>
          </w:p>
        </w:tc>
      </w:tr>
      <w:tr w:rsidR="004F4AF8" w:rsidRPr="00CA4ABC" w14:paraId="263E7399" w14:textId="77777777" w:rsidTr="00365825">
        <w:trPr>
          <w:trHeight w:val="289"/>
        </w:trPr>
        <w:tc>
          <w:tcPr>
            <w:tcW w:w="1624" w:type="dxa"/>
            <w:vMerge/>
          </w:tcPr>
          <w:p w14:paraId="0A495B99" w14:textId="77777777" w:rsidR="004F4AF8" w:rsidRPr="00CA4ABC" w:rsidRDefault="004F4AF8" w:rsidP="00F42CB9">
            <w:pPr>
              <w:spacing w:line="360" w:lineRule="auto"/>
              <w:rPr>
                <w:rFonts w:cstheme="minorHAnsi"/>
                <w:color w:val="000000" w:themeColor="text1"/>
              </w:rPr>
            </w:pPr>
          </w:p>
        </w:tc>
        <w:tc>
          <w:tcPr>
            <w:tcW w:w="2346" w:type="dxa"/>
          </w:tcPr>
          <w:p w14:paraId="3B4BB4DB"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Short Physical Performance Battery</w:t>
            </w:r>
          </w:p>
        </w:tc>
        <w:tc>
          <w:tcPr>
            <w:tcW w:w="3196" w:type="dxa"/>
          </w:tcPr>
          <w:p w14:paraId="6265F8D8"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A combination of three tests that focus on standing balance, gait speed and lower extremity strength.</w:t>
            </w:r>
          </w:p>
        </w:tc>
        <w:tc>
          <w:tcPr>
            <w:tcW w:w="2889" w:type="dxa"/>
          </w:tcPr>
          <w:p w14:paraId="7D0854A6"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 xml:space="preserve">Overall score calculated from 0 (worst performers) to 12 (best performers). </w:t>
            </w:r>
          </w:p>
          <w:p w14:paraId="43A470DF" w14:textId="77777777" w:rsidR="004F4AF8" w:rsidRPr="00CA4ABC" w:rsidRDefault="004F4AF8" w:rsidP="00F42CB9">
            <w:pPr>
              <w:spacing w:line="360" w:lineRule="auto"/>
              <w:rPr>
                <w:rFonts w:cstheme="minorHAnsi"/>
                <w:color w:val="000000" w:themeColor="text1"/>
                <w:sz w:val="20"/>
                <w:szCs w:val="20"/>
              </w:rPr>
            </w:pPr>
          </w:p>
        </w:tc>
        <w:tc>
          <w:tcPr>
            <w:tcW w:w="2855" w:type="dxa"/>
          </w:tcPr>
          <w:p w14:paraId="168AEB90"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Collects multiple measurements, leading to an overall improved multidimension assessment of function being obtained. The most widely used, suggesting the most accurate.</w:t>
            </w:r>
          </w:p>
        </w:tc>
        <w:tc>
          <w:tcPr>
            <w:tcW w:w="3127" w:type="dxa"/>
          </w:tcPr>
          <w:p w14:paraId="6A7BB0E7" w14:textId="77777777" w:rsidR="004F4AF8" w:rsidRPr="00CA4ABC" w:rsidRDefault="004F4AF8" w:rsidP="00F42CB9">
            <w:pPr>
              <w:spacing w:line="360" w:lineRule="auto"/>
              <w:rPr>
                <w:rFonts w:cstheme="minorHAnsi"/>
                <w:color w:val="000000" w:themeColor="text1"/>
                <w:sz w:val="20"/>
                <w:szCs w:val="20"/>
              </w:rPr>
            </w:pPr>
            <w:r w:rsidRPr="00CA4ABC">
              <w:rPr>
                <w:rFonts w:cstheme="minorHAnsi"/>
                <w:color w:val="000000" w:themeColor="text1"/>
                <w:sz w:val="20"/>
                <w:szCs w:val="20"/>
              </w:rPr>
              <w:t>Need appropriate space for the tests. Multiple measurements requires more time.</w:t>
            </w:r>
          </w:p>
        </w:tc>
      </w:tr>
    </w:tbl>
    <w:p w14:paraId="44E57AB7" w14:textId="7195EBB5" w:rsidR="004F4AF8" w:rsidRPr="00F56683" w:rsidRDefault="00F56683" w:rsidP="00F42CB9">
      <w:pPr>
        <w:pStyle w:val="Caption"/>
        <w:spacing w:line="360" w:lineRule="auto"/>
        <w:rPr>
          <w:rFonts w:cstheme="minorHAnsi"/>
          <w:i w:val="0"/>
          <w:iCs w:val="0"/>
          <w:color w:val="000000" w:themeColor="text1"/>
          <w:sz w:val="24"/>
          <w:szCs w:val="24"/>
        </w:rPr>
      </w:pPr>
      <w:bookmarkStart w:id="27" w:name="_Toc122956566"/>
      <w:r w:rsidRPr="00F56683">
        <w:rPr>
          <w:i w:val="0"/>
          <w:iCs w:val="0"/>
          <w:color w:val="000000" w:themeColor="text1"/>
          <w:sz w:val="24"/>
          <w:szCs w:val="24"/>
        </w:rPr>
        <w:t xml:space="preserve">Table </w:t>
      </w:r>
      <w:r w:rsidRPr="00F56683">
        <w:rPr>
          <w:i w:val="0"/>
          <w:iCs w:val="0"/>
          <w:color w:val="000000" w:themeColor="text1"/>
          <w:sz w:val="24"/>
          <w:szCs w:val="24"/>
        </w:rPr>
        <w:fldChar w:fldCharType="begin"/>
      </w:r>
      <w:r w:rsidRPr="00F56683">
        <w:rPr>
          <w:i w:val="0"/>
          <w:iCs w:val="0"/>
          <w:color w:val="000000" w:themeColor="text1"/>
          <w:sz w:val="24"/>
          <w:szCs w:val="24"/>
        </w:rPr>
        <w:instrText xml:space="preserve"> SEQ Table \* ARABIC </w:instrText>
      </w:r>
      <w:r w:rsidRPr="00F56683">
        <w:rPr>
          <w:i w:val="0"/>
          <w:iCs w:val="0"/>
          <w:color w:val="000000" w:themeColor="text1"/>
          <w:sz w:val="24"/>
          <w:szCs w:val="24"/>
        </w:rPr>
        <w:fldChar w:fldCharType="separate"/>
      </w:r>
      <w:r w:rsidR="00A13A55">
        <w:rPr>
          <w:i w:val="0"/>
          <w:iCs w:val="0"/>
          <w:noProof/>
          <w:color w:val="000000" w:themeColor="text1"/>
          <w:sz w:val="24"/>
          <w:szCs w:val="24"/>
        </w:rPr>
        <w:t>1</w:t>
      </w:r>
      <w:r w:rsidRPr="00F56683">
        <w:rPr>
          <w:i w:val="0"/>
          <w:iCs w:val="0"/>
          <w:color w:val="000000" w:themeColor="text1"/>
          <w:sz w:val="24"/>
          <w:szCs w:val="24"/>
        </w:rPr>
        <w:fldChar w:fldCharType="end"/>
      </w:r>
      <w:r w:rsidR="004F4AF8" w:rsidRPr="00F56683">
        <w:rPr>
          <w:rFonts w:cstheme="minorHAnsi"/>
          <w:i w:val="0"/>
          <w:iCs w:val="0"/>
          <w:color w:val="000000" w:themeColor="text1"/>
          <w:sz w:val="24"/>
          <w:szCs w:val="24"/>
        </w:rPr>
        <w:t>. The main assessment measurement protocols used to obtain muscle mass, strength, power and/or physical function and the strength and limitations of the techniques.</w:t>
      </w:r>
      <w:bookmarkEnd w:id="27"/>
      <w:r w:rsidR="004F4AF8" w:rsidRPr="00F56683">
        <w:rPr>
          <w:rFonts w:cstheme="minorHAnsi"/>
          <w:i w:val="0"/>
          <w:iCs w:val="0"/>
          <w:color w:val="000000" w:themeColor="text1"/>
          <w:sz w:val="24"/>
          <w:szCs w:val="24"/>
        </w:rPr>
        <w:t xml:space="preserve"> </w:t>
      </w:r>
    </w:p>
    <w:p w14:paraId="32A198EC" w14:textId="77777777" w:rsidR="004F4AF8" w:rsidRPr="00CA4ABC" w:rsidRDefault="004F4AF8" w:rsidP="00F42CB9">
      <w:pPr>
        <w:spacing w:line="360" w:lineRule="auto"/>
        <w:rPr>
          <w:rFonts w:cstheme="minorHAnsi"/>
          <w:color w:val="000000" w:themeColor="text1"/>
        </w:rPr>
        <w:sectPr w:rsidR="004F4AF8" w:rsidRPr="00CA4ABC" w:rsidSect="00966CE6">
          <w:pgSz w:w="16840" w:h="11900" w:orient="landscape"/>
          <w:pgMar w:top="1440" w:right="1440" w:bottom="1440" w:left="1440" w:header="708" w:footer="708" w:gutter="0"/>
          <w:cols w:space="708"/>
          <w:docGrid w:linePitch="360"/>
        </w:sectPr>
      </w:pPr>
    </w:p>
    <w:p w14:paraId="7C74526C" w14:textId="6C7A96A5" w:rsidR="004F4AF8" w:rsidRPr="00CA4ABC" w:rsidRDefault="004F4AF8" w:rsidP="00F42CB9">
      <w:pPr>
        <w:pStyle w:val="Heading3"/>
        <w:spacing w:line="360" w:lineRule="auto"/>
        <w:rPr>
          <w:rFonts w:asciiTheme="minorHAnsi" w:hAnsiTheme="minorHAnsi" w:cstheme="minorHAnsi"/>
          <w:color w:val="000000" w:themeColor="text1"/>
        </w:rPr>
      </w:pPr>
      <w:bookmarkStart w:id="28" w:name="_Toc135384241"/>
      <w:r w:rsidRPr="00CA4ABC">
        <w:rPr>
          <w:rFonts w:asciiTheme="minorHAnsi" w:hAnsiTheme="minorHAnsi" w:cstheme="minorHAnsi"/>
          <w:color w:val="000000" w:themeColor="text1"/>
        </w:rPr>
        <w:lastRenderedPageBreak/>
        <w:t>1.2.5  Muscle Loss:</w:t>
      </w:r>
      <w:bookmarkStart w:id="29" w:name="OLE_LINK1"/>
      <w:bookmarkStart w:id="30" w:name="OLE_LINK2"/>
      <w:bookmarkEnd w:id="28"/>
    </w:p>
    <w:p w14:paraId="158AFE63" w14:textId="485E2B7E" w:rsidR="004F4AF8" w:rsidRPr="00CA4ABC" w:rsidRDefault="004F4AF8" w:rsidP="00F42CB9">
      <w:pPr>
        <w:spacing w:line="360" w:lineRule="auto"/>
        <w:rPr>
          <w:rFonts w:cstheme="minorHAnsi"/>
          <w:b/>
          <w:bCs/>
          <w:color w:val="000000" w:themeColor="text1"/>
        </w:rPr>
      </w:pPr>
      <w:r w:rsidRPr="00CA4ABC">
        <w:rPr>
          <w:rFonts w:cstheme="minorHAnsi"/>
          <w:color w:val="000000" w:themeColor="text1"/>
        </w:rPr>
        <w:t>Perturbations to the coordination of muscle structure, integrity and activity levels can lead to a decline in muscle health</w:t>
      </w:r>
      <w:bookmarkEnd w:id="29"/>
      <w:bookmarkEnd w:id="30"/>
      <w:r w:rsidRPr="00CA4ABC">
        <w:rPr>
          <w:rFonts w:cstheme="minorHAnsi"/>
          <w:color w:val="000000" w:themeColor="text1"/>
        </w:rPr>
        <w:t xml:space="preserv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{"citationItems":[{"id":"ITEM-1","itemData":{"DOI":"10.1002/WSBM.1462","ISSN":"1939005X","PMID":"31407867","abstract":"Decades of research in skeletal muscle physiology have provided multiscale insights into the structural and functional complexity of this important anatomical tissue, designed to accomplish the task of generating contraction, force and movement. Skeletal muscle can be viewed as a biomechanical device with various interacting components including the autonomic nerves for impulse transmission, vasculature for efficient oxygenation, and embedded regulatory and metabolic machinery for maintaining cellular homeostasis. The “omics” revolution has propelled a new era in muscle research, allowing us to discern minute details of molecular cross-talk required for effective coordination between the myriad interacting components for efficient muscle function. The objective of this review is to provide a systems-level, comprehensive mapping the molecular mechanisms underlying skeletal muscle structure and function, in health and disease. We begin this review with a focus on molecular mechanisms underlying muscle tissue development (myogenesis), with an emphasis on satellite cells and muscle regeneration. We next review the molecular structure and mechanisms underlying the many structural components of the muscle: neuromuscular junction, sarcomere, cytoskeleton, extracellular matrix, and vasculature surrounding muscle. We highlight aberrant molecular mechanisms and their possible clinical or pathophysiological relevance. We particularly emphasize the impact of environmental stressors (inflammation and oxidative stress) in contributing to muscle pathophysiology including atrophy, hypertrophy, and fibrosis. This article is categorized under: Physiology &gt; Mammalian Physiology in Health and Disease Developmental Biology &gt; Developmental Processes in Health and Disease Models of Systems Properties and Processes &gt; Cellular Models.","author":[{"dropping-particle":"","family":"Mukund","given":"Kavitha","non-dropping-particle":"","parse-names":false,"suffix":""},{"dropping-particle":"","family":"Subramaniam","given":"Shankar","non-dropping-particle":"","parse-names":false,"suffix":""}],"container-title":"Wiley Interdisciplinary Reviews. Systems Biology and Medicine","id":"ITEM-1","issue":"1","issued":{"date-parts":[["2020","1","1"]]},"publisher":"Wiley-Blackwell","title":"Skeletal muscle: A review of molecular structure and function, in health and disease","type":"article-journal","volume":"12"},"uris":["http://www.mendeley.com/documents/?uuid=8a4cfb06-d61a-34cf-85b1-9e0a51ffa00a"]}],"mendeley":{"formattedCitation":"(17)","plainTextFormattedCitation":"(17)","previouslyFormattedCitation":"(17)"},"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(17)</w:t>
      </w:r>
      <w:r w:rsidRPr="00CA4ABC">
        <w:rPr>
          <w:rFonts w:cstheme="minorHAnsi"/>
          <w:color w:val="000000" w:themeColor="text1"/>
        </w:rPr>
        <w:fldChar w:fldCharType="end"/>
      </w:r>
      <w:r w:rsidRPr="00CA4ABC">
        <w:rPr>
          <w:rFonts w:cstheme="minorHAnsi"/>
          <w:color w:val="000000" w:themeColor="text1"/>
        </w:rPr>
        <w:t xml:space="preserve">. Skeletal muscle is structurally complex and hierarchical </w:t>
      </w:r>
      <w:r w:rsidRPr="00EA4195">
        <w:rPr>
          <w:rFonts w:cstheme="minorHAnsi"/>
          <w:color w:val="000000" w:themeColor="text1"/>
        </w:rPr>
        <w:t>(</w:t>
      </w:r>
      <w:r w:rsidRPr="00EA4195">
        <w:rPr>
          <w:rFonts w:cstheme="minorHAnsi"/>
          <w:color w:val="000000" w:themeColor="text1"/>
        </w:rPr>
        <w:fldChar w:fldCharType="begin"/>
      </w:r>
      <w:r w:rsidRPr="00EA4195">
        <w:rPr>
          <w:rFonts w:cstheme="minorHAnsi"/>
          <w:color w:val="000000" w:themeColor="text1"/>
        </w:rPr>
        <w:instrText xml:space="preserve"> REF _Ref123731772 \h </w:instrText>
      </w:r>
      <w:r w:rsidR="009C1564" w:rsidRPr="00EA4195">
        <w:rPr>
          <w:rFonts w:cstheme="minorHAnsi"/>
          <w:color w:val="000000" w:themeColor="text1"/>
        </w:rPr>
        <w:instrText xml:space="preserve"> \* MERGEFORMAT </w:instrText>
      </w:r>
      <w:r w:rsidRPr="00EA4195">
        <w:rPr>
          <w:rFonts w:cstheme="minorHAnsi"/>
          <w:color w:val="000000" w:themeColor="text1"/>
        </w:rPr>
      </w:r>
      <w:r w:rsidRPr="00EA4195">
        <w:rPr>
          <w:rFonts w:cstheme="minorHAnsi"/>
          <w:color w:val="000000" w:themeColor="text1"/>
        </w:rPr>
        <w:fldChar w:fldCharType="separate"/>
      </w:r>
      <w:r w:rsidRPr="00EA4195">
        <w:rPr>
          <w:rFonts w:cstheme="minorHAnsi"/>
          <w:color w:val="000000" w:themeColor="text1"/>
        </w:rPr>
        <w:t xml:space="preserve">Figure </w:t>
      </w:r>
      <w:r w:rsidRPr="00EA4195">
        <w:rPr>
          <w:rFonts w:cstheme="minorHAnsi"/>
          <w:noProof/>
          <w:color w:val="000000" w:themeColor="text1"/>
        </w:rPr>
        <w:t>3</w:t>
      </w:r>
      <w:r w:rsidRPr="00EA4195">
        <w:rPr>
          <w:rFonts w:cstheme="minorHAnsi"/>
          <w:color w:val="000000" w:themeColor="text1"/>
        </w:rPr>
        <w:fldChar w:fldCharType="end"/>
      </w:r>
      <w:r w:rsidRPr="00EA4195">
        <w:rPr>
          <w:rFonts w:cstheme="minorHAnsi"/>
          <w:color w:val="000000" w:themeColor="text1"/>
        </w:rPr>
        <w:t>)</w:t>
      </w:r>
      <w:r w:rsidRPr="00CA4ABC">
        <w:rPr>
          <w:rFonts w:cstheme="minorHAnsi"/>
          <w:color w:val="000000" w:themeColor="text1"/>
        </w:rPr>
        <w:t xml:space="preserve">. This demonstrates that there are many molecular elements which can be damaged, disturbed or destroyed and lead to disease states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{"citationItems":[{"id":"ITEM-1","itemData":{"DOI":"10.1002/WSBM.1462","ISSN":"1939005X","PMID":"31407867","abstract":"Decades of research in skeletal muscle physiology have provided multiscale insights into the structural and functional complexity of this important anatomical tissue, designed to accomplish the task of generating contraction, force and movement. Skeletal muscle can be viewed as a biomechanical device with various interacting components including the autonomic nerves for impulse transmission, vasculature for efficient oxygenation, and embedded regulatory and metabolic machinery for maintaining cellular homeostasis. The “omics” revolution has propelled a new era in muscle research, allowing us to discern minute details of molecular cross-talk required for effective coordination between the myriad interacting components for efficient muscle function. The objective of this review is to provide a systems-level, comprehensive mapping the molecular mechanisms underlying skeletal muscle structure and function, in health and disease. We begin this review with a focus on molecular mechanisms underlying muscle tissue development (myogenesis), with an emphasis on satellite cells and muscle regeneration. We next review the molecular structure and mechanisms underlying the many structural components of the muscle: neuromuscular junction, sarcomere, cytoskeleton, extracellular matrix, and vasculature surrounding muscle. We highlight aberrant molecular mechanisms and their possible clinical or pathophysiological relevance. We particularly emphasize the impact of environmental stressors (inflammation and oxidative stress) in contributing to muscle pathophysiology including atrophy, hypertrophy, and fibrosis. This article is categorized under: Physiology &gt; Mammalian Physiology in Health and Disease Developmental Biology &gt; Developmental Processes in Health and Disease Models of Systems Properties and Processes &gt; Cellular Models.","author":[{"dropping-particle":"","family":"Mukund","given":"Kavitha","non-dropping-particle":"","parse-names":false,"suffix":""},{"dropping-particle":"","family":"Subramaniam","given":"Shankar","non-dropping-particle":"","parse-names":false,"suffix":""}],"container-title":"Wiley Interdisciplinary Reviews. Systems Biology and Medicine","id":"ITEM-1","issue":"1","issued":{"date-parts":[["2020","1","1"]]},"publisher":"Wiley-Blackwell","title":"Skeletal muscle: A review of molecular structure and function, in health and disease","type":"article-journal","volume":"12"},"uris":["http://www.mendeley.com/documents/?uuid=8a4cfb06-d61a-34cf-85b1-9e0a51ffa00a"]}],"mendeley":{"formattedCitation":"(17)","plainTextFormattedCitation":"(17)","previouslyFormattedCitation":"(17)"},"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(17)</w:t>
      </w:r>
      <w:r w:rsidRPr="00CA4ABC">
        <w:rPr>
          <w:rFonts w:cstheme="minorHAnsi"/>
          <w:color w:val="000000" w:themeColor="text1"/>
        </w:rPr>
        <w:fldChar w:fldCharType="end"/>
      </w:r>
      <w:r w:rsidRPr="00CA4ABC">
        <w:rPr>
          <w:rFonts w:cstheme="minorHAnsi"/>
          <w:color w:val="000000" w:themeColor="text1"/>
        </w:rPr>
        <w:t>. Molecular changes to the muscle occur inevitably with ageing</w:t>
      </w:r>
      <w:r w:rsidR="008F6CDC" w:rsidRPr="00CA4ABC">
        <w:rPr>
          <w:rFonts w:cstheme="minorHAnsi"/>
          <w:color w:val="000000" w:themeColor="text1"/>
        </w:rPr>
        <w:t xml:space="preserve"> (</w:t>
      </w:r>
      <w:r w:rsidR="008F6CDC" w:rsidRPr="00CA4ABC">
        <w:rPr>
          <w:rFonts w:cstheme="minorHAnsi"/>
          <w:color w:val="000000" w:themeColor="text1"/>
        </w:rPr>
        <w:fldChar w:fldCharType="begin"/>
      </w:r>
      <w:r w:rsidR="008F6CDC" w:rsidRPr="00CA4ABC">
        <w:rPr>
          <w:rFonts w:cstheme="minorHAnsi"/>
          <w:color w:val="000000" w:themeColor="text1"/>
        </w:rPr>
        <w:instrText xml:space="preserve"> REF _Ref120875048 \h </w:instrText>
      </w:r>
      <w:r w:rsidR="00CA4ABC">
        <w:rPr>
          <w:rFonts w:cstheme="minorHAnsi"/>
          <w:color w:val="000000" w:themeColor="text1"/>
        </w:rPr>
        <w:instrText xml:space="preserve"> \* MERGEFORMAT </w:instrText>
      </w:r>
      <w:r w:rsidR="008F6CDC" w:rsidRPr="00CA4ABC">
        <w:rPr>
          <w:rFonts w:cstheme="minorHAnsi"/>
          <w:color w:val="000000" w:themeColor="text1"/>
        </w:rPr>
      </w:r>
      <w:r w:rsidR="008F6CDC" w:rsidRPr="00CA4ABC">
        <w:rPr>
          <w:rFonts w:cstheme="minorHAnsi"/>
          <w:color w:val="000000" w:themeColor="text1"/>
        </w:rPr>
        <w:fldChar w:fldCharType="separate"/>
      </w:r>
      <w:r w:rsidR="008F6CDC" w:rsidRPr="00CA4ABC">
        <w:rPr>
          <w:rFonts w:cstheme="minorHAnsi"/>
          <w:color w:val="000000" w:themeColor="text1"/>
        </w:rPr>
        <w:t xml:space="preserve">Figure </w:t>
      </w:r>
      <w:r w:rsidR="008F6CDC" w:rsidRPr="00CA4ABC">
        <w:rPr>
          <w:rFonts w:cstheme="minorHAnsi"/>
          <w:noProof/>
          <w:color w:val="000000" w:themeColor="text1"/>
        </w:rPr>
        <w:t>4</w:t>
      </w:r>
      <w:r w:rsidR="008F6CDC" w:rsidRPr="00CA4ABC">
        <w:rPr>
          <w:rFonts w:cstheme="minorHAnsi"/>
          <w:color w:val="000000" w:themeColor="text1"/>
        </w:rPr>
        <w:fldChar w:fldCharType="end"/>
      </w:r>
      <w:r w:rsidR="008F6CDC" w:rsidRPr="00CA4ABC">
        <w:rPr>
          <w:rFonts w:cstheme="minorHAnsi"/>
          <w:color w:val="000000" w:themeColor="text1"/>
        </w:rPr>
        <w:t>)</w:t>
      </w:r>
      <w:r w:rsidRPr="00CA4ABC">
        <w:rPr>
          <w:rFonts w:cstheme="minorHAnsi"/>
          <w:color w:val="000000" w:themeColor="text1"/>
        </w:rPr>
        <w:t xml:space="preserve"> and have detrimental impacts on muscle health and thus quality and function. Trying to offset these processes can help retain muscle in better health for longer. </w:t>
      </w:r>
    </w:p>
    <w:p w14:paraId="104DC6E7" w14:textId="77777777" w:rsidR="004F4AF8" w:rsidRPr="00CA4ABC" w:rsidRDefault="004F4AF8" w:rsidP="00F42CB9">
      <w:pPr>
        <w:spacing w:line="360" w:lineRule="auto"/>
        <w:rPr>
          <w:rFonts w:cstheme="minorHAnsi"/>
          <w:color w:val="000000" w:themeColor="text1"/>
        </w:rPr>
      </w:pPr>
      <w:r w:rsidRPr="00CA4ABC">
        <w:rPr>
          <w:rFonts w:cstheme="minorHAnsi"/>
          <w:color w:val="000000" w:themeColor="text1"/>
        </w:rPr>
        <w:fldChar w:fldCharType="begin"/>
      </w:r>
      <w:r w:rsidRPr="00CA4ABC">
        <w:rPr>
          <w:rFonts w:cstheme="minorHAnsi"/>
          <w:color w:val="000000" w:themeColor="text1"/>
        </w:rPr>
        <w:instrText xml:space="preserve"> INCLUDEPICTURE "https://www.researchgate.net/publication/343590590/figure/fig1/AS:923518707462146@1597195426607/Hierarchical-structure-of-skeletal-muscle-A-Sarcomere-morphology-and-sliding-mechanism.jpg" \* MERGEFORMATINET </w:instrText>
      </w:r>
      <w:r w:rsidRPr="00CA4ABC">
        <w:rPr>
          <w:rFonts w:cstheme="minorHAnsi"/>
          <w:color w:val="000000" w:themeColor="text1"/>
        </w:rPr>
        <w:fldChar w:fldCharType="separate"/>
      </w:r>
      <w:r w:rsidRPr="00CA4ABC">
        <w:rPr>
          <w:rFonts w:cstheme="minorHAnsi"/>
          <w:noProof/>
          <w:color w:val="000000" w:themeColor="text1"/>
        </w:rPr>
        <w:drawing>
          <wp:inline distT="0" distB="0" distL="0" distR="0" wp14:anchorId="0DEDD1AB" wp14:editId="779157F9">
            <wp:extent cx="6014720" cy="3800211"/>
            <wp:effectExtent l="0" t="0" r="5080" b="0"/>
            <wp:docPr id="55" name="Picture 55" descr="Hierarchical structure of skeletal muscle. A) Sarcomere morphology an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erarchical structure of skeletal muscle. A) Sarcomere morphology and... |  Download Scientific Diagra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6157" cy="3826392"/>
                    </a:xfrm>
                    <a:prstGeom prst="rect">
                      <a:avLst/>
                    </a:prstGeom>
                    <a:noFill/>
                    <a:ln>
                      <a:noFill/>
                    </a:ln>
                  </pic:spPr>
                </pic:pic>
              </a:graphicData>
            </a:graphic>
          </wp:inline>
        </w:drawing>
      </w:r>
      <w:r w:rsidRPr="00CA4ABC">
        <w:rPr>
          <w:rFonts w:cstheme="minorHAnsi"/>
          <w:color w:val="000000" w:themeColor="text1"/>
        </w:rPr>
        <w:fldChar w:fldCharType="end"/>
      </w:r>
    </w:p>
    <w:p w14:paraId="1A3F25C9" w14:textId="096EBD11" w:rsidR="001A58DC" w:rsidRPr="00CA4ABC" w:rsidRDefault="004F4AF8" w:rsidP="00F42CB9">
      <w:pPr>
        <w:spacing w:line="360" w:lineRule="auto"/>
        <w:rPr>
          <w:rFonts w:cstheme="minorHAnsi"/>
          <w:color w:val="000000" w:themeColor="text1"/>
        </w:rPr>
      </w:pPr>
      <w:bookmarkStart w:id="31" w:name="_Ref123731772"/>
      <w:bookmarkStart w:id="32" w:name="_Ref120716415"/>
      <w:bookmarkStart w:id="33" w:name="_Toc127044181"/>
      <w:bookmarkStart w:id="34" w:name="_Toc127978463"/>
      <w:r w:rsidRPr="00CA4ABC">
        <w:rPr>
          <w:rFonts w:cstheme="minorHAnsi"/>
          <w:color w:val="000000" w:themeColor="text1"/>
        </w:rPr>
        <w:t xml:space="preserve">Figure </w:t>
      </w:r>
      <w:r w:rsidRPr="00CA4ABC">
        <w:rPr>
          <w:rFonts w:cstheme="minorHAnsi"/>
          <w:color w:val="000000" w:themeColor="text1"/>
        </w:rPr>
        <w:fldChar w:fldCharType="begin"/>
      </w:r>
      <w:r w:rsidRPr="00CA4ABC">
        <w:rPr>
          <w:rFonts w:cstheme="minorHAnsi"/>
          <w:color w:val="000000" w:themeColor="text1"/>
        </w:rPr>
        <w:instrText xml:space="preserve"> SEQ Figure \* ARABIC </w:instrText>
      </w:r>
      <w:r w:rsidRPr="00CA4ABC">
        <w:rPr>
          <w:rFonts w:cstheme="minorHAnsi"/>
          <w:color w:val="000000" w:themeColor="text1"/>
        </w:rPr>
        <w:fldChar w:fldCharType="separate"/>
      </w:r>
      <w:r w:rsidR="002B439C">
        <w:rPr>
          <w:rFonts w:cstheme="minorHAnsi"/>
          <w:noProof/>
          <w:color w:val="000000" w:themeColor="text1"/>
        </w:rPr>
        <w:t>3</w:t>
      </w:r>
      <w:r w:rsidRPr="00CA4ABC">
        <w:rPr>
          <w:rFonts w:cstheme="minorHAnsi"/>
          <w:color w:val="000000" w:themeColor="text1"/>
        </w:rPr>
        <w:fldChar w:fldCharType="end"/>
      </w:r>
      <w:bookmarkEnd w:id="31"/>
      <w:r w:rsidR="00F56683">
        <w:rPr>
          <w:rFonts w:cstheme="minorHAnsi"/>
          <w:color w:val="000000" w:themeColor="text1"/>
        </w:rPr>
        <w:t xml:space="preserve">. </w:t>
      </w:r>
      <w:r w:rsidRPr="00CA4ABC">
        <w:rPr>
          <w:rFonts w:cstheme="minorHAnsi"/>
          <w:color w:val="000000" w:themeColor="text1"/>
        </w:rPr>
        <w:t>The structure of skeletal muscle, demonstrating the different levels which form is complex composition</w:t>
      </w:r>
      <w:bookmarkEnd w:id="32"/>
      <w:r w:rsidRPr="00CA4ABC">
        <w:rPr>
          <w:rFonts w:cstheme="minorHAnsi"/>
          <w:color w:val="000000" w:themeColor="text1"/>
        </w:rPr>
        <w:t xml:space="preserve">. </w:t>
      </w:r>
      <w:r w:rsidR="001A58DC" w:rsidRPr="00CA4ABC">
        <w:rPr>
          <w:rFonts w:cstheme="minorHAnsi"/>
          <w:color w:val="000000" w:themeColor="text1"/>
        </w:rPr>
        <w:t xml:space="preserve"> Taken from Gotti et al</w:t>
      </w:r>
      <w:r w:rsidR="00CA4ABC" w:rsidRPr="00CA4ABC">
        <w:rPr>
          <w:rFonts w:cstheme="minorHAnsi"/>
          <w:color w:val="000000" w:themeColor="text1"/>
        </w:rPr>
        <w:t>.</w:t>
      </w:r>
      <w:r w:rsidR="001A58DC" w:rsidRPr="00CA4ABC">
        <w:rPr>
          <w:rFonts w:cstheme="minorHAnsi"/>
          <w:color w:val="000000" w:themeColor="text1"/>
        </w:rPr>
        <w:t xml:space="preserve">, 2020, Elsevier Ltd </w:t>
      </w:r>
      <w:r w:rsidR="001A58DC"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{"citationItems":[{"id":"ITEM-1","itemData":{"DOI":"10.1016/J.APMT.2020.100772","ISSN":"2352-9407","abstract":"Inspired by Nature, one of the most ambitious challenge in soft robotics is to design actuators capable of reaching performances comparable to the skeletal muscles. Considering the perfectly balanced features of natural muscular tissue in terms of linear contraction, force‐to‐weight ratio, scalability and morphology, scientists have been working for many years on mimicking this structure. Focusing on the biomimicry, this review investigates the state‐of‐the‐art of synthetic fibrous, muscle‐inspired actuators that, aiming to enhance their mechanical performances, are hierarchically designed from the nanoscale up to the macroscale. In particular, this review focuses on those hierarchical fibrous actuators that enhance their biomimicry employing a linear contraction strategy, closely resembling the skeletal muscles actuation system. The literature analysis shows that bioinspired artificial muscles, developed up to now, only in part comply with skeletal ones. The manipulation and control of the matter at the nanoscale allows to realize ordered structures, such as nanofibers, used as elemental actuators characterized by high strains but moderate force levels. Moreover, it can be foreseen that scaling up the nanostructured materials into micro‐ and macroscale hierarchical structures, it is possible to realize linear actuators characterized by suitable levels of force and displacement.","author":[{"dropping-particle":"","family":"Gotti","given":"Carlo","non-dropping-particle":"","parse-names":false,"suffix":""},{"dropping-particle":"","family":"Sensini","given":"Alberto","non-dropping-particle":"","parse-names":false,"suffix":""},{"dropping-particle":"","family":"Zucchelli","given":"Andrea","non-dropping-particle":"","parse-names":false,"suffix":""},{"dropping-particle":"","family":"Carloni","given":"Raffaella","non-dropping-particle":"","parse-names":false,"suffix":""},{"dropping-particle":"","family":"Focarete","given":"Maria Letizia","non-dropping-particle":"","parse-names":false,"suffix":""}],"container-title":"Applied Materials Today","id":"ITEM-1","issued":{"date-parts":[["2020","9","1"]]},"page":"100772","publisher":"Elsevier","title":"Hierarchical fibrous structures for muscle‐inspired soft‐actuators: A review","type":"article-journal","volume":"20"},"uris":["http://www.mendeley.com/documents/?uuid=db44ebfc-0ba8-37ba-a624-6d018127eb59"]}],"mendeley":{"formattedCitation":"(42)","plainTextFormattedCitation":"(42)","previouslyFormattedCitation":"(42)"},"properties":{"noteIndex":0},"schema":"https://github.com/citation-style-language/schema/raw/master/csl-citation.json"}</w:instrText>
      </w:r>
      <w:r w:rsidR="001A58DC" w:rsidRPr="00CA4ABC">
        <w:rPr>
          <w:rFonts w:cstheme="minorHAnsi"/>
          <w:color w:val="000000" w:themeColor="text1"/>
        </w:rPr>
        <w:fldChar w:fldCharType="separate"/>
      </w:r>
      <w:r w:rsidR="00AD72F0" w:rsidRPr="00CA4ABC">
        <w:rPr>
          <w:rFonts w:cstheme="minorHAnsi"/>
          <w:noProof/>
          <w:color w:val="000000" w:themeColor="text1"/>
        </w:rPr>
        <w:t>(42)</w:t>
      </w:r>
      <w:r w:rsidR="001A58DC" w:rsidRPr="00CA4ABC">
        <w:rPr>
          <w:rFonts w:cstheme="minorHAnsi"/>
          <w:color w:val="000000" w:themeColor="text1"/>
        </w:rPr>
        <w:fldChar w:fldCharType="end"/>
      </w:r>
      <w:r w:rsidR="001A58DC" w:rsidRPr="00CA4ABC">
        <w:rPr>
          <w:rFonts w:cstheme="minorHAnsi"/>
          <w:color w:val="000000" w:themeColor="text1"/>
        </w:rPr>
        <w:t xml:space="preserve">, </w:t>
      </w:r>
      <w:r w:rsidR="008F6CDC" w:rsidRPr="00CA4ABC">
        <w:rPr>
          <w:rFonts w:cstheme="minorHAnsi"/>
          <w:color w:val="000000" w:themeColor="text1"/>
        </w:rPr>
        <w:t xml:space="preserve">open access, </w:t>
      </w:r>
      <w:r w:rsidR="001A58DC" w:rsidRPr="00CA4ABC">
        <w:rPr>
          <w:rFonts w:cstheme="minorHAnsi"/>
          <w:color w:val="000000" w:themeColor="text1"/>
        </w:rPr>
        <w:t>permission not required for non-commercial use.)</w:t>
      </w:r>
      <w:bookmarkEnd w:id="33"/>
      <w:bookmarkEnd w:id="34"/>
    </w:p>
    <w:p w14:paraId="12D44278" w14:textId="039947B2" w:rsidR="004F4AF8" w:rsidRPr="00CA4ABC" w:rsidRDefault="004F4AF8" w:rsidP="00F42CB9">
      <w:pPr>
        <w:spacing w:line="360" w:lineRule="auto"/>
        <w:rPr>
          <w:rFonts w:cstheme="minorHAnsi"/>
          <w:i/>
          <w:iCs/>
          <w:color w:val="000000" w:themeColor="text1"/>
        </w:rPr>
      </w:pPr>
    </w:p>
    <w:p w14:paraId="7406B20F" w14:textId="77777777" w:rsidR="004F4AF8" w:rsidRPr="00CA4ABC" w:rsidRDefault="004F4AF8" w:rsidP="00F42CB9">
      <w:pPr>
        <w:spacing w:line="360" w:lineRule="auto"/>
        <w:rPr>
          <w:rFonts w:cstheme="minorHAnsi"/>
          <w:color w:val="000000" w:themeColor="text1"/>
        </w:rPr>
      </w:pPr>
    </w:p>
    <w:p w14:paraId="3FE9D9B1" w14:textId="77777777" w:rsidR="004F4AF8" w:rsidRPr="00CA4ABC" w:rsidRDefault="004F4AF8" w:rsidP="00F42CB9">
      <w:pPr>
        <w:spacing w:line="360" w:lineRule="auto"/>
        <w:rPr>
          <w:rFonts w:cstheme="minorHAnsi"/>
          <w:color w:val="000000" w:themeColor="text1"/>
        </w:rPr>
      </w:pPr>
      <w:r w:rsidRPr="00CA4ABC">
        <w:rPr>
          <w:rFonts w:cstheme="minorHAnsi"/>
          <w:color w:val="000000" w:themeColor="text1"/>
        </w:rPr>
        <w:lastRenderedPageBreak/>
        <w:fldChar w:fldCharType="begin"/>
      </w:r>
      <w:r w:rsidRPr="00CA4ABC">
        <w:rPr>
          <w:rFonts w:cstheme="minorHAnsi"/>
          <w:color w:val="000000" w:themeColor="text1"/>
        </w:rPr>
        <w:instrText xml:space="preserve"> INCLUDEPICTURE "https://www.ncbi.nlm.nih.gov/pmc/articles/PMC4414960/bin/arm-39-155-g002.jpg" \* MERGEFORMATINET </w:instrText>
      </w:r>
      <w:r w:rsidRPr="00CA4ABC">
        <w:rPr>
          <w:rFonts w:cstheme="minorHAnsi"/>
          <w:color w:val="000000" w:themeColor="text1"/>
        </w:rPr>
        <w:fldChar w:fldCharType="separate"/>
      </w:r>
      <w:r w:rsidRPr="00CA4ABC">
        <w:rPr>
          <w:rFonts w:cstheme="minorHAnsi"/>
          <w:noProof/>
          <w:color w:val="000000" w:themeColor="text1"/>
        </w:rPr>
        <w:drawing>
          <wp:inline distT="0" distB="0" distL="0" distR="0" wp14:anchorId="1DE8D6E8" wp14:editId="0889480B">
            <wp:extent cx="5944667" cy="4053840"/>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2605" cy="4066073"/>
                    </a:xfrm>
                    <a:prstGeom prst="rect">
                      <a:avLst/>
                    </a:prstGeom>
                    <a:noFill/>
                    <a:ln>
                      <a:noFill/>
                    </a:ln>
                  </pic:spPr>
                </pic:pic>
              </a:graphicData>
            </a:graphic>
          </wp:inline>
        </w:drawing>
      </w:r>
      <w:r w:rsidRPr="00CA4ABC">
        <w:rPr>
          <w:rFonts w:cstheme="minorHAnsi"/>
          <w:color w:val="000000" w:themeColor="text1"/>
        </w:rPr>
        <w:fldChar w:fldCharType="end"/>
      </w:r>
    </w:p>
    <w:p w14:paraId="0951390A" w14:textId="7E49467D" w:rsidR="004F4AF8" w:rsidRPr="00F56683" w:rsidRDefault="004F4AF8" w:rsidP="00F42CB9">
      <w:pPr>
        <w:spacing w:line="360" w:lineRule="auto"/>
        <w:rPr>
          <w:rFonts w:cstheme="minorHAnsi"/>
          <w:color w:val="000000" w:themeColor="text1"/>
        </w:rPr>
      </w:pPr>
      <w:bookmarkStart w:id="35" w:name="_Ref120875048"/>
      <w:bookmarkStart w:id="36" w:name="_Toc127044182"/>
      <w:bookmarkStart w:id="37" w:name="_Toc127978464"/>
      <w:r w:rsidRPr="00F56683">
        <w:rPr>
          <w:rFonts w:cstheme="minorHAnsi"/>
          <w:color w:val="000000" w:themeColor="text1"/>
        </w:rPr>
        <w:t xml:space="preserve">Figure </w:t>
      </w:r>
      <w:r w:rsidRPr="00F56683">
        <w:rPr>
          <w:rFonts w:cstheme="minorHAnsi"/>
          <w:color w:val="000000" w:themeColor="text1"/>
        </w:rPr>
        <w:fldChar w:fldCharType="begin"/>
      </w:r>
      <w:r w:rsidRPr="00F56683">
        <w:rPr>
          <w:rFonts w:cstheme="minorHAnsi"/>
          <w:color w:val="000000" w:themeColor="text1"/>
        </w:rPr>
        <w:instrText xml:space="preserve"> SEQ Figure \* ARABIC </w:instrText>
      </w:r>
      <w:r w:rsidRPr="00F56683">
        <w:rPr>
          <w:rFonts w:cstheme="minorHAnsi"/>
          <w:color w:val="000000" w:themeColor="text1"/>
        </w:rPr>
        <w:fldChar w:fldCharType="separate"/>
      </w:r>
      <w:r w:rsidR="002B439C">
        <w:rPr>
          <w:rFonts w:cstheme="minorHAnsi"/>
          <w:noProof/>
          <w:color w:val="000000" w:themeColor="text1"/>
        </w:rPr>
        <w:t>4</w:t>
      </w:r>
      <w:r w:rsidRPr="00F56683">
        <w:rPr>
          <w:rFonts w:cstheme="minorHAnsi"/>
          <w:color w:val="000000" w:themeColor="text1"/>
        </w:rPr>
        <w:fldChar w:fldCharType="end"/>
      </w:r>
      <w:bookmarkEnd w:id="35"/>
      <w:r w:rsidR="00F56683" w:rsidRPr="00F56683">
        <w:rPr>
          <w:rFonts w:cstheme="minorHAnsi"/>
          <w:color w:val="000000" w:themeColor="text1"/>
        </w:rPr>
        <w:t>.</w:t>
      </w:r>
      <w:r w:rsidRPr="00F56683">
        <w:rPr>
          <w:rFonts w:cstheme="minorHAnsi"/>
          <w:color w:val="000000" w:themeColor="text1"/>
        </w:rPr>
        <w:t xml:space="preserve"> </w:t>
      </w:r>
      <w:r w:rsidR="00F56683" w:rsidRPr="00F56683">
        <w:rPr>
          <w:rFonts w:cstheme="minorHAnsi"/>
          <w:color w:val="000000" w:themeColor="text1"/>
        </w:rPr>
        <w:t>A</w:t>
      </w:r>
      <w:r w:rsidRPr="00F56683">
        <w:rPr>
          <w:rFonts w:cstheme="minorHAnsi"/>
          <w:color w:val="000000" w:themeColor="text1"/>
        </w:rPr>
        <w:t>n overview of factors which contribute to ageing muscle</w:t>
      </w:r>
      <w:r w:rsidR="00887163" w:rsidRPr="00F56683">
        <w:rPr>
          <w:rFonts w:cstheme="minorHAnsi"/>
          <w:color w:val="000000" w:themeColor="text1"/>
        </w:rPr>
        <w:t xml:space="preserve"> phenotype</w:t>
      </w:r>
      <w:r w:rsidRPr="00F56683">
        <w:rPr>
          <w:rFonts w:cstheme="minorHAnsi"/>
          <w:color w:val="000000" w:themeColor="text1"/>
        </w:rPr>
        <w:t>.</w:t>
      </w:r>
      <w:r w:rsidR="008F6CDC" w:rsidRPr="00F56683">
        <w:rPr>
          <w:rFonts w:cstheme="minorHAnsi"/>
          <w:color w:val="000000" w:themeColor="text1"/>
        </w:rPr>
        <w:t xml:space="preserve"> Taken from Milijkovic et al</w:t>
      </w:r>
      <w:r w:rsidR="00F56683">
        <w:rPr>
          <w:rFonts w:cstheme="minorHAnsi"/>
          <w:color w:val="000000" w:themeColor="text1"/>
        </w:rPr>
        <w:t>.</w:t>
      </w:r>
      <w:r w:rsidR="008F6CDC" w:rsidRPr="00F56683">
        <w:rPr>
          <w:rFonts w:cstheme="minorHAnsi"/>
          <w:color w:val="000000" w:themeColor="text1"/>
        </w:rPr>
        <w:t xml:space="preserve">, 2015 </w:t>
      </w:r>
      <w:r w:rsidR="008F6CDC" w:rsidRPr="00F56683">
        <w:rPr>
          <w:rFonts w:cstheme="minorHAnsi"/>
          <w:color w:val="000000" w:themeColor="text1"/>
        </w:rPr>
        <w:fldChar w:fldCharType="begin" w:fldLock="1"/>
      </w:r>
      <w:r w:rsidR="005B258E" w:rsidRPr="00F56683">
        <w:rPr>
          <w:rFonts w:cstheme="minorHAnsi"/>
          <w:color w:val="000000" w:themeColor="text1"/>
        </w:rPr>
        <w:instrText>ADDIN CSL_CITATION {"citationItems":[{"id":"ITEM-1","itemData":{"DOI":"10.1017/S0007114511007422","ISSN":"1475-2662","PMID":"22313809","abstract":"Feeding stimulates robust increases in muscle protein synthesis (MPS); however, ageing may alter the anabolic response to protein ingestion and the subsequent aminoacidaemia. With this as background, we aimed to determine in the present study the dose-response of MPS with the ingestion of isolated whey protein, with and without prior resistance exercise, in the elderly. For the purpose of this study, thirty-seven elderly men (age 71 (sd 4) years) completed a bout of unilateral leg-based resistance exercise before ingesting 0, 10, 20 or 40g of whey protein isolate (W0-W40, respectively). Infusion of l-[1- 13C]leucine and l-[ring-13C6]phenylalanine with bilateral vastus lateralis muscle biopsies were used to ascertain whole-body leucine oxidation and 4h post-protein consumption of MPS in the fed-state of non-exercised and exercised leg muscles. It was determined that whole-body leucine oxidation increased in a stepwise, dose-dependent manner. MPS increased above basal, fasting values by approximately 65 and 90% for W20 and W40, respectively (P&lt;0.05), but not with lower doses of whey. While resistance exercise was generally effective at stimulating MPS, W20 and W40 ingestion post-exercise increased MPS above W0 and W10 exercised values (P&lt;0.05) and W40 was greater than W20 (P&lt;0.05). Based on the study, the following conclusions were drawn. At rest, the optimal whey protein dose for non-frail older adults to consume, to increase myofibrillar MPS above fasting rates, was 20g. Resistance exercise increases MPS in the elderly at all protein doses, but to a greater extent with 40g of whey ingestion. These data suggest that, in contrast to younger adults, in whom post-exercise rates of MPS are saturated with 20g of protein, exercised muscles of older adults respond to higher protein doses. © 2012 The Authors.","author":[{"dropping-particle":"","family":"Yang","given":"Yifan","non-dropping-particle":"","parse-names":false,"suffix":""},{"dropping-particle":"","family":"Breen","given":"Leigh","non-dropping-particle":"","parse-names":false,"suffix":""},{"dropping-particle":"","family":"Burd","given":"Nicholas A.","non-dropping-particle":"","parse-names":false,"suffix":""},{"dropping-particle":"","family":"Hector","given":"Amy J.","non-dropping-particle":"","parse-names":false,"suffix":""},{"dropping-particle":"","family":"Churchward-Venne","given":"Tyler A.","non-dropping-particle":"","parse-names":false,"suffix":""},{"dropping-particle":"","family":"Josse","given":"Andrea R.","non-dropping-particle":"","parse-names":false,"suffix":""},{"dropping-particle":"","family":"Tarnopolsky","given":"M. A.","non-dropping-particle":"","parse-names":false,"suffix":""},{"dropping-particle":"","family":"Phillips","given":"Stuart M.","non-dropping-particle":"","parse-names":false,"suffix":""}],"container-title":"The British journal of nutrition","id":"ITEM-1","issue":"10","issued":{"date-parts":[["2012","11","28"]]},"page":"1780-1788","publisher":"Br J Nutr","title":"Resistance exercise enhances myofibrillar protein synthesis with graded intakes of whey protein in older men","type":"article-journal","volume":"108"},"uris":["http://www.mendeley.com/documents/?uuid=16cef224-a5ba-34ed-a7bf-363fe1b64947"]}],"mendeley":{"formattedCitation":"(43)","plainTextFormattedCitation":"(43)","previouslyFormattedCitation":"(43)"},"properties":{"noteIndex":0},"schema":"https://github.com/citation-style-language/schema/raw/master/csl-citation.json"}</w:instrText>
      </w:r>
      <w:r w:rsidR="008F6CDC" w:rsidRPr="00F56683">
        <w:rPr>
          <w:rFonts w:cstheme="minorHAnsi"/>
          <w:color w:val="000000" w:themeColor="text1"/>
        </w:rPr>
        <w:fldChar w:fldCharType="separate"/>
      </w:r>
      <w:r w:rsidR="00AD72F0" w:rsidRPr="00F56683">
        <w:rPr>
          <w:rFonts w:cstheme="minorHAnsi"/>
          <w:noProof/>
          <w:color w:val="000000" w:themeColor="text1"/>
        </w:rPr>
        <w:t>(43)</w:t>
      </w:r>
      <w:r w:rsidR="008F6CDC" w:rsidRPr="00F56683">
        <w:rPr>
          <w:rFonts w:cstheme="minorHAnsi"/>
          <w:color w:val="000000" w:themeColor="text1"/>
        </w:rPr>
        <w:fldChar w:fldCharType="end"/>
      </w:r>
      <w:r w:rsidR="008F6CDC" w:rsidRPr="00F56683">
        <w:rPr>
          <w:rFonts w:cstheme="minorHAnsi"/>
          <w:color w:val="000000" w:themeColor="text1"/>
        </w:rPr>
        <w:t>, open access,</w:t>
      </w:r>
      <w:r w:rsidR="008E5721" w:rsidRPr="00F56683">
        <w:rPr>
          <w:rFonts w:cstheme="minorHAnsi"/>
          <w:color w:val="000000" w:themeColor="text1"/>
        </w:rPr>
        <w:t xml:space="preserve"> and</w:t>
      </w:r>
      <w:r w:rsidR="008F6CDC" w:rsidRPr="00F56683">
        <w:rPr>
          <w:rFonts w:cstheme="minorHAnsi"/>
          <w:color w:val="000000" w:themeColor="text1"/>
        </w:rPr>
        <w:t xml:space="preserve"> permission not required for non-commercial use.</w:t>
      </w:r>
      <w:bookmarkEnd w:id="36"/>
      <w:bookmarkEnd w:id="37"/>
      <w:r w:rsidR="008F6CDC" w:rsidRPr="00F56683">
        <w:rPr>
          <w:rFonts w:cstheme="minorHAnsi"/>
          <w:color w:val="000000" w:themeColor="text1"/>
        </w:rPr>
        <w:t xml:space="preserve"> </w:t>
      </w:r>
    </w:p>
    <w:p w14:paraId="472025D3" w14:textId="77777777" w:rsidR="00330D42" w:rsidRPr="00CA4ABC" w:rsidRDefault="00330D42" w:rsidP="00F42CB9">
      <w:pPr>
        <w:spacing w:line="360" w:lineRule="auto"/>
        <w:rPr>
          <w:rFonts w:cstheme="minorHAnsi"/>
          <w:color w:val="000000" w:themeColor="text1"/>
        </w:rPr>
      </w:pPr>
    </w:p>
    <w:p w14:paraId="5AFC5C74" w14:textId="231080A7" w:rsidR="004F4AF8" w:rsidRPr="00CA4ABC" w:rsidRDefault="004F4AF8" w:rsidP="00F42CB9">
      <w:pPr>
        <w:spacing w:line="360" w:lineRule="auto"/>
        <w:rPr>
          <w:rFonts w:cstheme="minorHAnsi"/>
          <w:color w:val="000000" w:themeColor="text1"/>
        </w:rPr>
      </w:pPr>
      <w:r w:rsidRPr="00CA4ABC">
        <w:rPr>
          <w:rFonts w:cstheme="minorHAnsi"/>
          <w:color w:val="000000" w:themeColor="text1"/>
        </w:rPr>
        <w:t>Muscle losses do not occur in an even manner within the muscle structure. Muscle</w:t>
      </w:r>
      <w:r w:rsidR="008E5721" w:rsidRPr="00CA4ABC">
        <w:rPr>
          <w:rFonts w:cstheme="minorHAnsi"/>
          <w:color w:val="000000" w:themeColor="text1"/>
        </w:rPr>
        <w:t>s</w:t>
      </w:r>
      <w:r w:rsidRPr="00CA4ABC">
        <w:rPr>
          <w:rFonts w:cstheme="minorHAnsi"/>
          <w:color w:val="000000" w:themeColor="text1"/>
        </w:rPr>
        <w:t xml:space="preserve"> can be split into fibre types and assigned to different classifications based on their characteristics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PTJ/81.11.1810","ISBN":"2001;81:1810","ISSN":"0031-9023","PMID":"11694174","author":[{"dropping-particle":"","family":"Scott","given":"W.","non-dropping-particle":"","parse-names":false,"suffix":""},{"dropping-particle":"","family":"Stevens","given":"J.","non-dropping-particle":"","parse-names":false,"suffix":""},{"dropping-particle":"","family":"Binder-Macleod","given":"S. A.","non-dropping-particle":"","parse-names":false,"suffix":""}],"container-title":"Physical Therapy","id":"ITEM-1","issue":"11","issued":{"date-parts":[["2001","11","1"]]},"page":"1810-1816","publisher":"Oxford Academic","title":"Human Skeletal Muscle Fiber Type Classifications","type":"article-journal","volume":"81"},"uris":["http://www.mendeley.com/documents/?uuid=aa86aa0c-d6c9-31c1-ad7c-df1a6730ddef"]}],"mendeley":{"formattedCitation":"(44)","plainTextFormattedCitation":"(44)","previouslyFormattedCitation":"(44)"},"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(44)</w:t>
      </w:r>
      <w:r w:rsidRPr="00CA4ABC">
        <w:rPr>
          <w:rFonts w:cstheme="minorHAnsi"/>
          <w:color w:val="000000" w:themeColor="text1"/>
        </w:rPr>
        <w:fldChar w:fldCharType="end"/>
      </w:r>
      <w:r w:rsidRPr="00CA4ABC">
        <w:rPr>
          <w:rFonts w:cstheme="minorHAnsi"/>
          <w:color w:val="000000" w:themeColor="text1"/>
        </w:rPr>
        <w:t xml:space="preserve">. Contractile and metabolic properties influence muscle fibre types including the contractile apparatus (myosin heavy chain (MHC) or ATPase isoforms) movement rates (fast vs slow twitch), response to neural inputs, calcium handling properties and metabolic profiles (oxidative or glycolytic)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PTJ/81.11.1810","ISBN":"2001;81:1810","ISSN":"0031-9023","PMID":"11694174","author":[{"dropping-particle":"","family":"Scott","given":"W.","non-dropping-particle":"","parse-names":false,"suffix":""},{"dropping-particle":"","family":"Stevens","given":"J.","non-dropping-particle":"","parse-names":false,"suffix":""},{"dropping-particle":"","family":"Binder-Macleod","given":"S. A.","non-dropping-particle":"","parse-names":false,"suffix":""}],"container-title":"Physical Therapy","id":"ITEM-1","issue":"11","issued":{"date-parts":[["2001","11","1"]]},"page":"1810-1816","publisher":"Oxford Academic","title":"Human Skeletal Muscle Fiber Type Classifications","type":"article-journal","volume":"81"},"uris":["http://www.mendeley.com/documents/?uuid=aa86aa0c-d6c9-31c1-ad7c-df1a6730ddef"]}],"mendeley":{"formattedCitation":"(44)","plainTextFormattedCitation":"(44)","previouslyFormattedCitation":"(44)"},"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(44)</w:t>
      </w:r>
      <w:r w:rsidRPr="00CA4ABC">
        <w:rPr>
          <w:rFonts w:cstheme="minorHAnsi"/>
          <w:color w:val="000000" w:themeColor="text1"/>
        </w:rPr>
        <w:fldChar w:fldCharType="end"/>
      </w:r>
      <w:r w:rsidRPr="00CA4ABC">
        <w:rPr>
          <w:rFonts w:cstheme="minorHAnsi"/>
          <w:color w:val="000000" w:themeColor="text1"/>
        </w:rPr>
        <w:t>. Slow or fast twitch fibres are categorised as type one or two, respectively. Type two muscle fibres can be classified into three further categories, dependent on their myosin heavy chain gene; types 2A, 2X and 2B</w:t>
      </w:r>
      <w:r w:rsidR="008E5721" w:rsidRPr="00CA4ABC">
        <w:rPr>
          <w:rFonts w:cstheme="minorHAnsi"/>
          <w:color w:val="000000" w:themeColor="text1"/>
        </w:rPr>
        <w:t xml:space="preserv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{"citationItems":[{"id":"ITEM-1","itemData":{"DOI":"10.1152/PHYSREV.00031.2010","ISSN":"1522-1210","PMID":"22013216","abstract":"Mammalian skeletal muscle comprises different fiber types, whose identity is first established during embryonic development by intrinsic myogenic control mechanisms and is later modulated by neural and hormonal factors. The relative proportion of the different fiber types varies strikingly between species, and in humans shows significant variability between individuals. Myosin heavy chain isoforms, whose complete inventory and expression pattern are now available, provide a useful marker for fiber types, both for the four major forms present in trunk and limb muscles and the minor forms present in head and neck muscles. However, muscle fiber diversity involves all functional muscle cell compartments, including membrane excitation, excitation-contraction coupling, contractile machinery, cytoskeleton scaffold, and energy supply systems. Variations within each compartment are limited by the need of matching fiber type properties between different compartments. Nerve activity is a major control mechanism of the fiber type profile, and multiple signaling pathways are implicated in activity-dependent changes of muscle fibers. The characterization of these pathways is raising increasing interest in clinical medicine, given the potentially beneficial effects of muscle fiber type switching in the prevention and treatment of metabolic diseases. © 2011 by the American Physiological Society.","author":[{"dropping-particle":"","family":"Schiaffino","given":"Stefano","non-dropping-particle":"","parse-names":false,"suffix":""},{"dropping-particle":"","family":"Reggiani","given":"Carlo","non-dropping-particle":"","parse-names":false,"suffix":""}],"container-title":"Physiological reviews","id":"ITEM-1","issue":"4","issued":{"date-parts":[["2011","10"]]},"page":"1447-1531","publisher":"Physiol Rev","title":"Fiber types in mammalian skeletal muscles","type":"article-journal","volume":"91"},"uris":["http://www.mendeley.com/documents/?uuid=4967b1de-784c-3a60-8e43-88385efa480f"]}],"mendeley":{"formattedCitation":"(45)","plainTextFormattedCitation":"(45)","previouslyFormattedCitation":"(45)"},"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(45)</w:t>
      </w:r>
      <w:r w:rsidRPr="00CA4ABC">
        <w:rPr>
          <w:rFonts w:cstheme="minorHAnsi"/>
          <w:color w:val="000000" w:themeColor="text1"/>
        </w:rPr>
        <w:fldChar w:fldCharType="end"/>
      </w:r>
      <w:r w:rsidRPr="00CA4ABC">
        <w:rPr>
          <w:rFonts w:cstheme="minorHAnsi"/>
          <w:color w:val="000000" w:themeColor="text1"/>
        </w:rPr>
        <w:t>. Muscle fibres are not fixed in nature and demonstrate a high level of plasticity. They can change size or composition and alter phenotype to adapt to physical demands and training modalities</w:t>
      </w:r>
      <w:r w:rsidR="00385422" w:rsidRPr="00CA4ABC">
        <w:rPr>
          <w:rFonts w:cstheme="minorHAnsi"/>
          <w:color w:val="000000" w:themeColor="text1"/>
        </w:rPr>
        <w:t>. These change can also be</w:t>
      </w:r>
      <w:r w:rsidRPr="00CA4ABC">
        <w:rPr>
          <w:rFonts w:cstheme="minorHAnsi"/>
          <w:color w:val="000000" w:themeColor="text1"/>
        </w:rPr>
        <w:t xml:space="preserve"> detrimental changes </w:t>
      </w:r>
      <w:r w:rsidR="00385422" w:rsidRPr="00CA4ABC">
        <w:rPr>
          <w:rFonts w:cstheme="minorHAnsi"/>
          <w:color w:val="000000" w:themeColor="text1"/>
        </w:rPr>
        <w:t xml:space="preserve">and </w:t>
      </w:r>
      <w:r w:rsidRPr="00CA4ABC">
        <w:rPr>
          <w:rFonts w:cstheme="minorHAnsi"/>
          <w:color w:val="000000" w:themeColor="text1"/>
        </w:rPr>
        <w:t xml:space="preserve">contribute to impairments and disease states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{"citationItems":[{"id":"ITEM-1","itemData":{"DOI":"10.1002/WDEV.230","ISSN":"1759-7692","PMID":"27199166","abstract":"Skeletal muscle fibers are classified into fiber types, in particular, slow twitch versus fast twitch. Muscle fiber types are generally defined by the particular myosin heavy chain isoforms that they express, but many other components contribute to a fiber's physiological characteristics. Skeletal muscle fiber type can have a profound impact on muscle diseases, including certain muscular dystrophies and sarcopenia, the aging-induced loss of muscle mass and strength. These findings suggest that some muscle diseases may be treated by shifting fiber type characteristics either from slow to fast, or fast to slow phenotypes, depending on the disease. Recent studies have begun to address which components of muscle fiber types mediate their susceptibility or resistance to muscle disease. However, for many diseases it remains largely unclear why certain fiber types are affected. A substantial body of work has revealed molecular pathways that regulate muscle fiber type plasticity and early developmental muscle fiber identity. For instance, recent studies have revealed many factors that regulate muscle fiber type through modulating the activity of the muscle regulatory transcription factor MYOD1. Future studies of muscle fiber type development in animal models will continue to enhance our understanding of factors and pathways that may provide therapeutic targets to treat muscle diseases. WIREs Dev Biol 2016, 5:518–534. doi: 10.1002/wdev.230. For further resources related to this article, please visit the WIREs website.","author":[{"dropping-particle":"","family":"Talbot","given":"Jared","non-dropping-particle":"","parse-names":false,"suffix":""},{"dropping-particle":"","family":"Maves","given":"Lisa","non-dropping-particle":"","parse-names":false,"suffix":""}],"container-title":"Wiley Interdisciplinary Reviews: Developmental Biology","id":"ITEM-1","issue":"4","issued":{"date-parts":[["2016","7","1"]]},"page":"518-534","publisher":"John Wiley &amp; Sons, Ltd","title":"Skeletal muscle fiber type: using insights from muscle developmental biology to dissect targets for susceptibility and resistance to muscle disease","type":"article-journal","volume":"5"},"uris":["http://www.mendeley.com/documents/?uuid=f348ceba-3941-3a3c-8e63-a7ebe42ddcdd"]}],"mendeley":{"formattedCitation":"(46)","plainTextFormattedCitation":"(46)","previouslyFormattedCitation":"(46)"},"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(46)</w:t>
      </w:r>
      <w:r w:rsidRPr="00CA4ABC">
        <w:rPr>
          <w:rFonts w:cstheme="minorHAnsi"/>
          <w:color w:val="000000" w:themeColor="text1"/>
        </w:rPr>
        <w:fldChar w:fldCharType="end"/>
      </w:r>
      <w:r w:rsidRPr="00CA4ABC">
        <w:rPr>
          <w:rFonts w:cstheme="minorHAnsi"/>
          <w:color w:val="000000" w:themeColor="text1"/>
        </w:rPr>
        <w:t xml:space="preserve">. It appears that type 2A and 2X muscle fibres can interconvert depending on changes in physical activity patterns. Increased activity tends to lead to increases in type 2A </w:t>
      </w:r>
      <w:r w:rsidRPr="00CA4ABC">
        <w:rPr>
          <w:rFonts w:cstheme="minorHAnsi"/>
          <w:color w:val="000000" w:themeColor="text1"/>
        </w:rPr>
        <w:lastRenderedPageBreak/>
        <w:t>levels whilst the number of 2X fibres dec</w:t>
      </w:r>
      <w:r w:rsidR="008E5721" w:rsidRPr="00CA4ABC">
        <w:rPr>
          <w:rFonts w:cstheme="minorHAnsi"/>
          <w:color w:val="000000" w:themeColor="text1"/>
        </w:rPr>
        <w:t>r</w:t>
      </w:r>
      <w:r w:rsidRPr="00CA4ABC">
        <w:rPr>
          <w:rFonts w:cstheme="minorHAnsi"/>
          <w:color w:val="000000" w:themeColor="text1"/>
        </w:rPr>
        <w:t xml:space="preserve">ease. Sedentary behaviour promotes the reverse of this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{"citationItems":[{"id":"ITEM-1","itemData":{"DOI":"10.1111/SMS.13675","ISSN":"1600-0838","PMID":"32281690","abstract":"The main objective of this systematic review was to examine the effect of reduced muscle activity on the relative number of type 1 muscle fibers (%) in the human vastus lateralis muscle. Other objectives were changes in type 2A and 2X percentages and muscle fiber cross-sectional area. We conducted systematic literature searches in eight databases and included studies assessing type 1 fiber percentage visualized by ATPase or immunohistochemical staining before and after a period (≥14 days) of reduced muscle activity. The reduced muscle activity models were detraining, leg unloading, and bed rest. Forty-two studies comprising 451 participants were included. Effect sizes were calculated as the mean difference between baseline and follow-up and Generic Inverse Variance tests with random-effects models were used for the weighted summary effect size. Overall, the mean type 1 muscle fiber percentage was significantly reduced after interventions (−1.94%-points, 95% CI [−3.37, −0.51], P =.008), with no significant differences between intervention models (P =.86). Meta-regression showed no effect of study duration on type 1 fiber percentage (P =.98). Conversely, the overall type 2X fiber percentage increased after reduced muscle activity (P &lt;.001). The CSA of the muscle fiber types decreased after the study period (all P-values &lt; 0.001) with greater reductions in type 2 than type 1 fibers (P &lt;.001). The result of this meta-analysis display that the type 1 muscle fiber percentage decrease as a result of reduced muscle activity, although the effect size is relatively small.","author":[{"dropping-particle":"","family":"Vikne","given":"Harald","non-dropping-particle":"","parse-names":false,"suffix":""},{"dropping-particle":"","family":"Strøm","given":"Vegard","non-dropping-particle":"","parse-names":false,"suffix":""},{"dropping-particle":"","family":"Pripp","given":"Are Hugo","non-dropping-particle":"","parse-names":false,"suffix":""},{"dropping-particle":"","family":"Gjøvaag","given":"Terje","non-dropping-particle":"","parse-names":false,"suffix":""}],"container-title":"Scandinavian Journal of Medicine &amp; Science in Sports","id":"ITEM-1","issue":"8","issued":{"date-parts":[["2020","8","1"]]},"page":"1298-1317","publisher":"John Wiley &amp; Sons, Ltd","title":"Human skeletal muscle fiber type percentage and area after reduced muscle use: A systematic review and meta-analysis","type":"article-journal","volume":"30"},"uris":["http://www.mendeley.com/documents/?uuid=ffd6a62d-f0be-327c-b96e-54388dd30ab1"]}],"mendeley":{"formattedCitation":"(47)","plainTextFormattedCitation":"(47)","previouslyFormattedCitation":"(47)"},"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(47)</w:t>
      </w:r>
      <w:r w:rsidRPr="00CA4ABC">
        <w:rPr>
          <w:rFonts w:cstheme="minorHAnsi"/>
          <w:color w:val="000000" w:themeColor="text1"/>
        </w:rPr>
        <w:fldChar w:fldCharType="end"/>
      </w:r>
      <w:r w:rsidRPr="00CA4ABC">
        <w:rPr>
          <w:rFonts w:cstheme="minorHAnsi"/>
          <w:color w:val="000000" w:themeColor="text1"/>
        </w:rPr>
        <w:t>.</w:t>
      </w:r>
    </w:p>
    <w:p w14:paraId="1E73AFD9" w14:textId="77777777" w:rsidR="004F4AF8" w:rsidRPr="00CA4ABC" w:rsidRDefault="004F4AF8" w:rsidP="00F42CB9">
      <w:pPr>
        <w:spacing w:line="360" w:lineRule="auto"/>
        <w:rPr>
          <w:rFonts w:cstheme="minorHAnsi"/>
          <w:b/>
          <w:bCs/>
          <w:color w:val="000000" w:themeColor="text1"/>
        </w:rPr>
      </w:pPr>
    </w:p>
    <w:p w14:paraId="572DEC46" w14:textId="57276D3D" w:rsidR="004F4AF8" w:rsidRPr="00CA4ABC" w:rsidRDefault="004F4AF8" w:rsidP="00F42CB9">
      <w:pPr>
        <w:pStyle w:val="Heading3"/>
        <w:spacing w:line="360" w:lineRule="auto"/>
        <w:rPr>
          <w:rFonts w:asciiTheme="minorHAnsi" w:hAnsiTheme="minorHAnsi" w:cstheme="minorHAnsi"/>
          <w:color w:val="000000" w:themeColor="text1"/>
        </w:rPr>
      </w:pPr>
      <w:bookmarkStart w:id="38" w:name="_Toc135384242"/>
      <w:r w:rsidRPr="00CA4ABC">
        <w:rPr>
          <w:rFonts w:asciiTheme="minorHAnsi" w:hAnsiTheme="minorHAnsi" w:cstheme="minorHAnsi"/>
          <w:color w:val="000000" w:themeColor="text1"/>
        </w:rPr>
        <w:t>1.2.</w:t>
      </w:r>
      <w:r w:rsidR="00330D42" w:rsidRPr="00CA4ABC">
        <w:rPr>
          <w:rFonts w:asciiTheme="minorHAnsi" w:hAnsiTheme="minorHAnsi" w:cstheme="minorHAnsi"/>
          <w:color w:val="000000" w:themeColor="text1"/>
        </w:rPr>
        <w:t>6</w:t>
      </w:r>
      <w:r w:rsidRPr="00CA4ABC">
        <w:rPr>
          <w:rFonts w:asciiTheme="minorHAnsi" w:hAnsiTheme="minorHAnsi" w:cstheme="minorHAnsi"/>
          <w:color w:val="000000" w:themeColor="text1"/>
        </w:rPr>
        <w:t xml:space="preserve"> Anabolic resistance of ageing</w:t>
      </w:r>
      <w:bookmarkEnd w:id="38"/>
      <w:r w:rsidRPr="00CA4ABC">
        <w:rPr>
          <w:rFonts w:asciiTheme="minorHAnsi" w:hAnsiTheme="minorHAnsi" w:cstheme="minorHAnsi"/>
          <w:color w:val="000000" w:themeColor="text1"/>
        </w:rPr>
        <w:t> </w:t>
      </w:r>
    </w:p>
    <w:p w14:paraId="17CE2E78" w14:textId="5C2508A0" w:rsidR="004F4AF8" w:rsidRPr="00CA4ABC" w:rsidRDefault="004F4AF8" w:rsidP="00F42CB9">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A blunted stimulation of muscle protein synthesis rates to common anabolic stimuli in common skeletal muscle tissue”</w:t>
      </w:r>
      <w:r w:rsidRPr="00CA4ABC">
        <w:rPr>
          <w:rFonts w:cstheme="minorHAnsi"/>
          <w:color w:val="000000" w:themeColor="text1"/>
        </w:rPr>
        <w:t xml:space="preserve"> has been termed anabolic resistance of ageing and thus research has been carried out to try and establish ways to counteract this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{"citationItems":[{"id":"ITEM-1","itemData":{"DOI":"10.1097/JES.0B013E318292F3D5","ISSN":"1538-3008","PMID":"23558692","abstract":"Aging has been associated with a reduced muscle protein synthetic response to protein intake, termed \"anabolic resistance.\" Physical activity performed before protein intake increases the use of protein-derived amino acids for postprandial muscle protein accretion in senescent muscle. Thus, the level of habitual physical activity may be fundamental to maintain the anabolic responsiveness to protein intake with aging. Copyright © 2013 by the American College of Sports Medicine.","author":[{"dropping-particle":"","family":"Burd","given":"Nicholas A.","non-dropping-particle":"","parse-names":false,"suffix":""},{"dropping-particle":"","family":"Gorissen","given":"Stefan H.","non-dropping-particle":"","parse-names":false,"suffix":""},{"dropping-particle":"","family":"Loon","given":"Luc J.C.","non-dropping-particle":"Van","parse-names":false,"suffix":""}],"container-title":"Exercise and sport sciences reviews","id":"ITEM-1","issue":"3","issued":{"date-parts":[["2013","7"]]},"page":"169-173","publisher":"Exerc Sport Sci Rev","title":"Anabolic resistance of muscle protein synthesis with aging","type":"article-journal","volume":"41"},"uris":["http://www.mendeley.com/documents/?uuid=422c7ab6-bb20-3163-9e1b-c41886321731"]},{"id":"ITEM-2","itemData":{"DOI":"10.1111/apha.12532","ISSN":"1748-1716","PMID":"26010896","abstract":"Skeletal muscles comprise a substantial portion of whole body mass and are integral for locomotion and metabolic health. Increasing age is associated with declines in both muscle mass and function (e.g. strength-related performance, power) with declines in muscle function quantitatively outweighing those in muscle volume. The mechanisms behind these declines are multi-faceted involving both intrinsic age-related metabolic dysregulation and environmental influences such as nutritional and physical activity. Ageing is associated with a degree of 'anabolic resistance' to these key environmental inputs, which likely accelerates the intrinsic processes driving ageing. On this basis, strategies to sensitize and/or promote anabolic responses to nutrition and physical activity are likely to be imperative in alleviating the progression and trajectory of sarcopenia. Both resistance- and aerobic-type exercises are likely to confer functional and health benefits in older age, and a clutch of research suggests that enhancement of anabolic responsiveness to exercise and/or nutrition may be achieved by optimizing modifications of muscle-loading paradigms (workload, volume, blood flow restriction) or nutritional support (e.g. essential amino acid/leucine) patterns. Nonetheless, more work is needed in which a more holistic view in ageing studies is taken into account. This should include improved characterization of older study recruits, that is physical activity/nutritional behaviours, to limit confounding variables influencing whether findings are attributable to age, or other environmental influences. Nonetheless, on balance, ageing is associated with declines in muscle mass and function and a partially related decline in aerobic capacity. There is also good evidence that metabolic flexibility is impaired in older age.","author":[{"dropping-particle":"","family":"Brook","given":"M S","non-dropping-particle":"","parse-names":false,"suffix":""},{"dropping-particle":"","family":"Wilkinson","given":"D J","non-dropping-particle":"","parse-names":false,"suffix":""},{"dropping-particle":"","family":"Phillips","given":"B E","non-dropping-particle":"","parse-names":false,"suffix":""},{"dropping-particle":"","family":"Perez-Schindler","given":"J","non-dropping-particle":"","parse-names":false,"suffix":""},{"dropping-particle":"","family":"Philp","given":"A","non-dropping-particle":"","parse-names":false,"suffix":""},{"dropping-particle":"","family":"Smith","given":"K","non-dropping-particle":"","parse-names":false,"suffix":""},{"dropping-particle":"","family":"Atherton","given":"P J","non-dropping-particle":"","parse-names":false,"suffix":""}],"container-title":"Acta physiologica (Oxford, England)","id":"ITEM-2","issue":"1","issued":{"date-parts":[["2016","1"]]},"page":"15-41","publisher":"Wiley-Blackwell","title":"Skeletal muscle homeostasis and plasticity in youth and ageing: impact of nutrition and exercise.","type":"article-journal","volume":"216"},"uris":["http://www.mendeley.com/documents/?uuid=16a9309c-460a-305b-ad30-9da238cd7b51"]},{"id":"ITEM-3","itemData":{"DOI":"10.1113/jphysiol.2008.164483","abstract":"We investigated how myofibrillar protein synthesis (MPS) and muscle anabolic signalling were affected by resistance exercise at 20-90% of 1 repetition maximum (1 RM) in two groups (25 each) of post-absorptive, healthy, young (24 ± 6 years) and old (70 ± 5 years) men with identical body mass indices (24 ± 2 kg m −2). We hypothesized that, in response to exercise, anabolic signalling molecule phosphorylation and MPS would be modified in a dose-dependant fashion, but to a lesser extent in older men. Vastus lateralis muscle was sampled before, immediately after, and 1, 2 and 4 h post-exercise. MPS was measured by incorporation of [1,2-13 C] leucine (gas chromatography-combustion-mass spectrometry using plasma [1,2-13 C]α-ketoisocaparoate as surrogate precursor); the phosphorylation of p70 ribosomal S6 kinase (p70s6K) and eukaryotic initiation factor 4E binding protein 1 (4EBP1) was measured using Western analysis with anti-phosphoantibodies. In each group, there was a sigmoidal dose-response relationship between MPS at 1-2 h post-exercise and exercise intensity, which was blunted (P &lt; 0.05) in the older men. At all intensities, MPS fell in both groups to near-basal values by 2-4 h post-exercise. The phosphorylation of p70s6K and 4EBP1 at 60-90% 1 RM was blunted in older men. At 1 h post-exercise at 60-90% 1 RM, p70s6K phosphorylation predicted the rate of MPS at 1-2 h post-exercise in the young but not in the old. The results suggest that in the post-absorptive state: (i) MPS is dose dependant on intensity rising to a plateau at 60-90% 1 RM; (ii) older men show anabolic resistance of signalling and MPS to resistance exercise. Exercise is known to stimulate the rate of post-exercise myofibrillar protein synthesis (MPS) in healthy young people, the extent of which probably depends upon several factors including nutritional state, mode, intensity and duration of exercise. (Chesley et al. 1992; Biolo et al. 1995; Phillips et al. 1997; Miller et al. 2005; Dreyer et al. 2006; Drummond et al. 2008; Wilkinson et al. 2008). However, little or no information is available in respect of the dose-response regarding exercise intensity. Muscles of older people are also capable of increases in MPS after resistance exercise, and feeding increases this (Sheffield-Moore et al. 2005; Drummond et al. 2008) but again dose-response information is lacking. Normal ageing is associated with a loss of skeletal muscle mass at 0.5-2% per annum, causing sarcopenia with an incidence rate…","author":[{"dropping-particle":"","family":"Kumar","given":"Vinod","non-dropping-particle":"","parse-names":false,"suffix":""},{"dropping-particle":"","family":"Selby","given":"Anna","non-dropping-particle":"","parse-names":false,"suffix":""},{"dropping-particle":"","family":"Rankin","given":"Debbie","non-dropping-particle":"","parse-names":false,"suffix":""},{"dropping-particle":"","family":"Patel","given":"Rekha","non-dropping-particle":"","parse-names":false,"suffix":""},{"dropping-particle":"","family":"Atherton","given":"Philip","non-dropping-particle":"","parse-names":false,"suffix":""},{"dropping-particle":"","family":"Hildebrandt","given":"Wulf","non-dropping-particle":"","parse-names":false,"suffix":""},{"dropping-particle":"","family":"Williams","given":"John","non-dropping-particle":"","parse-names":false,"suffix":""},{"dropping-particle":"","family":"Smith","given":"Kenneth","non-dropping-particle":"","parse-names":false,"suffix":""},{"dropping-particle":"","family":"Seynnes","given":"Olivier","non-dropping-particle":"","parse-names":false,"suffix":""},{"dropping-particle":"","family":"Hiscock","given":"Natalie","non-dropping-particle":"","parse-names":false,"suffix":""},{"dropping-particle":"","family":"Rennie","given":"Michael J","non-dropping-particle":"","parse-names":false,"suffix":""},{"dropping-particle":"","family":"Rennie","given":"M J","non-dropping-particle":"","parse-names":false,"suffix":""}],"container-title":"The Authors. Journal compilation C","id":"ITEM-3","issued":{"date-parts":[["2009"]]},"page":"211-217","title":"Age-related differences in the dose-response relationship of muscle protein synthesis to resistance exercise in young and old men","type":"article-journal","volume":"587"},"uris":["http://www.mendeley.com/documents/?uuid=0f4176a4-ca7c-36d0-bd11-4039029dfa39"]},{"id":"ITEM-4","itemData":{"DOI":"10.1093/GERONA/GLU103","ISSN":"1758-535X","PMID":"25056502","abstract":"Background. Adequate protein ingestion-mediated stimulation of myofibrillar protein synthesis (MPS) is required to maintain skeletal muscle mass. It is currently unknown what per meal protein intake is required to maximally stimulate the response in older men and whether it differs from that of younger men. Methods. We retrospectively analyzed data from our laboratories that measured MPS in healthy older (~71 years) and younger (~22 years) men by primed constant infusion of l-ring-[13C6]phenylalanine after ingestion of varying amounts (0-40 g) of high-quality dietary protein as a single bolus and normalized to body mass and, where available, lean body mass (LBM). Results. There was no difference (p =. 53) in basal MPS rates between older (0.027±0.04%/h; means ± 95% CI) and young (0.028 ± 0.03%/h) men. Biphase linear regression and breakpoint analysis revealed the slope of first line segment was lower (p &lt;. 05) in older men and that MPS reached a plateau after ingestion of 0.40 ± 0.19 and 0.24 ± 0.06 g/kg body mass (p =. 055) and 0.60 ± 0.29 and 0.25 ± 0.13 g/kg lean body mass (p &lt;. 01) in older and younger men, respectively. Conclusions. This is the first report of the relative (to body weight) protein ingested dose response of MPS in younger and older men. Our data suggest that healthy older men are less sensitive to low protein intakes and require a greater relative protein intake, in a single meal, than young men to maximally stimulate postprandial rates of MPS. These results should be considered when developing nutritional solutions to maximize MPS for the maintenance or enhancement of muscle mass with advancing age.","author":[{"dropping-particle":"","family":"Moore","given":"Daniel R.","non-dropping-particle":"","parse-names":false,"suffix":""},{"dropping-particle":"","family":"Churchward-Venne","given":"Tyler A.","non-dropping-particle":"","parse-names":false,"suffix":""},{"dropping-particle":"","family":"Witard","given":"Oliver","non-dropping-particle":"","parse-names":false,"suffix":""},{"dropping-particle":"","family":"Breen","given":"Leigh","non-dropping-particle":"","parse-names":false,"suffix":""},{"dropping-particle":"","family":"Burd","given":"Nicholas A.","non-dropping-particle":"","parse-names":false,"suffix":""},{"dropping-particle":"","family":"Tipton","given":"Kevin D.","non-dropping-particle":"","parse-names":false,"suffix":""},{"dropping-particle":"","family":"Phillips","given":"Stuart M.","non-dropping-particle":"","parse-names":false,"suffix":""}],"container-title":"The journals of gerontology. Series A, Biological sciences and medical sciences","id":"ITEM-4","issue":"1","issued":{"date-parts":[["2015","1","1"]]},"page":"57-62","publisher":"J Gerontol A Biol Sci Med Sci","title":"Protein ingestion to stimulate myofibrillar protein synthesis requires greater relative protein intakes in healthy older versus younger men","type":"article-journal","volume":"70"},"uris":["http://www.mendeley.com/documents/?uuid=aac6d1e7-d8de-356a-a095-cef33585fbfa"]}],"mendeley":{"formattedCitation":"(48–51)","plainTextFormattedCitation":"(48–51)","previouslyFormattedCitation":"(48–51)"},"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(48–51)</w:t>
      </w:r>
      <w:r w:rsidRPr="00CA4ABC">
        <w:rPr>
          <w:rFonts w:cstheme="minorHAnsi"/>
          <w:color w:val="000000" w:themeColor="text1"/>
        </w:rPr>
        <w:fldChar w:fldCharType="end"/>
      </w:r>
      <w:r w:rsidRPr="00CA4ABC">
        <w:rPr>
          <w:rFonts w:cstheme="minorHAnsi"/>
          <w:color w:val="000000" w:themeColor="text1"/>
        </w:rPr>
        <w:t xml:space="preserve">. Based on these observations, it is understood that a greater stimulus may be required to trigger MPS in older adults. It is unclear precisely what age the muscle may become less responsive to stimuli, but this </w:t>
      </w:r>
      <w:r w:rsidR="002D785C" w:rsidRPr="00CA4ABC">
        <w:rPr>
          <w:rFonts w:cstheme="minorHAnsi"/>
          <w:color w:val="000000" w:themeColor="text1"/>
        </w:rPr>
        <w:t>likely reflects</w:t>
      </w:r>
      <w:r w:rsidRPr="00CA4ABC">
        <w:rPr>
          <w:rFonts w:cstheme="minorHAnsi"/>
          <w:color w:val="000000" w:themeColor="text1"/>
        </w:rPr>
        <w:t xml:space="preserve"> muscle loss trajectories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{"citationItems":[{"id":"ITEM-1","itemData":{"DOI":"10.1093/GERONA/52A.5.B267","ISSN":"1079-5006","PMID":"9310077","abstract":"Cross-sectional and longitudinal age-associated reductions in power and isometric strength are described for the upper extremities. Over a 25-year period, repeated measures were taken approximately every 2 years from men and women in the Baltimore Longitudinal Study of Aging (BLSA). The longitudinal measures covered an average 9.6 years, range 1-25 years for men and an average 4.6 years, range 1-8 years for women. Strength and power declined beginning by age 40 in both women and men. Thereafter, power declined abut 10% more than strength in men, while no significant differences were found in women. Age had a statistically independent influence on strength and power measures after adjusting for gender, height, weight, caloric expenditure, and muscle mass. Twenty-five-year longitudinal analyses in man confirmed the declines observed cross-sectionally, while no changes were observed in women over the 4-5 years of longitudinal data available. Further longitudinal studies are needed to understand the relationships between strength and power losses with age in women. The differences between power and strength changes with age in men argue for the importance of factors other than strength affecting power.","author":[{"dropping-particle":"","family":"Metter","given":"E. Jeffrey","non-dropping-particle":"","parse-names":false,"suffix":""},{"dropping-particle":"","family":"Conwit","given":"Robin","non-dropping-particle":"","parse-names":false,"suffix":""},{"dropping-particle":"","family":"Tobin","given":"Jordan","non-dropping-particle":"","parse-names":false,"suffix":""},{"dropping-particle":"","family":"Fozard","given":"James L.","non-dropping-particle":"","parse-names":false,"suffix":""}],"container-title":"The journals of gerontology. Series A, Biological sciences and medical sciences","id":"ITEM-1","issue":"5","issued":{"date-parts":[["1997"]]},"publisher":"J Gerontol A Biol Sci Med Sci","title":"Age-associated loss of power and strength in the upper extremities in women and men","type":"article-journal","volume":"52"},"uris":["http://www.mendeley.com/documents/?uuid=5336ea1d-72fe-3c0e-8e92-905b03af37a0"]}],"mendeley":{"formattedCitation":"(10)","plainTextFormattedCitation":"(10)","previouslyFormattedCitation":"(10)"},"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(10)</w:t>
      </w:r>
      <w:r w:rsidRPr="00CA4ABC">
        <w:rPr>
          <w:rFonts w:cstheme="minorHAnsi"/>
          <w:color w:val="000000" w:themeColor="text1"/>
        </w:rPr>
        <w:fldChar w:fldCharType="end"/>
      </w:r>
      <w:r w:rsidRPr="00CA4ABC">
        <w:rPr>
          <w:rFonts w:cstheme="minorHAnsi"/>
          <w:color w:val="000000" w:themeColor="text1"/>
        </w:rPr>
        <w:t>.</w:t>
      </w:r>
    </w:p>
    <w:p w14:paraId="5BD980CB" w14:textId="4B244AED" w:rsidR="004F4AF8" w:rsidRPr="00CA4ABC" w:rsidRDefault="004F4AF8" w:rsidP="00F42CB9">
      <w:pPr>
        <w:spacing w:line="360" w:lineRule="auto"/>
        <w:rPr>
          <w:rFonts w:cstheme="minorHAnsi"/>
          <w:color w:val="000000" w:themeColor="text1"/>
        </w:rPr>
      </w:pPr>
      <w:r w:rsidRPr="00CA4ABC">
        <w:rPr>
          <w:rFonts w:cstheme="minorHAnsi"/>
          <w:color w:val="000000" w:themeColor="text1"/>
        </w:rPr>
        <w:t>The impact of this phenomenon will be explore</w:t>
      </w:r>
      <w:r w:rsidR="002D785C" w:rsidRPr="00CA4ABC">
        <w:rPr>
          <w:rFonts w:cstheme="minorHAnsi"/>
          <w:color w:val="000000" w:themeColor="text1"/>
        </w:rPr>
        <w:t>d</w:t>
      </w:r>
      <w:r w:rsidRPr="00CA4ABC">
        <w:rPr>
          <w:rFonts w:cstheme="minorHAnsi"/>
          <w:color w:val="000000" w:themeColor="text1"/>
        </w:rPr>
        <w:t xml:space="preserve"> with regard to protein</w:t>
      </w:r>
      <w:r w:rsidR="0013052C" w:rsidRPr="00CA4ABC">
        <w:rPr>
          <w:rFonts w:cstheme="minorHAnsi"/>
          <w:color w:val="000000" w:themeColor="text1"/>
        </w:rPr>
        <w:t xml:space="preserve"> (section 1.3.2)</w:t>
      </w:r>
      <w:r w:rsidRPr="00CA4ABC">
        <w:rPr>
          <w:rFonts w:cstheme="minorHAnsi"/>
          <w:color w:val="000000" w:themeColor="text1"/>
        </w:rPr>
        <w:t>, exercise</w:t>
      </w:r>
      <w:r w:rsidR="0013052C" w:rsidRPr="00CA4ABC">
        <w:rPr>
          <w:rFonts w:cstheme="minorHAnsi"/>
          <w:color w:val="000000" w:themeColor="text1"/>
        </w:rPr>
        <w:t xml:space="preserve"> (section 1.4.4)</w:t>
      </w:r>
      <w:r w:rsidRPr="00CA4ABC">
        <w:rPr>
          <w:rFonts w:cstheme="minorHAnsi"/>
          <w:color w:val="000000" w:themeColor="text1"/>
        </w:rPr>
        <w:t xml:space="preserve"> and the combination of these anabolic triggers </w:t>
      </w:r>
      <w:r w:rsidR="0013052C" w:rsidRPr="00CA4ABC">
        <w:rPr>
          <w:rFonts w:cstheme="minorHAnsi"/>
          <w:color w:val="000000" w:themeColor="text1"/>
        </w:rPr>
        <w:t>(section 1.5.2)</w:t>
      </w:r>
      <w:r w:rsidR="00385422" w:rsidRPr="00CA4ABC">
        <w:rPr>
          <w:rFonts w:cstheme="minorHAnsi"/>
          <w:color w:val="000000" w:themeColor="text1"/>
        </w:rPr>
        <w:t>,</w:t>
      </w:r>
      <w:r w:rsidR="0013052C" w:rsidRPr="00CA4ABC">
        <w:rPr>
          <w:rFonts w:cstheme="minorHAnsi"/>
          <w:color w:val="000000" w:themeColor="text1"/>
        </w:rPr>
        <w:t xml:space="preserve"> </w:t>
      </w:r>
      <w:r w:rsidRPr="00CA4ABC">
        <w:rPr>
          <w:rFonts w:cstheme="minorHAnsi"/>
          <w:color w:val="000000" w:themeColor="text1"/>
        </w:rPr>
        <w:t xml:space="preserve">throughout the course of this review. </w:t>
      </w:r>
    </w:p>
    <w:p w14:paraId="422EC55C" w14:textId="77777777" w:rsidR="004F4AF8" w:rsidRPr="00CA4ABC" w:rsidRDefault="004F4AF8" w:rsidP="00F42CB9">
      <w:pPr>
        <w:spacing w:line="360" w:lineRule="auto"/>
        <w:rPr>
          <w:rFonts w:cstheme="minorHAnsi"/>
          <w:color w:val="000000" w:themeColor="text1"/>
        </w:rPr>
      </w:pPr>
    </w:p>
    <w:p w14:paraId="17563D8E" w14:textId="670D65F1" w:rsidR="004F4AF8" w:rsidRPr="00CA4ABC" w:rsidRDefault="004F4AF8" w:rsidP="00F42CB9">
      <w:pPr>
        <w:pStyle w:val="Heading3"/>
        <w:spacing w:line="360" w:lineRule="auto"/>
        <w:rPr>
          <w:rFonts w:asciiTheme="minorHAnsi" w:hAnsiTheme="minorHAnsi" w:cstheme="minorHAnsi"/>
          <w:color w:val="000000" w:themeColor="text1"/>
        </w:rPr>
      </w:pPr>
      <w:bookmarkStart w:id="39" w:name="_Toc135384243"/>
      <w:r w:rsidRPr="00CA4ABC">
        <w:rPr>
          <w:rFonts w:asciiTheme="minorHAnsi" w:hAnsiTheme="minorHAnsi" w:cstheme="minorHAnsi"/>
          <w:color w:val="000000" w:themeColor="text1"/>
        </w:rPr>
        <w:t>1.2.</w:t>
      </w:r>
      <w:r w:rsidR="00330D42" w:rsidRPr="00CA4ABC">
        <w:rPr>
          <w:rFonts w:asciiTheme="minorHAnsi" w:hAnsiTheme="minorHAnsi" w:cstheme="minorHAnsi"/>
          <w:color w:val="000000" w:themeColor="text1"/>
        </w:rPr>
        <w:t>7</w:t>
      </w:r>
      <w:r w:rsidRPr="00CA4ABC">
        <w:rPr>
          <w:rFonts w:asciiTheme="minorHAnsi" w:hAnsiTheme="minorHAnsi" w:cstheme="minorHAnsi"/>
          <w:color w:val="000000" w:themeColor="text1"/>
        </w:rPr>
        <w:t xml:space="preserve"> Sarcopenia</w:t>
      </w:r>
      <w:bookmarkEnd w:id="39"/>
    </w:p>
    <w:p w14:paraId="62842FF9" w14:textId="0BC57CC2" w:rsidR="004F4AF8" w:rsidRPr="00CA4ABC" w:rsidRDefault="004F4AF8" w:rsidP="00F42CB9">
      <w:pPr>
        <w:spacing w:line="360" w:lineRule="auto"/>
        <w:ind w:firstLine="720"/>
        <w:rPr>
          <w:rFonts w:cstheme="minorHAnsi"/>
          <w:color w:val="000000" w:themeColor="text1"/>
        </w:rPr>
        <w:sectPr w:rsidR="004F4AF8" w:rsidRPr="00CA4ABC" w:rsidSect="00966CE6">
          <w:pgSz w:w="11900" w:h="16840"/>
          <w:pgMar w:top="1440" w:right="1440" w:bottom="1440" w:left="1440" w:header="708" w:footer="708" w:gutter="0"/>
          <w:cols w:space="708"/>
          <w:docGrid w:linePitch="360"/>
        </w:sectPr>
      </w:pPr>
      <w:r w:rsidRPr="00CA4ABC">
        <w:rPr>
          <w:rFonts w:cstheme="minorHAnsi"/>
          <w:color w:val="000000" w:themeColor="text1"/>
        </w:rPr>
        <w:t xml:space="preserve">The term ‘sarcopenia’ was first proposed by Rosenberg in 1989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{"citationItems":[{"id":"ITEM-1","itemData":{"DOI":"10.1093/JN/127.5.990S","ISSN":"0022-3166","PMID":"9164280","abstract":"This presentation reflects on the origins of the term sarcopenia. The Greek roots of the word are sarx for flesh and penia for loss. The term actually describes important changes in body composition and related functions. Clearly defining sarcopenia will allow investigators to appropriately classify patients and examine underlying pathogenic mechanisms and will allow funding agencies to appropriately target research funds to a taxonomically distinct syndrome.","author":[{"dropping-particle":"","family":"Rosenberg","given":"Irwin H.","non-dropping-particle":"","parse-names":false,"suffix":""}],"container-title":"The Journal of nutrition","id":"ITEM-1","issue":"5 Suppl","issued":{"date-parts":[["1997"]]},"publisher":"J Nutr","title":"Sarcopenia: origins and clinical relevance","type":"article-journal","volume":"127"},"uris":["http://www.mendeley.com/documents/?uuid=428c9c99-973a-31fc-b5eb-d648a1464302"]}],"mendeley":{"formattedCitation":"(52)","plainTextFormattedCitation":"(52)","previouslyFormattedCitation":"(52)"},"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(52)</w:t>
      </w:r>
      <w:r w:rsidRPr="00CA4ABC">
        <w:rPr>
          <w:rFonts w:cstheme="minorHAnsi"/>
          <w:color w:val="000000" w:themeColor="text1"/>
        </w:rPr>
        <w:fldChar w:fldCharType="end"/>
      </w:r>
      <w:r w:rsidRPr="00CA4ABC">
        <w:rPr>
          <w:rFonts w:cstheme="minorHAnsi"/>
          <w:color w:val="000000" w:themeColor="text1"/>
        </w:rPr>
        <w:t xml:space="preserve">. Since then, the understanding </w:t>
      </w:r>
      <w:r w:rsidR="003407A7" w:rsidRPr="00CA4ABC">
        <w:rPr>
          <w:rFonts w:cstheme="minorHAnsi"/>
          <w:color w:val="000000" w:themeColor="text1"/>
        </w:rPr>
        <w:t>of</w:t>
      </w:r>
      <w:r w:rsidRPr="00CA4ABC">
        <w:rPr>
          <w:rFonts w:cstheme="minorHAnsi"/>
          <w:color w:val="000000" w:themeColor="text1"/>
        </w:rPr>
        <w:t xml:space="preserve"> this disease has progressed considerably. A PubMed literature search of the term “</w:t>
      </w:r>
      <w:r w:rsidRPr="00CA4ABC">
        <w:rPr>
          <w:rFonts w:cstheme="minorHAnsi"/>
          <w:i/>
          <w:iCs/>
          <w:color w:val="000000" w:themeColor="text1"/>
        </w:rPr>
        <w:t>sarcopenia</w:t>
      </w:r>
      <w:r w:rsidRPr="00CA4ABC">
        <w:rPr>
          <w:rFonts w:cstheme="minorHAnsi"/>
          <w:color w:val="000000" w:themeColor="text1"/>
        </w:rPr>
        <w:t>” (22.08.22) revealed</w:t>
      </w:r>
      <w:r w:rsidRPr="00CA4ABC">
        <w:rPr>
          <w:rFonts w:cstheme="minorHAnsi"/>
          <w:color w:val="000000" w:themeColor="text1"/>
          <w:shd w:val="clear" w:color="auto" w:fill="FFFFFF"/>
        </w:rPr>
        <w:t xml:space="preserve"> 10,558</w:t>
      </w:r>
      <w:r w:rsidRPr="00CA4ABC">
        <w:rPr>
          <w:rFonts w:cstheme="minorHAnsi"/>
          <w:color w:val="000000" w:themeColor="text1"/>
        </w:rPr>
        <w:t xml:space="preserve"> results in the last five years. Despite this, only 439 of these articles were categorised as clinical trials or randomised control trials. This suggests that although there has been progression </w:t>
      </w:r>
      <w:r w:rsidR="003407A7" w:rsidRPr="00CA4ABC">
        <w:rPr>
          <w:rFonts w:cstheme="minorHAnsi"/>
          <w:color w:val="000000" w:themeColor="text1"/>
        </w:rPr>
        <w:t>in</w:t>
      </w:r>
      <w:r w:rsidRPr="00CA4ABC">
        <w:rPr>
          <w:rFonts w:cstheme="minorHAnsi"/>
          <w:color w:val="000000" w:themeColor="text1"/>
        </w:rPr>
        <w:t xml:space="preserve"> recognising, defining and exploring sarcopenia and the burden it poses, there is still scope for conducting rigorous intervention trials aimed at preventing muscle loss and delaying sarcopenia onset. The current, most widely-used definition of sarcopenia describes it as </w:t>
      </w:r>
      <w:r w:rsidRPr="00CA4ABC">
        <w:rPr>
          <w:rFonts w:cstheme="minorHAnsi"/>
          <w:i/>
          <w:iCs/>
          <w:color w:val="000000" w:themeColor="text1"/>
        </w:rPr>
        <w:t>“a progressive and generalised skeletal muscle disorder involving the accelerated loss of muscle mass and function that is associated with increased adverse outcomes including falls, functional decline, frailty, and mortality</w:t>
      </w:r>
      <w:r w:rsidRPr="00CA4ABC">
        <w:rPr>
          <w:rFonts w:cstheme="minorHAnsi"/>
          <w:color w:val="000000" w:themeColor="text1"/>
        </w:rPr>
        <w:t xml:space="preserv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{"citationItems":[{"id":"ITEM-1","itemData":{"DOI":"10.1016/S0140-6736(19)31138-9","ISSN":"0140-6736","PMID":"31171417","abstract":"&lt;h2&gt;Summary&lt;/h2&gt;&lt;p&gt;Sarcopenia is a progressive and generalised skeletal muscle disorder involving the accelerated loss of muscle mass and function that is associated with increased adverse outcomes including falls, functional decline, frailty, and mortality. It occurs commonly as an age-related process in older people, influenced not only by contemporaneous risk factors, but also by genetic and lifestyle factors operating across the life course. It can also occur in mid-life in association with a range of conditions. Sarcopenia has become the focus of intense research aiming to translate current knowledge about its pathophysiology into improved diagnosis and treatment, with particular interest in the development of biomarkers, nutritional interventions, and drugs to augment the beneficial effects of resistance exercise. Designing effective preventive strategies that people can apply during their lifetime is of primary concern. Diagnosis, treatment, and prevention of sarcopenia is likely to become part of routine clinical practice.&lt;/p&gt;","author":[{"dropping-particle":"","family":"Cruz-Jentoft","given":"Alfonso J.","non-dropping-particle":"","parse-names":false,"suffix":""},{"dropping-particle":"","family":"Sayer","given":"Avan A.","non-dropping-particle":"","parse-names":false,"suffix":""}],"container-title":"The Lancet","id":"ITEM-1","issue":"10191","issued":{"date-parts":[["2019","6","29"]]},"page":"2636-2646","publisher":"Elsevier","title":"Sarcopenia","type":"article-journal","volume":"393"},"uris":["http://www.mendeley.com/documents/?uuid=759ac15a-4c62-3c45-8db3-270d335f73fc"]}],"mendeley":{"formattedCitation":"(53)","plainTextFormattedCitation":"(53)","previouslyFormattedCitation":"(53)"},"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(53)</w:t>
      </w:r>
      <w:r w:rsidRPr="00CA4ABC">
        <w:rPr>
          <w:rFonts w:cstheme="minorHAnsi"/>
          <w:color w:val="000000" w:themeColor="text1"/>
        </w:rPr>
        <w:fldChar w:fldCharType="end"/>
      </w:r>
      <w:r w:rsidRPr="00CA4ABC">
        <w:rPr>
          <w:rFonts w:cstheme="minorHAnsi"/>
          <w:color w:val="000000" w:themeColor="text1"/>
        </w:rPr>
        <w:t>. Notwithstanding, sarcopenia terminology continues to evolve</w:t>
      </w:r>
      <w:r w:rsidR="003407A7" w:rsidRPr="00CA4ABC">
        <w:rPr>
          <w:rFonts w:cstheme="minorHAnsi"/>
          <w:color w:val="000000" w:themeColor="text1"/>
        </w:rPr>
        <w:t>,</w:t>
      </w:r>
      <w:r w:rsidRPr="00CA4ABC">
        <w:rPr>
          <w:rFonts w:cstheme="minorHAnsi"/>
          <w:color w:val="000000" w:themeColor="text1"/>
        </w:rPr>
        <w:t xml:space="preserve"> and there is still a discrepancy in </w:t>
      </w:r>
      <w:r w:rsidR="003407A7" w:rsidRPr="00CA4ABC">
        <w:rPr>
          <w:rFonts w:cstheme="minorHAnsi"/>
          <w:color w:val="000000" w:themeColor="text1"/>
        </w:rPr>
        <w:t>the</w:t>
      </w:r>
      <w:r w:rsidRPr="00CA4ABC">
        <w:rPr>
          <w:rFonts w:cstheme="minorHAnsi"/>
          <w:color w:val="000000" w:themeColor="text1"/>
        </w:rPr>
        <w:t xml:space="preserve"> concise definition of this disease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{"citationItems":[{"id":"ITEM-1","itemData":{"DOI":"10.1093/ageing/afq034","ISSN":"00020729","abstract":"The European Working Group on Sarcopenia in Older People (EWGSOP) developed a practical clinical definition and consensus diagnostic criteria for age-related sarcopenia. EWGSOP included representatives from four participant organisations, i.e. the European Geriatric Medicine Society, the European Society for Clinical Nutrition and Metabolism, the International Association of Gerontology and Geriatrics-European Region and the International Association of Nutrition and Aging. These organisations endorsed the findings in the final document. The group met and addressed the following questions, using the medical literature to build evidence-based answers: (i) What is sarcopenia? (ii) What parameters define sarcopenia? (iii) What variables reflect these parameters, and what measurement tools and cut-off points can be used? (iv) How does sarcopenia relate to cachexia, frailty and sarcopenic obesity? For the diagnosis of sarcopenia, EWGSOP recommends using the presence of both low muscle mass + low muscle function (strength or performance). EWGSOP variously applies these characteristics to further define conceptual stages as 'presarcopenia', 'sarcopenia' and 'severe sarcopenia'. EWGSOP reviewed a wide range of tools that can be used to measure the specific variables of muscle mass, muscle strength and physical performance. Our paper summarises currently available data defining sarcopenia cut-off points by age and gender; suggests an algorithm for sarcopenia case finding in older individuals based on measurements of gait speed, grip strength and muscle mass; and presents a list of suggested primary and secondary outcome domains for research. Once an operational definition of sarcopenia is adopted and included in the mainstream of comprehensive geriatric assessment, the next steps are to define the natural course of sarcopenia and to develop and define effective treatment. © The Author 2010. Published by Oxford University Press on behalf of the British Geriatrics Society.","author":[{"dropping-particle":"","family":"Cruz-Jentoft","given":"Alfonso J.","non-dropping-particle":"","parse-names":false,"suffix":""},{"dropping-particle":"","family":"Baeyens","given":"Jean Pierre","non-dropping-particle":"","parse-names":false,"suffix":""},{"dropping-particle":"","family":"Bauer","given":"Jürgen M.","non-dropping-particle":"","parse-names":false,"suffix":""},{"dropping-particle":"","family":"Boirie","given":"Yves","non-dropping-particle":"","parse-names":false,"suffix":""},{"dropping-particle":"","family":"Cederholm","given":"Tommy","non-dropping-particle":"","parse-names":false,"suffix":""},{"dropping-particle":"","family":"Landi","given":"Francesco","non-dropping-particle":"","parse-names":false,"suffix":""},{"dropping-particle":"","family":"Martin","given":"Finbarr C.","non-dropping-particle":"","parse-names":false,"suffix":""},{"dropping-particle":"","family":"Michel","given":"Jean Pierre","non-dropping-particle":"","parse-names":false,"suffix":""},{"dropping-particle":"","family":"Rolland","given":"Yves","non-dropping-particle":"","parse-names":false,"suffix":""},{"dropping-particle":"","family":"Schneider","given":"Stéphane M.","non-dropping-particle":"","parse-names":false,"suffix":""},{"dropping-particle":"","family":"Topinková","given":"Eva","non-dropping-particle":"","parse-names":false,"suffix":""},{"dropping-particle":"","family":"Vandewoude","given":"Maurits","non-dropping-particle":"","parse-names":false,"suffix":""},{"dropping-particle":"","family":"Zamboni","given":"Mauro","non-dropping-particle":"","parse-names":false,"suffix":""}],"container-title":"Age and Ageing","id":"ITEM-1","issue":"4","issued":{"date-parts":[["2010","4","13"]]},"page":"412-423","title":"Sarcopenia: European consensus on definition and diagnosis","type":"article-journal","volume":"39"},"uris":["http://www.mendeley.com/documents/?uuid=a6c17042-89de-3d55-8b84-c48ad552993d"]}],"mendeley":{"formattedCitation":"(54)","manualFormatting":"25)","plainTextFormattedCitation":"(54)","previouslyFormattedCitation":"(54)"},"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25)</w:t>
      </w:r>
      <w:r w:rsidRPr="00CA4ABC">
        <w:rPr>
          <w:rFonts w:cstheme="minorHAnsi"/>
          <w:color w:val="000000" w:themeColor="text1"/>
        </w:rPr>
        <w:fldChar w:fldCharType="end"/>
      </w:r>
      <w:r w:rsidRPr="00CA4ABC">
        <w:rPr>
          <w:rFonts w:cstheme="minorHAnsi"/>
          <w:color w:val="000000" w:themeColor="text1"/>
        </w:rPr>
        <w:t xml:space="preserve">. Consequentially, this could potentially hinder the progression of research in this field and its use in a clinical context </w:t>
      </w:r>
      <w:r w:rsidRPr="00CA4ABC">
        <w:rPr>
          <w:rFonts w:cstheme="minorHAnsi"/>
          <w:color w:val="000000" w:themeColor="text1"/>
        </w:rPr>
        <w:fldChar w:fldCharType="begin" w:fldLock="1"/>
      </w:r>
      <w:r w:rsidR="00E34059" w:rsidRPr="00CA4ABC">
        <w:rPr>
          <w:rFonts w:cstheme="minorHAnsi"/>
          <w:color w:val="000000" w:themeColor="text1"/>
        </w:rPr>
        <w:instrText>ADDIN CSL_CITATION {"citationItems":[{"id":"ITEM-1","itemData":{"DOI":"10.1093/AGEING/AFY106","ISSN":"0002-0729","PMID":"30052707","abstract":"Background sarcopenia in ageing is a progressive decrease in muscle mass, strength and/or physical function. This review aims to summarise the definitions of sarcopenia in community-dwelling older adults and explore similarities and differences in prevalence estimates by definition. Methods a systematic review was conducted to identify articles which estimated sarcopenia prevalence in older populations using search terms for sarcopenia and muscle mass. Overall prevalence for each sarcopenia definition was estimated stratified by sex and ethnicity. Secondary analyses explored differences between studies and within definitions, including participant age, muscle mass measurement techniques and thresholds for muscle mass and gait speed. Results in 109 included articles, eight definitions of sarcopenia were identified. The lowest pooled prevalence estimates came from the European Working Group on Sarcopenia/Asian Working Group on Sarcopenia (12.9%, 95% confidence interval: 9.9-15.9%), International Working Group on Sarcopenia (9.9%, 3.2-16.6%) and Foundation for the National Institutes of Health (18.6%, 11.8-25.5%) definitions. The highest prevalence estimates were for the appendicular lean mass (ALM)/weight (40.4%, 19.5-61.2%), ALM/height (30.4%, 20.4-40.3%), ALM regressed on height and weight (30.4%, 20.4-40.3%) and ALM / body mass index (24.2%, 18.3-30.1%) definitions. Within definitions, the age of study participants and the muscle mass cut points used were substantive sources of between-study differences. Conclusion estimates of sarcopenia prevalence vary from 9.9 to 40.4%, depending on the definition used. Significant differences in prevalence exist within definitions across populations. This lack of agreement between definitions needs to be better understood before sarcopenia can be appropriately used in a clinical context.","author":[{"dropping-particle":"","family":"Mayhew","given":"A. J.","non-dropping-particle":"","parse-names":false,"suffix":""},{"dropping-particle":"","family":"Amog","given":"K.","non-dropping-particle":"","parse-names":false,"suffix":""},{"dropping-particle":"","family":"Phillips","given":"S.","non-dropping-particle":"","parse-names":false,"suffix":""},{"dropping-particle":"","family":"Parise","given":"G.","non-dropping-particle":"","parse-names":false,"suffix":""},{"dropping-particle":"","family":"McNicholas","given":"P. D.","non-dropping-particle":"","parse-names":false,"suffix":""},{"dropping-particle":"","family":"Souza","given":"R. J.","non-dropping-particle":"De","parse-names":false,"suffix":""},{"dropping-particle":"","family":"Thabane","given":"L.","non-dropping-particle":"","parse-names":false,"suffix":""},{"dropping-particle":"","family":"Raina","given":"P.","non-dropping-particle":"","parse-names":false,"suffix":""}],"container-title":"Age and Ageing","id":"ITEM-1","issue":"1","issued":{"date-parts":[["2019","1","1"]]},"page":"48-56","publisher":"Oxford Academic","title":"The prevalence of sarcopenia in community-dwelling older adults, an exploration of differences between studies and within definitions: a systematic review and meta-analyses","type":"article-journal","volume":"48"},"uris":["http://www.mendeley.com/documents/?uuid=5919f488-79b7-3bf7-b138-7bcb39d3c6c5"]}],"mendeley":{"formattedCitation":"(11)","plainTextFormattedCitation":"(11)","previouslyFormattedCitation":"(11)"},"properties":{"noteIndex":0},"schema":"https://github.com/citation-style-language/schema/raw/master/csl-citation.json"}</w:instrText>
      </w:r>
      <w:r w:rsidRPr="00CA4ABC">
        <w:rPr>
          <w:rFonts w:cstheme="minorHAnsi"/>
          <w:color w:val="000000" w:themeColor="text1"/>
        </w:rPr>
        <w:fldChar w:fldCharType="separate"/>
      </w:r>
      <w:r w:rsidR="005B258E" w:rsidRPr="00CA4ABC">
        <w:rPr>
          <w:rFonts w:cstheme="minorHAnsi"/>
          <w:noProof/>
          <w:color w:val="000000" w:themeColor="text1"/>
        </w:rPr>
        <w:t>(11)</w:t>
      </w:r>
      <w:r w:rsidRPr="00CA4ABC">
        <w:rPr>
          <w:rFonts w:cstheme="minorHAnsi"/>
          <w:color w:val="000000" w:themeColor="text1"/>
        </w:rPr>
        <w:fldChar w:fldCharType="end"/>
      </w:r>
      <w:r w:rsidRPr="00CA4ABC">
        <w:rPr>
          <w:rFonts w:cstheme="minorHAnsi"/>
          <w:color w:val="000000" w:themeColor="text1"/>
        </w:rPr>
        <w:t xml:space="preserve">. As such, interdisciplinary working groups were set up with the aim of devising operational criteria for identifying the presence of sarcopenia and systematically addressing the disease </w:t>
      </w:r>
      <w:r w:rsidRPr="00CA4ABC">
        <w:rPr>
          <w:rFonts w:cstheme="minorHAnsi"/>
          <w:color w:val="000000" w:themeColor="text1"/>
        </w:rPr>
        <w:fldChar w:fldCharType="begin" w:fldLock="1"/>
      </w:r>
      <w:r w:rsidR="00E34059" w:rsidRPr="00CA4ABC">
        <w:rPr>
          <w:rFonts w:cstheme="minorHAnsi"/>
          <w:color w:val="000000" w:themeColor="text1"/>
        </w:rPr>
        <w:instrText>ADDIN CSL_CITATION {"citationItems":[{"id":"ITEM-1","itemData":{"DOI":"10.1093/ageing/afq034","ISSN":"00020729","abstract":"The European Working Group on Sarcopenia in Older People (EWGSOP) developed a practical clinical definition and consensus diagnostic criteria for age-related sarcopenia. EWGSOP included representatives from four participant organisations, i.e. the European Geriatric Medicine Society, the European Society for Clinical Nutrition and Metabolism, the International Association of Gerontology and Geriatrics-European Region and the International Association of Nutrition and Aging. These organisations endorsed the findings in the final document. The group met and addressed the following questions, using the medical literature to build evidence-based answers: (i) What is sarcopenia? (ii) What parameters define sarcopenia? (iii) What variables reflect these parameters, and what measurement tools and cut-off points can be used? (iv) How does sarcopenia relate to cachexia, frailty and sarcopenic obesity? For the diagnosis of sarcopenia, EWGSOP recommends using the presence of both low muscle mass + low muscle function (strength or performance). EWGSOP variously applies these characteristics to further define conceptual stages as 'presarcopenia', 'sarcopenia' and 'severe sarcopenia'. EWGSOP reviewed a wide range of tools that can be used to measure the specific variables of muscle mass, muscle strength and physical performance. Our paper summarises currently available data defining sarcopenia cut-off points by age and gender; suggests an algorithm for sarcopenia case finding in older individuals based on measurements of gait speed, grip strength and muscle mass; and presents a list of suggested primary and secondary outcome domains for research. Once an operational definition of sarcopenia is adopted and included in the mainstream of comprehensive geriatric assessment, the next steps are to define the natural course of sarcopenia and to develop and define effective treatment. © The Author 2010. Published by Oxford University Press on behalf of the British Geriatrics Society.","author":[{"dropping-particle":"","family":"Cruz-Jentoft","given":"Alfonso J.","non-dropping-particle":"","parse-names":false,"suffix":""},{"dropping-particle":"","family":"Baeyens","given":"Jean Pierre","non-dropping-particle":"","parse-names":false,"suffix":""},{"dropping-particle":"","family":"Bauer","given":"Jürgen M.","non-dropping-particle":"","parse-names":false,"suffix":""},{"dropping-particle":"","family":"Boirie","given":"Yves","non-dropping-particle":"","parse-names":false,"suffix":""},{"dropping-particle":"","family":"Cederholm","given":"Tommy","non-dropping-particle":"","parse-names":false,"suffix":""},{"dropping-particle":"","family":"Landi","given":"Francesco","non-dropping-particle":"","parse-names":false,"suffix":""},{"dropping-particle":"","family":"Martin","given":"Finbarr C.","non-dropping-particle":"","parse-names":false,"suffix":""},{"dropping-particle":"","family":"Michel","given":"Jean Pierre","non-dropping-particle":"","parse-names":false,"suffix":""},{"dropping-particle":"","family":"Rolland","given":"Yves","non-dropping-particle":"","parse-names":false,"suffix":""},{"dropping-particle":"","family":"Schneider","given":"Stéphane M.","non-dropping-particle":"","parse-names":false,"suffix":""},{"dropping-particle":"","family":"Topinková","given":"Eva","non-dropping-particle":"","parse-names":false,"suffix":""},{"dropping-particle":"","family":"Vandewoude","given":"Maurits","non-dropping-particle":"","parse-names":false,"suffix":""},{"dropping-particle":"","family":"Zamboni","given":"Mauro","non-dropping-particle":"","parse-names":false,"suffix":""}],"container-title":"Age and Ageing","id":"ITEM-1","issue":"4","issued":{"date-parts":[["2010","4","13"]]},"page":"412-423","title":"Sarcopenia: European consensus on definition and diagnosis","type":"article-journal","volume":"39"},"uris":["http://www.mendeley.com/documents/?uuid=a6c17042-89de-3d55-8b84-c48ad552993d"]},{"id":"ITEM-2","itemData":{"DOI":"10.1016/j.jamda.2011.01.003","ISSN":"15258610","PMID":"21527165","abstract":"Sarcopenia, the age-associated loss of skeletal muscle mass and function, has considerable societal consequences for the development of frailty, disability, and health care planning. A group of geriatricians and scientists from academia and industry met in Rome, Italy, on November 18, 2009, to arrive at a consensus definition of sarcopenia. The current consensus definition was approved unanimously by the meeting participants and is as follows: Sarcopenia is defined as the age-associated loss of skeletal muscle mass and function. The causes of sarcopenia are multifactorial and can include disuse, altered endocrine function, chronic diseases, inflammation, insulin resistance, and nutritional deficiencies. Although cachexia may be a component of sarcopenia, the 2 conditions are not the same. The diagnosis of sarcopenia should be considered in all older patients who present with observed declines in physical function, strength, or overall health. Sarcopenia should specifically be considered in patients who are bedridden, cannot independently rise from a chair, or who have a measured gait speed less that 1 m/s(-1). Patients who meet these criteria should further undergo body composition assessment using dual energy x-ray absorptiometry with sarcopenia being defined using currently validated definitions. A diagnosis of sarcopenia is consistent with a gait speed of less than 1 m·s(-1) and an objectively measured low muscle mass (eg, appendicular mass relative to ht(2) that is ≤ 7.23 kg/m(2) in men and ≤ 5.67 kg/m(2) in women). Sarcopenia is a highly prevalent condition in older persons that leads to disability, hospitalization, and death.","author":[{"dropping-particle":"","family":"Fielding","given":"Roger A.","non-dropping-particle":"","parse-names":false,"suffix":""},{"dropping-particle":"","family":"Vellas","given":"Bruno","non-dropping-particle":"","parse-names":false,"suffix":""},{"dropping-particle":"","family":"Evans","given":"William J.","non-dropping-particle":"","parse-names":false,"suffix":""},{"dropping-particle":"","family":"Bhasin","given":"Shalender","non-dropping-particle":"","parse-names":false,"suffix":""},{"dropping-particle":"","family":"Morley","given":"John E.","non-dropping-particle":"","parse-names":false,"suffix":""},{"dropping-particle":"","family":"Newman","given":"Anne B.","non-dropping-particle":"","parse-names":false,"suffix":""},{"dropping-particle":"","family":"Abellan van Kan","given":"Gabor","non-dropping-particle":"","parse-names":false,"suffix":""},{"dropping-particle":"","family":"Andrieu","given":"Sandrine","non-dropping-particle":"","parse-names":false,"suffix":""},{"dropping-particle":"","family":"Bauer","given":"Juergen","non-dropping-particle":"","parse-names":false,"suffix":""},{"dropping-particle":"","family":"Breuille","given":"Denis","non-dropping-particle":"","parse-names":false,"suffix":""},{"dropping-particle":"","family":"Cederholm","given":"Tommy","non-dropping-particle":"","parse-names":false,"suffix":""},{"dropping-particle":"","family":"Chandler","given":"Julie","non-dropping-particle":"","parse-names":false,"suffix":""},{"dropping-particle":"","family":"Meynard","given":"Capucine","non-dropping-particle":"De","parse-names":false,"suffix":""},{"dropping-particle":"","family":"Donini","given":"Lorenzo","non-dropping-particle":"","parse-names":false,"suffix":""},{"dropping-particle":"","family":"Harris","given":"Tamara","non-dropping-particle":"","parse-names":false,"suffix":""},{"dropping-particle":"","family":"Kannt","given":"Aimo","non-dropping-particle":"","parse-names":false,"suffix":""},{"dropping-particle":"","family":"Keime Guibert","given":"Florence","non-dropping-particle":"","parse-names":false,"suffix":""},{"dropping-particle":"","family":"Onder","given":"Graziano","non-dropping-particle":"","parse-names":false,"suffix":""},{"dropping-particle":"","family":"Papanicolaou","given":"Dimitris","non-dropping-particle":"","parse-names":false,"suffix":""},{"dropping-particle":"","family":"Rolland","given":"Yves","non-dropping-particle":"","parse-names":false,"suffix":""},{"dropping-particle":"","family":"Rooks","given":"Daniel","non-dropping-particle":"","parse-names":false,"suffix":""},{"dropping-particle":"","family":"Sieber","given":"Cornel","non-dropping-particle":"","parse-names":false,"suffix":""},{"dropping-particle":"","family":"Souhami","given":"Elisabeth","non-dropping-particle":"","parse-names":false,"suffix":""},{"dropping-particle":"","family":"Verlaan","given":"Sjors","non-dropping-particle":"","parse-names":false,"suffix":""},{"dropping-particle":"","family":"Zamboni","given":"Mauro","non-dropping-particle":"","parse-names":false,"suffix":""}],"container-title":"Journal of the American Medical Directors Association","id":"ITEM-2","issue":"4","issued":{"date-parts":[["2011","5"]]},"page":"249-256","title":"Sarcopenia: An Undiagnosed Condition in Older Adults. Current Consensus Definition: Prevalence, Etiology, and Consequences. International Working Group on Sarcopenia","type":"article-journal","volume":"12"},"uris":["http://www.mendeley.com/documents/?uuid=e0ea6eb2-01fb-3803-b8d3-ceabffb06273"]},{"id":"ITEM-3","itemData":{"DOI":"10.1016/j.jamda.2013.11.025","ISSN":"15389375","PMID":"24461239","abstract":"Sarcopenia, a newly recognized geriatric syndrome, is characterized by age-related decline of skeletal muscle plus low muscle strength and/or physical performance. Previous studies have confirmed the association of sarcopenia and adverse health outcomes, such as falls, disability, hospital admission, long term care placement, poorer quality of life, and mortality, which denotes the importance of sarcopenia in the health care for older people. Despite the clinical significance of sarcopenia, the operational definition of sarcopenia and standardized intervention programs are still lacking. It is generally agreed by the different working groups for sarcopenia in the world that sarcopenia should be defined through a combined approach of muscle mass and muscle quality, however, selecting appropriate diagnostic cutoff values for all the measurements in Asian populations is challenging. Asia is a rapidly aging region with a huge population, so the impact of sarcopenia to this region is estimated to be huge as well. Asian Working Group for Sarcopenia (AWGS) aimed to promote sarcopenia research in Asia, and we collected the best available evidences of sarcopenia researches from Asian countries to establish the consensus for sarcopenia diagnosis. AWGS has agreed with the previous reports that sarcopenia should be described as low muscle mass plus low muscle strength and/or low physical performance, and we also recommend outcome indicators for further researches, as well as the conditions that sarcopenia should be assessed. In addition to sarcopenia screening for community-dwelling older people, AWGS recommends sarcopenia assessment in certain clinical conditions and healthcare settings to facilitate implementing sarcopenia in clinical practice. Moreover, we also recommend cutoff values for muscle mass measurements (7.0 kg/m 2 for men and 5.4 kg/m 2 for women by using dual X-ray absorptiometry, and 7.0 kg/m 2 for men and 5.7 kg/m 2 for women by using bioimpedance analysis), handgrip strength (&lt;26 kg for men and &lt;18 kg for women), and usual gait speed (&lt;0.8 m/s). However, a number of challenges remained to be solved in the future. Asia is made up of a great number of ethnicities. The majority of currently available studies have been published from eastern Asia, therefore, more studies of sarcopenia in south, southeastern, and western Asia should be promoted. On the other hand, most Asian studies have been conducted in a cross-sectional design and few longitudinal s…","author":[{"dropping-particle":"","family":"Chen","given":"Liang Kung","non-dropping-particle":"","parse-names":false,"suffix":""},{"dropping-particle":"","family":"Liu","given":"Li Kuo","non-dropping-particle":"","parse-names":false,"suffix":""},{"dropping-particle":"","family":"Woo","given":"Jean","non-dropping-particle":"","parse-names":false,"suffix":""},{"dropping-particle":"","family":"Assantachai","given":"Prasert","non-dropping-particle":"","parse-names":false,"suffix":""},{"dropping-particle":"","family":"Auyeung","given":"Tung Wai","non-dropping-particle":"","parse-names":false,"suffix":""},{"dropping-particle":"","family":"Bahyah","given":"Kamaruzzaman Shahrul","non-dropping-particle":"","parse-names":false,"suffix":""},{"dropping-particle":"","family":"Chou","given":"Ming Yueh","non-dropping-particle":"","parse-names":false,"suffix":""},{"dropping-particle":"","family":"Chen","given":"Liang Yu","non-dropping-particle":"","parse-names":false,"suffix":""},{"dropping-particle":"","family":"Hsu","given":"Pi Shan","non-dropping-particle":"","parse-names":false,"suffix":""},{"dropping-particle":"","family":"Krairit","given":"Orapitchaya","non-dropping-particle":"","parse-names":false,"suffix":""},{"dropping-particle":"","family":"Lee","given":"Jenny S.W.","non-dropping-particle":"","parse-names":false,"suffix":""},{"dropping-particle":"","family":"Lee","given":"Wei Ju","non-dropping-particle":"","parse-names":false,"suffix":""},{"dropping-particle":"","family":"Lee","given":"Yunhwan","non-dropping-particle":"","parse-names":false,"suffix":""},{"dropping-particle":"","family":"Liang","given":"Chih Kuang","non-dropping-particle":"","parse-names":false,"suffix":""},{"dropping-particle":"","family":"Limpawattana","given":"Panita","non-dropping-particle":"","parse-names":false,"suffix":""},{"dropping-particle":"","family":"Lin","given":"Chu Sheng","non-dropping-particle":"","parse-names":false,"suffix":""},{"dropping-particle":"","family":"Peng","given":"Li Ning","non-dropping-particle":"","parse-names":false,"suffix":""},{"dropping-particle":"","family":"Satake","given":"Shosuke","non-dropping-particle":"","parse-names":false,"suffix":""},{"dropping-particle":"","family":"Suzuki","given":"Takao","non-dropping-particle":"","parse-names":false,"suffix":""},{"dropping-particle":"","family":"Won","given":"Chang Won","non-dropping-particle":"","parse-names":false,"suffix":""},{"dropping-particle":"","family":"Wu","given":"Chih Hsing","non-dropping-particle":"","parse-names":false,"suffix":""},{"dropping-particle":"","family":"Wu","given":"Si Nan","non-dropping-particle":"","parse-names":false,"suffix":""},{"dropping-particle":"","family":"Zhang","given":"Teimei","non-dropping-particle":"","parse-names":false,"suffix":""},{"dropping-particle":"","family":"Zeng","given":"Ping","non-dropping-particle":"","parse-names":false,"suffix":""},{"dropping-particle":"","family":"Akishita","given":"Masahiro","non-dropping-particle":"","parse-names":false,"suffix":""},{"dropping-particle":"","family":"Arai","given":"Hidenori","non-dropping-particle":"","parse-names":false,"suffix":""}],"container-title":"Journal of the American Medical Directors Association","id":"ITEM-3","issue":"2","issued":{"date-parts":[["2014"]]},"page":"95-101","publisher":"Elsevier Inc.","title":"Sarcopenia in Asia: Consensus report of the Asian working group for sarcopenia","type":"article","volume":"15"},"uris":["http://www.mendeley.com/documents/?uuid=5db22e19-c2b3-39e6-93aa-d40a621309dc"]},{"id":"ITEM-4","itemData":{"DOI":"10.1093/gerona/glu010","ISSN":"1758535X","abstract":"Background.Low muscle mass and weakness are common and potentially disabling in older adults, but in order to become recognized as a clinical condition, criteria for diagnosis should be based on clinically relevant thresholds and independently validated. The Foundation for the National Institutes of Health Biomarkers Consortium Sarcopenia Project used an evidence-based approach to develop these criteria. Initial findings were presented at a conference in May 2012, which generated recommendations that guided additional analyses to determine final recommended criteria. Details of the Project and its findings are presented in four accompanying manuscripts.Methods.The Foundation for the National Institutes of Health Sarcopenia Project used data from nine sources of community-dwelling older persons: Age, Gene/Environment Susceptibility-Reykjavik Study, Boston Puerto Rican Health Study, a series of six clinical trials, Framingham Heart Study, Health, Aging, and Body Composition, Invecchiare in Chianti, Osteoporotic Fractures in Men Study, Rancho Bernardo Study, and Study of Osteoporotic Fractures. Feedback from conference attendees was obtained via surveys and breakout groups.Results.The pooled sample included 26,625 participants (57% women, mean age in men 75.2 [±6.1 SD] and in women 78.6 [±5.9] years). Conference attendees emphasized the importance of evaluating the influence of body mass on cutpoints. Based on the analyses presented in this series, the final recommended cutpoints for weakness are grip strength &lt;26kg for men and &lt;16kg for women, and for low lean mass, appendicular lean mass adjusted for body mass index &lt;0.789 for men and &lt;0.512 for women.Conclusions.These evidence-based cutpoints, based on a large and diverse population, may help identify participants for clinical trials and should be evaluated among populations with high rates of functional limitations. © The Author 2014.","author":[{"dropping-particle":"","family":"Studenski","given":"Stephanie A.","non-dropping-particle":"","parse-names":false,"suffix":""},{"dropping-particle":"","family":"Peters","given":"Katherine W.","non-dropping-particle":"","parse-names":false,"suffix":""},{"dropping-particle":"","family":"Alley","given":"Dawn E.","non-dropping-particle":"","parse-names":false,"suffix":""},{"dropping-particle":"","family":"Cawthon","given":"Peggy M.","non-dropping-particle":"","parse-names":false,"suffix":""},{"dropping-particle":"","family":"McLean","given":"Robert R.","non-dropping-particle":"","parse-names":false,"suffix":""},{"dropping-particle":"","family":"Harris","given":"Tamara B.","non-dropping-particle":"","parse-names":false,"suffix":""},{"dropping-particle":"","family":"Ferrucci","given":"Luigi","non-dropping-particle":"","parse-names":false,"suffix":""},{"dropping-particle":"","family":"Guralnik","given":"Jack M.","non-dropping-particle":"","parse-names":false,"suffix":""},{"dropping-particle":"","family":"Fragala","given":"Maren S.","non-dropping-particle":"","parse-names":false,"suffix":""},{"dropping-particle":"","family":"Kenny","given":"Anne M.","non-dropping-particle":"","parse-names":false,"suffix":""},{"dropping-particle":"","family":"Kiel","given":"Douglas P.","non-dropping-particle":"","parse-names":false,"suffix":""},{"dropping-particle":"","family":"Kritchevsky","given":"Stephen B.","non-dropping-particle":"","parse-names":false,"suffix":""},{"dropping-particle":"","family":"Shardell","given":"Michelle D.","non-dropping-particle":"","parse-names":false,"suffix":""},{"dropping-particle":"","family":"Dam","given":"Thuy Tien L.","non-dropping-particle":"","parse-names":false,"suffix":""},{"dropping-particle":"","family":"Vassileva","given":"Maria T.","non-dropping-particle":"","parse-names":false,"suffix":""}],"container-title":"Journals of Gerontology - Series A Biological Sciences and Medical Sciences","id":"ITEM-4","issue":"5","issued":{"date-parts":[["2014"]]},"page":"547-558","publisher":"Oxford University Press","title":"The FNIH sarcopenia project: Rationale, study description, conference recommendations, and final estimates","type":"article-journal","volume":"69 A"},"uris":["http://www.mendeley.com/documents/?uuid=50fd4f04-6e0c-3e58-a656-31dcb5d7fcbb"]},{"id":"ITEM-5","itemData":{"DOI":"10.1111/JGS.16372","ISSN":"1532-5415","PMID":"32150289","abstract":"OBJECTIVES: To develop an evidence-based definition of sarcopenia that can facilitate identification of older adults at risk for clinically relevant outcomes (eg, self-reported mobility limitation, falls, fractures, and mortality), the Sarcopenia Definition and Outcomes Consortium (SDOC) crafted a set of position statements informed by a literature review and SDOC's analyses of eight epidemiologic studies, six randomized clinical trials, four cohort studies of special populations, and two nationally representative population-based studies. METHODS: Thirteen position statements related to the putative components of a sarcopenia definition, informed by the SDOC analyses and literature synthesis, were reviewed by an independent international expert panel (panel) iteratively and voted on by the panel during the Sarcopenia Position Statement Conference. Four position statements related to grip strength, three to lean mass derived from dual-energy x-ray absorptiometry (DXA), and four to gait speed; two were summary statements. RESULTS: The SDOC analyses identified grip strength, either absolute or scaled to measures of body size, as an important discriminator of slowness. Both low grip strength and low usual gait speed independently predicted falls, self-reported mobility limitation, hip fractures, and mortality in community-dwelling older adults. Lean mass measured by DXA was not associated with incident adverse health-related outcomes in community-dwelling older adults with or without adjustment for body size. CONCLUSION: The panel agreed that both weakness defined by low grip strength and slowness defined by low usual gait speed should be included in the definition of sarcopenia. These position statements offer a rational basis for an evidence-based definition of sarcopenia. The analyses that informed these position statements are summarized in this article and discussed in accompanying articles in this issue of the journal. J Am Geriatr Soc 68:1410-1418, 2020.","author":[{"dropping-particle":"","family":"Bhasin","given":"Shalender","non-dropping-particle":"","parse-names":false,"suffix":""},{"dropping-particle":"","family":"Travison","given":"Thomas G.","non-dropping-particle":"","parse-names":false,"suffix":""},{"dropping-particle":"","family":"Manini","given":"Todd M.","non-dropping-particle":"","parse-names":false,"suffix":""},{"dropping-particle":"","family":"Patel","given":"Sheena","non-dropping-particle":"","parse-names":false,"suffix":""},{"dropping-particle":"","family":"Pencina","given":"Karol M.","non-dropping-particle":"","parse-names":false,"suffix":""},{"dropping-particle":"","family":"Fielding","given":"Roger A.","non-dropping-particle":"","parse-names":false,"suffix":""},{"dropping-particle":"","family":"Magaziner","given":"Jay M.","non-dropping-particle":"","parse-names":false,"suffix":""},{"dropping-particle":"","family":"Newman","given":"Anne B.","non-dropping-particle":"","parse-names":false,"suffix":""},{"dropping-particle":"","family":"Kiel","given":"Douglas P.","non-dropping-particle":"","parse-names":false,"suffix":""},{"dropping-particle":"","family":"Cooper","given":"Cyrus","non-dropping-particle":"","parse-names":false,"suffix":""},{"dropping-particle":"","family":"Guralnik","given":"Jack M.","non-dropping-particle":"","parse-names":false,"suffix":""},{"dropping-particle":"","family":"Cauley","given":"Jane A.","non-dropping-particle":"","parse-names":false,"suffix":""},{"dropping-particle":"","family":"Arai","given":"Hidenori","non-dropping-particle":"","parse-names":false,"suffix":""},{"dropping-particle":"","family":"Clark","given":"Brian C.","non-dropping-particle":"","parse-names":false,"suffix":""},{"dropping-particle":"","family":"Landi","given":"Francesco","non-dropping-particle":"","parse-names":false,"suffix":""},{"dropping-particle":"","family":"Schaap","given":"Laura A.","non-dropping-particle":"","parse-names":false,"suffix":""},{"dropping-particle":"","family":"Pereira","given":"Suzette L.","non-dropping-particle":"","parse-names":false,"suffix":""},{"dropping-particle":"","family":"Rooks","given":"Daniel","non-dropping-particle":"","parse-names":false,"suffix":""},{"dropping-particle":"","family":"Woo","given":"Jean","non-dropping-particle":"","parse-names":false,"suffix":""},{"dropping-particle":"","family":"Woodhouse","given":"Linda J.","non-dropping-particle":"","parse-names":false,"suffix":""},{"dropping-particle":"","family":"Binder","given":"Ellen","non-dropping-particle":"","parse-names":false,"suffix":""},{"dropping-particle":"","family":"Brown","given":"Todd","non-dropping-particle":"","parse-names":false,"suffix":""},{"dropping-particle":"","family":"Shardell","given":"Michelle","non-dropping-particle":"","parse-names":false,"suffix":""},{"dropping-particle":"","family":"Xue","given":"Quian Li","non-dropping-particle":"","parse-names":false,"suffix":""},{"dropping-particle":"","family":"DʼAgostino","given":"Ralph B.","non-dropping-particle":"","parse-names":false,"suffix":""},{"dropping-particle":"","family":"Orwig","given":"Denise","non-dropping-particle":"","parse-names":false,"suffix":""},{"dropping-particle":"","family":"Gorsicki","given":"Greg","non-dropping-particle":"","parse-names":false,"suffix":""},{"dropping-particle":"","family":"Correa-De-Araujo","given":"Rosaly","non-dropping-particle":"","parse-names":false,"suffix":""},{"dropping-particle":"","family":"Cawthon","given":"Peggy M.","non-dropping-particle":"","parse-names":false,"suffix":""}],"container-title":"Journal of the American Geriatrics Society","id":"ITEM-5","issue":"7","issued":{"date-parts":[["2020","7","1"]]},"page":"1410-1418","publisher":"J Am Geriatr Soc","title":"Sarcopenia Definition: The Position Statements of the Sarcopenia Definition and Outcomes Consortium","type":"article-journal","volume":"68"},"uris":["http://www.mendeley.com/documents/?uuid=45ba1404-3ea2-3d6a-baf1-ab7688f95ca9"]}],"mendeley":{"formattedCitation":"(54–58)","plainTextFormattedCitation":"(54–58)","previouslyFormattedCitation":"(54–58)"},"properties":{"noteIndex":0},"schema":"https://github.com/citation-style-language/schema/raw/master/csl-citation.json"}</w:instrText>
      </w:r>
      <w:r w:rsidRPr="00CA4ABC">
        <w:rPr>
          <w:rFonts w:cstheme="minorHAnsi"/>
          <w:color w:val="000000" w:themeColor="text1"/>
        </w:rPr>
        <w:fldChar w:fldCharType="separate"/>
      </w:r>
      <w:r w:rsidR="005B258E" w:rsidRPr="00CA4ABC">
        <w:rPr>
          <w:rFonts w:cstheme="minorHAnsi"/>
          <w:noProof/>
          <w:color w:val="000000" w:themeColor="text1"/>
        </w:rPr>
        <w:t>(54–58)</w:t>
      </w:r>
      <w:r w:rsidRPr="00CA4ABC">
        <w:rPr>
          <w:rFonts w:cstheme="minorHAnsi"/>
          <w:color w:val="000000" w:themeColor="text1"/>
        </w:rPr>
        <w:fldChar w:fldCharType="end"/>
      </w:r>
      <w:r w:rsidRPr="00CA4ABC">
        <w:rPr>
          <w:rFonts w:cstheme="minorHAnsi"/>
          <w:color w:val="000000" w:themeColor="text1"/>
        </w:rPr>
        <w:t xml:space="preserve">. Although there is some consensus amongst these definitions, </w:t>
      </w:r>
      <w:r w:rsidR="00385422" w:rsidRPr="00CA4ABC">
        <w:rPr>
          <w:rFonts w:cstheme="minorHAnsi"/>
          <w:color w:val="000000" w:themeColor="text1"/>
        </w:rPr>
        <w:lastRenderedPageBreak/>
        <w:t xml:space="preserve">nevertheless, </w:t>
      </w:r>
      <w:r w:rsidRPr="00CA4ABC">
        <w:rPr>
          <w:rFonts w:cstheme="minorHAnsi"/>
          <w:color w:val="000000" w:themeColor="text1"/>
        </w:rPr>
        <w:t xml:space="preserve">diagnosis criteria and measurement cut-off points used to classify someone as (pre) sarcopenic </w:t>
      </w:r>
      <w:r w:rsidR="00385422" w:rsidRPr="00CA4ABC">
        <w:rPr>
          <w:rFonts w:cstheme="minorHAnsi"/>
          <w:color w:val="000000" w:themeColor="text1"/>
        </w:rPr>
        <w:t xml:space="preserve">still </w:t>
      </w:r>
      <w:r w:rsidRPr="00CA4ABC">
        <w:rPr>
          <w:rFonts w:cstheme="minorHAnsi"/>
          <w:color w:val="000000" w:themeColor="text1"/>
        </w:rPr>
        <w:t>differ (</w:t>
      </w:r>
      <w:r w:rsidRPr="00CA4ABC">
        <w:rPr>
          <w:rFonts w:cstheme="minorHAnsi"/>
          <w:color w:val="000000" w:themeColor="text1"/>
        </w:rPr>
        <w:fldChar w:fldCharType="begin"/>
      </w:r>
      <w:r w:rsidRPr="00CA4ABC">
        <w:rPr>
          <w:rFonts w:cstheme="minorHAnsi"/>
          <w:color w:val="000000" w:themeColor="text1"/>
        </w:rPr>
        <w:instrText xml:space="preserve"> REF _Ref120719818 \h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Table </w:t>
      </w:r>
      <w:r w:rsidRPr="00CA4ABC">
        <w:rPr>
          <w:rFonts w:cstheme="minorHAnsi"/>
          <w:noProof/>
          <w:color w:val="000000" w:themeColor="text1"/>
        </w:rPr>
        <w:t>3</w:t>
      </w:r>
      <w:r w:rsidRPr="00CA4ABC">
        <w:rPr>
          <w:rFonts w:cstheme="minorHAnsi"/>
          <w:color w:val="000000" w:themeColor="text1"/>
        </w:rPr>
        <w:fldChar w:fldCharType="end"/>
      </w:r>
      <w:r w:rsidRPr="00CA4ABC">
        <w:rPr>
          <w:rFonts w:cstheme="minorHAnsi"/>
          <w:color w:val="000000" w:themeColor="text1"/>
        </w:rPr>
        <w:t xml:space="preserve">). This also reflects </w:t>
      </w:r>
      <w:r w:rsidR="003407A7" w:rsidRPr="00CA4ABC">
        <w:rPr>
          <w:rFonts w:cstheme="minorHAnsi"/>
          <w:color w:val="000000" w:themeColor="text1"/>
        </w:rPr>
        <w:t>i</w:t>
      </w:r>
      <w:r w:rsidRPr="00CA4ABC">
        <w:rPr>
          <w:rFonts w:cstheme="minorHAnsi"/>
          <w:color w:val="000000" w:themeColor="text1"/>
        </w:rPr>
        <w:t>n</w:t>
      </w:r>
      <w:r w:rsidR="003407A7" w:rsidRPr="00CA4ABC">
        <w:rPr>
          <w:rFonts w:cstheme="minorHAnsi"/>
          <w:color w:val="000000" w:themeColor="text1"/>
        </w:rPr>
        <w:t xml:space="preserve"> the</w:t>
      </w:r>
      <w:r w:rsidRPr="00CA4ABC">
        <w:rPr>
          <w:rFonts w:cstheme="minorHAnsi"/>
          <w:color w:val="000000" w:themeColor="text1"/>
        </w:rPr>
        <w:t xml:space="preserve"> prevalence rates documented. This could potentially be problematic as underestimations of sarcopenia’s prevalence may lead to the disease not being given the attention it deserves. A recent systematic</w:t>
      </w:r>
      <w:r w:rsidR="003407A7" w:rsidRPr="00CA4ABC">
        <w:rPr>
          <w:rFonts w:cstheme="minorHAnsi"/>
          <w:color w:val="000000" w:themeColor="text1"/>
        </w:rPr>
        <w:t xml:space="preserve"> </w:t>
      </w:r>
      <w:r w:rsidRPr="00CA4ABC">
        <w:rPr>
          <w:rFonts w:cstheme="minorHAnsi"/>
          <w:color w:val="000000" w:themeColor="text1"/>
        </w:rPr>
        <w:t>review and meta-analysis which aimed to explore similarities and difference</w:t>
      </w:r>
      <w:r w:rsidR="003407A7" w:rsidRPr="00CA4ABC">
        <w:rPr>
          <w:rFonts w:cstheme="minorHAnsi"/>
          <w:color w:val="000000" w:themeColor="text1"/>
        </w:rPr>
        <w:t>s</w:t>
      </w:r>
      <w:r w:rsidRPr="00CA4ABC">
        <w:rPr>
          <w:rFonts w:cstheme="minorHAnsi"/>
          <w:color w:val="000000" w:themeColor="text1"/>
        </w:rPr>
        <w:t xml:space="preserve"> between prevalence rates by definition found that estimations varied from 9.9 to 40.4% </w:t>
      </w:r>
      <w:r w:rsidRPr="00CA4ABC">
        <w:rPr>
          <w:rFonts w:cstheme="minorHAnsi"/>
          <w:color w:val="000000" w:themeColor="text1"/>
        </w:rPr>
        <w:fldChar w:fldCharType="begin" w:fldLock="1"/>
      </w:r>
      <w:r w:rsidR="00E34059" w:rsidRPr="00CA4ABC">
        <w:rPr>
          <w:rFonts w:cstheme="minorHAnsi"/>
          <w:color w:val="000000" w:themeColor="text1"/>
        </w:rPr>
        <w:instrText>ADDIN CSL_CITATION {"citationItems":[{"id":"ITEM-1","itemData":{"DOI":"10.1093/AGEING/AFY106","ISSN":"0002-0729","PMID":"30052707","abstract":"Background sarcopenia in ageing is a progressive decrease in muscle mass, strength and/or physical function. This review aims to summarise the definitions of sarcopenia in community-dwelling older adults and explore similarities and differences in prevalence estimates by definition. Methods a systematic review was conducted to identify articles which estimated sarcopenia prevalence in older populations using search terms for sarcopenia and muscle mass. Overall prevalence for each sarcopenia definition was estimated stratified by sex and ethnicity. Secondary analyses explored differences between studies and within definitions, including participant age, muscle mass measurement techniques and thresholds for muscle mass and gait speed. Results in 109 included articles, eight definitions of sarcopenia were identified. The lowest pooled prevalence estimates came from the European Working Group on Sarcopenia/Asian Working Group on Sarcopenia (12.9%, 95% confidence interval: 9.9-15.9%), International Working Group on Sarcopenia (9.9%, 3.2-16.6%) and Foundation for the National Institutes of Health (18.6%, 11.8-25.5%) definitions. The highest prevalence estimates were for the appendicular lean mass (ALM)/weight (40.4%, 19.5-61.2%), ALM/height (30.4%, 20.4-40.3%), ALM regressed on height and weight (30.4%, 20.4-40.3%) and ALM / body mass index (24.2%, 18.3-30.1%) definitions. Within definitions, the age of study participants and the muscle mass cut points used were substantive sources of between-study differences. Conclusion estimates of sarcopenia prevalence vary from 9.9 to 40.4%, depending on the definition used. Significant differences in prevalence exist within definitions across populations. This lack of agreement between definitions needs to be better understood before sarcopenia can be appropriately used in a clinical context.","author":[{"dropping-particle":"","family":"Mayhew","given":"A. J.","non-dropping-particle":"","parse-names":false,"suffix":""},{"dropping-particle":"","family":"Amog","given":"K.","non-dropping-particle":"","parse-names":false,"suffix":""},{"dropping-particle":"","family":"Phillips","given":"S.","non-dropping-particle":"","parse-names":false,"suffix":""},{"dropping-particle":"","family":"Parise","given":"G.","non-dropping-particle":"","parse-names":false,"suffix":""},{"dropping-particle":"","family":"McNicholas","given":"P. D.","non-dropping-particle":"","parse-names":false,"suffix":""},{"dropping-particle":"","family":"Souza","given":"R. J.","non-dropping-particle":"De","parse-names":false,"suffix":""},{"dropping-particle":"","family":"Thabane","given":"L.","non-dropping-particle":"","parse-names":false,"suffix":""},{"dropping-particle":"","family":"Raina","given":"P.","non-dropping-particle":"","parse-names":false,"suffix":""}],"container-title":"Age and Ageing","id":"ITEM-1","issue":"1","issued":{"date-parts":[["2019","1","1"]]},"page":"48-56","publisher":"Oxford Academic","title":"The prevalence of sarcopenia in community-dwelling older adults, an exploration of differences between studies and within definitions: a systematic review and meta-analyses","type":"article-journal","volume":"48"},"uris":["http://www.mendeley.com/documents/?uuid=5919f488-79b7-3bf7-b138-7bcb39d3c6c5"]}],"mendeley":{"formattedCitation":"(11)","plainTextFormattedCitation":"(11)","previouslyFormattedCitation":"(11)"},"properties":{"noteIndex":0},"schema":"https://github.com/citation-style-language/schema/raw/master/csl-citation.json"}</w:instrText>
      </w:r>
      <w:r w:rsidRPr="00CA4ABC">
        <w:rPr>
          <w:rFonts w:cstheme="minorHAnsi"/>
          <w:color w:val="000000" w:themeColor="text1"/>
        </w:rPr>
        <w:fldChar w:fldCharType="separate"/>
      </w:r>
      <w:r w:rsidR="005B258E" w:rsidRPr="00CA4ABC">
        <w:rPr>
          <w:rFonts w:cstheme="minorHAnsi"/>
          <w:noProof/>
          <w:color w:val="000000" w:themeColor="text1"/>
        </w:rPr>
        <w:t>(11)</w:t>
      </w:r>
      <w:r w:rsidRPr="00CA4ABC">
        <w:rPr>
          <w:rFonts w:cstheme="minorHAnsi"/>
          <w:color w:val="000000" w:themeColor="text1"/>
        </w:rPr>
        <w:fldChar w:fldCharType="end"/>
      </w:r>
      <w:r w:rsidRPr="00CA4ABC">
        <w:rPr>
          <w:rFonts w:cstheme="minorHAnsi"/>
          <w:color w:val="000000" w:themeColor="text1"/>
        </w:rPr>
        <w:t xml:space="preserve">. Estimations have also been reported to exceed this range, </w:t>
      </w:r>
      <w:r w:rsidR="002A2673" w:rsidRPr="00CA4ABC">
        <w:rPr>
          <w:rFonts w:cstheme="minorHAnsi"/>
          <w:color w:val="000000" w:themeColor="text1"/>
        </w:rPr>
        <w:t xml:space="preserve">with some reports even suggesting prevalence rates are as large as </w:t>
      </w:r>
      <w:r w:rsidRPr="00CA4ABC">
        <w:rPr>
          <w:rFonts w:cstheme="minorHAnsi"/>
          <w:color w:val="000000" w:themeColor="text1"/>
        </w:rPr>
        <w:t xml:space="preserve">85.4% in males aged 45 years or older </w:t>
      </w:r>
      <w:r w:rsidRPr="00CA4ABC">
        <w:rPr>
          <w:rFonts w:cstheme="minorHAnsi"/>
          <w:color w:val="000000" w:themeColor="text1"/>
        </w:rPr>
        <w:fldChar w:fldCharType="begin" w:fldLock="1"/>
      </w:r>
      <w:r w:rsidR="00E34059" w:rsidRPr="00CA4ABC">
        <w:rPr>
          <w:rFonts w:cstheme="minorHAnsi"/>
          <w:color w:val="000000" w:themeColor="text1"/>
        </w:rPr>
        <w:instrText>ADDIN CSL_CITATION {"citationItems":[{"id":"ITEM-1","itemData":{"DOI":"10.1155/2014/231312","abstract":"Aim. To identify methods, index, diagnostic criteria, and corresponding cutoff points used to estimate the prevalence of sarcopenia in older people in different countries. Methods. A systematic review was carried out in accordance with PRISMA Statement. The search encompassed the MEDLINE and LILACS databases and was executed during March 2012 using the keyword sarcopenia. Results. A total of 671 studies were identified by the search strategy, and 30 meet all inclusion criteria. Specifically for dual-X-ray absorptiometry, prevalence ranged from 2.2% to 95% in men and from 0.1% to 33.9% in women. For bioelectrical impedance analysis, the range was from 6.2% to 85.4% in men and 2.8% to 23.6% in women. Regarding anthropometric and computed tomography, prevalence rates were, respectively, 14.1% and 55.9%. Conclusions. Heterogeneity in prevalence of sarcopenia was identified, due to diagnostic method choice, cutoff points, and, characteristics of the population as well as reference population. These factors should be considered in research designs to enable comparison and validation of results. Despite the limitations of most studies that indicated high prevalence rates, the results indicate the need for early detection of this syndrome.","author":[{"dropping-particle":"","family":"Pagotto","given":"Valéria","non-dropping-particle":"","parse-names":false,"suffix":""},{"dropping-particle":"","family":"Silveira","given":"Erika Aparecida","non-dropping-particle":"","parse-names":false,"suffix":""}],"id":"ITEM-1","issued":{"date-parts":[["2014"]]},"title":"Review Article Methods, Diagnostic Criteria, Cutoff Points, and Prevalence of Sarcopenia among Older People","type":"article-journal"},"uris":["http://www.mendeley.com/documents/?uuid=49382bbb-8705-3acf-8c6d-e441a61d6f11"]}],"mendeley":{"formattedCitation":"(59)","plainTextFormattedCitation":"(59)","previouslyFormattedCitation":"(59)"},"properties":{"noteIndex":0},"schema":"https://github.com/citation-style-language/schema/raw/master/csl-citation.json"}</w:instrText>
      </w:r>
      <w:r w:rsidRPr="00CA4ABC">
        <w:rPr>
          <w:rFonts w:cstheme="minorHAnsi"/>
          <w:color w:val="000000" w:themeColor="text1"/>
        </w:rPr>
        <w:fldChar w:fldCharType="separate"/>
      </w:r>
      <w:r w:rsidR="005B258E" w:rsidRPr="00CA4ABC">
        <w:rPr>
          <w:rFonts w:cstheme="minorHAnsi"/>
          <w:noProof/>
          <w:color w:val="000000" w:themeColor="text1"/>
        </w:rPr>
        <w:t>(59)</w:t>
      </w:r>
      <w:r w:rsidRPr="00CA4ABC">
        <w:rPr>
          <w:rFonts w:cstheme="minorHAnsi"/>
          <w:color w:val="000000" w:themeColor="text1"/>
        </w:rPr>
        <w:fldChar w:fldCharType="end"/>
      </w:r>
      <w:r w:rsidRPr="00CA4ABC">
        <w:rPr>
          <w:rFonts w:cstheme="minorHAnsi"/>
          <w:color w:val="000000" w:themeColor="text1"/>
        </w:rPr>
        <w:t>.</w:t>
      </w:r>
      <w:r w:rsidR="002A2673" w:rsidRPr="00CA4ABC">
        <w:rPr>
          <w:rFonts w:cstheme="minorHAnsi"/>
          <w:color w:val="000000" w:themeColor="text1"/>
        </w:rPr>
        <w:t xml:space="preserve"> This </w:t>
      </w:r>
      <w:r w:rsidR="00651B78">
        <w:rPr>
          <w:rFonts w:cstheme="minorHAnsi"/>
          <w:color w:val="000000" w:themeColor="text1"/>
        </w:rPr>
        <w:t>rate</w:t>
      </w:r>
      <w:r w:rsidR="002A2673" w:rsidRPr="00CA4ABC">
        <w:rPr>
          <w:rFonts w:cstheme="minorHAnsi"/>
          <w:color w:val="000000" w:themeColor="text1"/>
        </w:rPr>
        <w:t xml:space="preserve"> was, however, documented when bioelectrical impedance was used to diagnose sarcopenia and this technique may be prone to inaccuracies. </w:t>
      </w:r>
      <w:r w:rsidRPr="00CA4ABC">
        <w:rPr>
          <w:rFonts w:cstheme="minorHAnsi"/>
          <w:color w:val="000000" w:themeColor="text1"/>
        </w:rPr>
        <w:t>Despite discrepancies, it is still apparent that sarcopenia poses a global problem and minimisation of its occurrence is desirable; a prevention approach may be the ultimate way to achieve this. For research, it is important to have an understanding of how sarcopenia is defined in order to take relevant measurements that feed into the diagnosis criteria and thus improv</w:t>
      </w:r>
      <w:r w:rsidR="003407A7" w:rsidRPr="00CA4ABC">
        <w:rPr>
          <w:rFonts w:cstheme="minorHAnsi"/>
          <w:color w:val="000000" w:themeColor="text1"/>
        </w:rPr>
        <w:t>e</w:t>
      </w:r>
      <w:r w:rsidRPr="00CA4ABC">
        <w:rPr>
          <w:rFonts w:cstheme="minorHAnsi"/>
          <w:color w:val="000000" w:themeColor="text1"/>
        </w:rPr>
        <w:t xml:space="preserve"> these parameters via intervention protocols. This will also have significance for potentially altering clinical outcomes, which is </w:t>
      </w:r>
      <w:r w:rsidR="003407A7" w:rsidRPr="00CA4ABC">
        <w:rPr>
          <w:rFonts w:cstheme="minorHAnsi"/>
          <w:color w:val="000000" w:themeColor="text1"/>
        </w:rPr>
        <w:t>important</w:t>
      </w:r>
      <w:r w:rsidRPr="00CA4ABC">
        <w:rPr>
          <w:rFonts w:cstheme="minorHAnsi"/>
          <w:color w:val="000000" w:themeColor="text1"/>
        </w:rPr>
        <w:t xml:space="preserve"> for long-term success. Outlined in </w:t>
      </w:r>
      <w:r w:rsidRPr="00CA4ABC">
        <w:rPr>
          <w:rFonts w:cstheme="minorHAnsi"/>
          <w:color w:val="000000" w:themeColor="text1"/>
        </w:rPr>
        <w:fldChar w:fldCharType="begin"/>
      </w:r>
      <w:r w:rsidRPr="00CA4ABC">
        <w:rPr>
          <w:rFonts w:cstheme="minorHAnsi"/>
          <w:color w:val="000000" w:themeColor="text1"/>
        </w:rPr>
        <w:instrText xml:space="preserve"> REF _Ref120717899 \h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Table </w:t>
      </w:r>
      <w:r w:rsidRPr="00CA4ABC">
        <w:rPr>
          <w:rFonts w:cstheme="minorHAnsi"/>
          <w:noProof/>
          <w:color w:val="000000" w:themeColor="text1"/>
        </w:rPr>
        <w:t>2</w:t>
      </w:r>
      <w:r w:rsidRPr="00CA4ABC">
        <w:rPr>
          <w:rFonts w:cstheme="minorHAnsi"/>
          <w:color w:val="000000" w:themeColor="text1"/>
        </w:rPr>
        <w:fldChar w:fldCharType="end"/>
      </w:r>
      <w:r w:rsidRPr="00CA4ABC">
        <w:rPr>
          <w:rFonts w:cstheme="minorHAnsi"/>
          <w:color w:val="000000" w:themeColor="text1"/>
        </w:rPr>
        <w:t xml:space="preserve"> is the protocol the European Working Group on Sarcopenia is Older People (updated definition) (EWGSOP2) use to identify, diagnose and determin</w:t>
      </w:r>
      <w:r w:rsidR="003407A7" w:rsidRPr="00CA4ABC">
        <w:rPr>
          <w:rFonts w:cstheme="minorHAnsi"/>
          <w:color w:val="000000" w:themeColor="text1"/>
        </w:rPr>
        <w:t>e</w:t>
      </w:r>
      <w:r w:rsidRPr="00CA4ABC">
        <w:rPr>
          <w:rFonts w:cstheme="minorHAnsi"/>
          <w:color w:val="000000" w:themeColor="text1"/>
        </w:rPr>
        <w:t xml:space="preserve"> the severity of sarcopenia. To aid with this process, they devised an acronym ‘FACS’ standing for: ‘Find, Assess, Confirm, Severity’ which should be utilised in a ‘step by step’ manner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{"citationItems":[{"id":"ITEM-1","itemData":{"DOI":"10.1093/ageing/afy169","ISSN":"1468-2834","PMID":"30312372","abstract":"Background in 2010, the European Working Group on Sarcopenia in Older People (EWGSOP) published a sarcopenia definition that aimed to foster advances in identifying and caring for people with sarcopenia. In early 2018, the Working Group met again (EWGSOP2) to update the original definition in order to reflect scientific and clinical evidence that has built over the last decade. This paper presents our updated findings. Objectives to increase consistency of research design, clinical diagnoses and ultimately, care for people with sarcopenia. Recommendations sarcopenia is a muscle disease (muscle failure) rooted in adverse muscle changes that accrue across a lifetime; sarcopenia is common among adults of older age but can also occur earlier in life. In this updated consensus paper on sarcopenia, EWGSOP2: (1) focuses on low muscle strength as a key characteristic of sarcopenia, uses detection of low muscle quantity and quality to confirm the sarcopenia diagnosis, and identifies poor physical performance as indicative of severe sarcopenia; (2) updates the clinical algorithm that can be used for sarcopenia case-finding, diagnosis and confirmation, and severity determination and (3) provides clear cut-off points for measurements of variables that identify and characterise sarcopenia. Conclusions EWGSOP2's updated recommendations aim to increase awareness of sarcopenia and its risk. With these new recommendations, EWGSOP2 calls for healthcare professionals who treat patients at risk for sarcopenia to take actions that will promote early detection and treatment. We also encourage more research in the field of sarcopenia in order to prevent or delay adverse health outcomes that incur a heavy burden for patients and healthcare systems.","author":[{"dropping-particle":"","family":"Cruz-Jentoft","given":"Alfonso J","non-dropping-particle":"","parse-names":false,"suffix":""},{"dropping-particle":"","family":"Bahat","given":"Gülistan","non-dropping-particle":"","parse-names":false,"suffix":""},{"dropping-particle":"","family":"Bauer","given":"Jürgen","non-dropping-particle":"","parse-names":false,"suffix":""},{"dropping-particle":"","family":"Boirie","given":"Yves","non-dropping-particle":"","parse-names":false,"suffix":""},{"dropping-particle":"","family":"Bruyère","given":"Olivier","non-dropping-particle":"","parse-names":false,"suffix":""},{"dropping-particle":"","family":"Cederholm","given":"Tommy","non-dropping-particle":"","parse-names":false,"suffix":""},{"dropping-particle":"","family":"Cooper","given":"Cyrus","non-dropping-particle":"","parse-names":false,"suffix":""},{"dropping-particle":"","family":"Landi","given":"Francesco","non-dropping-particle":"","parse-names":false,"suffix":""},{"dropping-particle":"","family":"Rolland","given":"Yves","non-dropping-particle":"","parse-names":false,"suffix":""},{"dropping-particle":"","family":"Sayer","given":"Avan Aihie","non-dropping-particle":"","parse-names":false,"suffix":""},{"dropping-particle":"","family":"Schneider","given":"Stéphane M","non-dropping-particle":"","parse-names":false,"suffix":""},{"dropping-particle":"","family":"Sieber","given":"Cornel C","non-dropping-particle":"","parse-names":false,"suffix":""},{"dropping-particle":"","family":"Topinkova","given":"Eva","non-dropping-particle":"","parse-names":false,"suffix":""},{"dropping-particle":"","family":"Vandewoude","given":"Maurits","non-dropping-particle":"","parse-names":false,"suffix":""},{"dropping-particle":"","family":"Visser","given":"Marjolein","non-dropping-particle":"","parse-names":false,"suffix":""},{"dropping-particle":"","family":"Zamboni","given":"Mauro","non-dropping-particle":"","parse-names":false,"suffix":""},{"dropping-particle":"","family":"Writing Group for the European Working Group on Sarcopenia in Older People 2 (EWGSOP2), and the Extended Group for EWGSOP2","given":"","non-dropping-particle":"","parse-names":false,"suffix":""}],"container-title":"Age and ageing","id":"ITEM-1","issue":"1","issued":{"date-parts":[["2019"]]},"page":"16-31","title":"Sarcopenia: revised European consensus on definition and diagnosis.","type":"article-journal","volume":"48"},"uris":["http://www.mendeley.com/documents/?uuid=8c355e81-ecaa-3636-98e2-b48c9e17adc1"]}],"mendeley":{"formattedCitation":"(8)","plainTextFormattedCitation":"(8)","previouslyFormattedCitation":"(8)"},"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(8)</w:t>
      </w:r>
      <w:r w:rsidRPr="00CA4ABC">
        <w:rPr>
          <w:rFonts w:cstheme="minorHAnsi"/>
          <w:color w:val="000000" w:themeColor="text1"/>
        </w:rPr>
        <w:fldChar w:fldCharType="end"/>
      </w:r>
      <w:r w:rsidRPr="00CA4ABC">
        <w:rPr>
          <w:rFonts w:cstheme="minorHAnsi"/>
          <w:color w:val="000000" w:themeColor="text1"/>
        </w:rPr>
        <w:t>. Furthermore, having an appreciation for other co</w:t>
      </w:r>
      <w:r w:rsidR="003407A7" w:rsidRPr="00CA4ABC">
        <w:rPr>
          <w:rFonts w:cstheme="minorHAnsi"/>
          <w:color w:val="000000" w:themeColor="text1"/>
        </w:rPr>
        <w:t>n</w:t>
      </w:r>
      <w:r w:rsidRPr="00CA4ABC">
        <w:rPr>
          <w:rFonts w:cstheme="minorHAnsi"/>
          <w:color w:val="000000" w:themeColor="text1"/>
        </w:rPr>
        <w:t xml:space="preserve">founding variables, such as ethnicity, which may influence sarcopenia onset, is relevant and can be reflected in the definitions proposed by working groups across different geographical regions. Definitions are continually being reviewed and updated, as deemed appropriate, and recently, in August 2021 a global leadership initiative was set up between four working groups to devise an inclusive definition that would be appropriate across nations </w:t>
      </w:r>
      <w:r w:rsidRPr="00CA4ABC">
        <w:rPr>
          <w:rFonts w:cstheme="minorHAnsi"/>
          <w:color w:val="000000" w:themeColor="text1"/>
        </w:rPr>
        <w:fldChar w:fldCharType="begin" w:fldLock="1"/>
      </w:r>
      <w:r w:rsidR="00E34059" w:rsidRPr="00CA4ABC">
        <w:rPr>
          <w:rFonts w:cstheme="minorHAnsi"/>
          <w:color w:val="000000" w:themeColor="text1"/>
        </w:rPr>
        <w:instrText>ADDIN CSL_CITATION {"citationItems":[{"id":"ITEM-1","itemData":{"URL":"https://www.eugms.org/news/read/article/661.html","accessed":{"date-parts":[["2022","8","24"]]},"id":"ITEM-1","issued":{"date-parts":[["0"]]},"title":"Global Leadership Initiative in Sarcopenia - GLIS - EuGMS","type":"webpage"},"uris":["http://www.mendeley.com/documents/?uuid=076c377f-13a8-316e-9230-4db250ea61cc"]}],"mendeley":{"formattedCitation":"(60)","plainTextFormattedCitation":"(60)","previouslyFormattedCitation":"(60)"},"properties":{"noteIndex":0},"schema":"https://github.com/citation-style-language/schema/raw/master/csl-citation.json"}</w:instrText>
      </w:r>
      <w:r w:rsidRPr="00CA4ABC">
        <w:rPr>
          <w:rFonts w:cstheme="minorHAnsi"/>
          <w:color w:val="000000" w:themeColor="text1"/>
        </w:rPr>
        <w:fldChar w:fldCharType="separate"/>
      </w:r>
      <w:r w:rsidR="005B258E" w:rsidRPr="00CA4ABC">
        <w:rPr>
          <w:rFonts w:cstheme="minorHAnsi"/>
          <w:noProof/>
          <w:color w:val="000000" w:themeColor="text1"/>
        </w:rPr>
        <w:t>(60)</w:t>
      </w:r>
      <w:r w:rsidRPr="00CA4ABC">
        <w:rPr>
          <w:rFonts w:cstheme="minorHAnsi"/>
          <w:color w:val="000000" w:themeColor="text1"/>
        </w:rPr>
        <w:fldChar w:fldCharType="end"/>
      </w:r>
      <w:r w:rsidRPr="00CA4ABC">
        <w:rPr>
          <w:rFonts w:cstheme="minorHAnsi"/>
          <w:color w:val="000000" w:themeColor="text1"/>
        </w:rPr>
        <w:t>. Despite this, it is fundamental that more attention is paid to optimise the research in the sarcopenia field and ultimately mitigate t</w:t>
      </w:r>
      <w:r w:rsidR="002B69EE">
        <w:rPr>
          <w:rFonts w:cstheme="minorHAnsi"/>
          <w:color w:val="000000" w:themeColor="text1"/>
        </w:rPr>
        <w:t>he</w:t>
      </w:r>
      <w:r w:rsidRPr="00CA4ABC">
        <w:rPr>
          <w:rFonts w:cstheme="minorHAnsi"/>
          <w:color w:val="000000" w:themeColor="text1"/>
        </w:rPr>
        <w:t xml:space="preserve"> negative outcomes of the disease</w:t>
      </w:r>
      <w:r w:rsidR="002A2673" w:rsidRPr="00CA4ABC">
        <w:rPr>
          <w:rFonts w:cstheme="minorHAnsi"/>
          <w:color w:val="000000" w:themeColor="text1"/>
        </w:rPr>
        <w:t>.</w:t>
      </w:r>
    </w:p>
    <w:tbl>
      <w:tblPr>
        <w:tblStyle w:val="TableGrid"/>
        <w:tblpPr w:leftFromText="180" w:rightFromText="180" w:vertAnchor="text" w:tblpY="1"/>
        <w:tblOverlap w:val="never"/>
        <w:tblW w:w="14513" w:type="dxa"/>
        <w:tblLook w:val="04A0" w:firstRow="1" w:lastRow="0" w:firstColumn="1" w:lastColumn="0" w:noHBand="0" w:noVBand="1"/>
      </w:tblPr>
      <w:tblGrid>
        <w:gridCol w:w="1149"/>
        <w:gridCol w:w="1272"/>
        <w:gridCol w:w="2556"/>
        <w:gridCol w:w="4455"/>
        <w:gridCol w:w="5081"/>
      </w:tblGrid>
      <w:tr w:rsidR="004F4AF8" w:rsidRPr="00CA4ABC" w14:paraId="04815043" w14:textId="77777777" w:rsidTr="00E34059">
        <w:trPr>
          <w:trHeight w:val="421"/>
        </w:trPr>
        <w:tc>
          <w:tcPr>
            <w:tcW w:w="1153" w:type="dxa"/>
          </w:tcPr>
          <w:p w14:paraId="043156ED" w14:textId="77777777" w:rsidR="004F4AF8" w:rsidRPr="00CA4ABC" w:rsidRDefault="004F4AF8" w:rsidP="00D93E6C">
            <w:pPr>
              <w:pStyle w:val="NormalWeb"/>
              <w:jc w:val="center"/>
              <w:rPr>
                <w:rFonts w:asciiTheme="minorHAnsi" w:hAnsiTheme="minorHAnsi" w:cstheme="minorHAnsi"/>
                <w:b/>
                <w:bCs/>
                <w:color w:val="000000" w:themeColor="text1"/>
                <w:sz w:val="20"/>
                <w:szCs w:val="20"/>
              </w:rPr>
            </w:pPr>
            <w:r w:rsidRPr="00CA4ABC">
              <w:rPr>
                <w:rFonts w:asciiTheme="minorHAnsi" w:hAnsiTheme="minorHAnsi" w:cstheme="minorHAnsi"/>
                <w:b/>
                <w:bCs/>
                <w:color w:val="000000" w:themeColor="text1"/>
                <w:sz w:val="20"/>
                <w:szCs w:val="20"/>
              </w:rPr>
              <w:lastRenderedPageBreak/>
              <w:t xml:space="preserve">FACS </w:t>
            </w:r>
          </w:p>
        </w:tc>
        <w:tc>
          <w:tcPr>
            <w:tcW w:w="1157" w:type="dxa"/>
          </w:tcPr>
          <w:p w14:paraId="73E0720D" w14:textId="77777777" w:rsidR="004F4AF8" w:rsidRPr="00CA4ABC" w:rsidRDefault="004F4AF8" w:rsidP="00D93E6C">
            <w:pPr>
              <w:pStyle w:val="NormalWeb"/>
              <w:jc w:val="center"/>
              <w:rPr>
                <w:rFonts w:asciiTheme="minorHAnsi" w:hAnsiTheme="minorHAnsi" w:cstheme="minorHAnsi"/>
                <w:b/>
                <w:bCs/>
                <w:color w:val="000000" w:themeColor="text1"/>
                <w:sz w:val="20"/>
                <w:szCs w:val="20"/>
              </w:rPr>
            </w:pPr>
            <w:r w:rsidRPr="00CA4ABC">
              <w:rPr>
                <w:rFonts w:asciiTheme="minorHAnsi" w:hAnsiTheme="minorHAnsi" w:cstheme="minorHAnsi"/>
                <w:b/>
                <w:bCs/>
                <w:color w:val="000000" w:themeColor="text1"/>
                <w:sz w:val="20"/>
                <w:szCs w:val="20"/>
              </w:rPr>
              <w:t>Variable</w:t>
            </w:r>
          </w:p>
        </w:tc>
        <w:tc>
          <w:tcPr>
            <w:tcW w:w="2571" w:type="dxa"/>
          </w:tcPr>
          <w:p w14:paraId="04844028" w14:textId="77777777" w:rsidR="004F4AF8" w:rsidRPr="00CA4ABC" w:rsidRDefault="004F4AF8" w:rsidP="00D93E6C">
            <w:pPr>
              <w:pStyle w:val="NormalWeb"/>
              <w:jc w:val="center"/>
              <w:rPr>
                <w:rFonts w:asciiTheme="minorHAnsi" w:hAnsiTheme="minorHAnsi" w:cstheme="minorHAnsi"/>
                <w:b/>
                <w:bCs/>
                <w:color w:val="000000" w:themeColor="text1"/>
                <w:sz w:val="20"/>
                <w:szCs w:val="20"/>
              </w:rPr>
            </w:pPr>
            <w:r w:rsidRPr="00CA4ABC">
              <w:rPr>
                <w:rFonts w:asciiTheme="minorHAnsi" w:hAnsiTheme="minorHAnsi" w:cstheme="minorHAnsi"/>
                <w:b/>
                <w:bCs/>
                <w:color w:val="000000" w:themeColor="text1"/>
                <w:sz w:val="20"/>
                <w:szCs w:val="20"/>
              </w:rPr>
              <w:t>When/what.</w:t>
            </w:r>
          </w:p>
        </w:tc>
        <w:tc>
          <w:tcPr>
            <w:tcW w:w="4500" w:type="dxa"/>
          </w:tcPr>
          <w:p w14:paraId="609DF381" w14:textId="09230E12" w:rsidR="004F4AF8" w:rsidRPr="00CA4ABC" w:rsidRDefault="004F4AF8" w:rsidP="00D93E6C">
            <w:pPr>
              <w:pStyle w:val="NormalWeb"/>
              <w:jc w:val="center"/>
              <w:rPr>
                <w:rFonts w:asciiTheme="minorHAnsi" w:hAnsiTheme="minorHAnsi" w:cstheme="minorHAnsi"/>
                <w:b/>
                <w:bCs/>
                <w:color w:val="000000" w:themeColor="text1"/>
                <w:sz w:val="20"/>
                <w:szCs w:val="20"/>
              </w:rPr>
            </w:pPr>
            <w:r w:rsidRPr="00CA4ABC">
              <w:rPr>
                <w:rFonts w:asciiTheme="minorHAnsi" w:hAnsiTheme="minorHAnsi" w:cstheme="minorHAnsi"/>
                <w:b/>
                <w:bCs/>
                <w:color w:val="000000" w:themeColor="text1"/>
                <w:sz w:val="20"/>
                <w:szCs w:val="20"/>
              </w:rPr>
              <w:t>Tool</w:t>
            </w:r>
            <w:r w:rsidR="003407A7" w:rsidRPr="00CA4ABC">
              <w:rPr>
                <w:rFonts w:asciiTheme="minorHAnsi" w:hAnsiTheme="minorHAnsi" w:cstheme="minorHAnsi"/>
                <w:b/>
                <w:bCs/>
                <w:color w:val="000000" w:themeColor="text1"/>
                <w:sz w:val="20"/>
                <w:szCs w:val="20"/>
              </w:rPr>
              <w:t>s</w:t>
            </w:r>
            <w:r w:rsidRPr="00CA4ABC">
              <w:rPr>
                <w:rFonts w:asciiTheme="minorHAnsi" w:hAnsiTheme="minorHAnsi" w:cstheme="minorHAnsi"/>
                <w:b/>
                <w:bCs/>
                <w:color w:val="000000" w:themeColor="text1"/>
                <w:sz w:val="20"/>
                <w:szCs w:val="20"/>
              </w:rPr>
              <w:t xml:space="preserve"> for measuring in clinical practice</w:t>
            </w:r>
          </w:p>
        </w:tc>
        <w:tc>
          <w:tcPr>
            <w:tcW w:w="5131" w:type="dxa"/>
          </w:tcPr>
          <w:p w14:paraId="269385D0" w14:textId="77777777" w:rsidR="004F4AF8" w:rsidRPr="00CA4ABC" w:rsidRDefault="004F4AF8" w:rsidP="00D93E6C">
            <w:pPr>
              <w:pStyle w:val="NormalWeb"/>
              <w:jc w:val="center"/>
              <w:rPr>
                <w:rFonts w:asciiTheme="minorHAnsi" w:hAnsiTheme="minorHAnsi" w:cstheme="minorHAnsi"/>
                <w:b/>
                <w:bCs/>
                <w:color w:val="000000" w:themeColor="text1"/>
                <w:sz w:val="20"/>
                <w:szCs w:val="20"/>
              </w:rPr>
            </w:pPr>
            <w:r w:rsidRPr="00CA4ABC">
              <w:rPr>
                <w:rFonts w:asciiTheme="minorHAnsi" w:hAnsiTheme="minorHAnsi" w:cstheme="minorHAnsi"/>
                <w:b/>
                <w:bCs/>
                <w:color w:val="000000" w:themeColor="text1"/>
                <w:sz w:val="20"/>
                <w:szCs w:val="20"/>
              </w:rPr>
              <w:t>Tools for measuring in research studies</w:t>
            </w:r>
          </w:p>
        </w:tc>
      </w:tr>
      <w:tr w:rsidR="004F4AF8" w:rsidRPr="00CA4ABC" w14:paraId="23139213" w14:textId="77777777" w:rsidTr="00E34059">
        <w:trPr>
          <w:trHeight w:val="360"/>
        </w:trPr>
        <w:tc>
          <w:tcPr>
            <w:tcW w:w="1153" w:type="dxa"/>
            <w:vMerge w:val="restart"/>
          </w:tcPr>
          <w:p w14:paraId="6FF0C9B1"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Find</w:t>
            </w:r>
          </w:p>
        </w:tc>
        <w:tc>
          <w:tcPr>
            <w:tcW w:w="1157" w:type="dxa"/>
            <w:vMerge w:val="restart"/>
          </w:tcPr>
          <w:p w14:paraId="037683B7"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Case finding</w:t>
            </w:r>
          </w:p>
        </w:tc>
        <w:tc>
          <w:tcPr>
            <w:tcW w:w="2571" w:type="dxa"/>
            <w:vMerge w:val="restart"/>
          </w:tcPr>
          <w:p w14:paraId="74A7B30F" w14:textId="3AE17D64" w:rsidR="004F4AF8" w:rsidRPr="00CA4ABC" w:rsidRDefault="004F4AF8" w:rsidP="00D93E6C">
            <w:pPr>
              <w:rPr>
                <w:rFonts w:cstheme="minorHAnsi"/>
                <w:color w:val="000000" w:themeColor="text1"/>
                <w:sz w:val="20"/>
                <w:szCs w:val="20"/>
              </w:rPr>
            </w:pPr>
            <w:r w:rsidRPr="00CA4ABC">
              <w:rPr>
                <w:rFonts w:cstheme="minorHAnsi"/>
                <w:color w:val="000000" w:themeColor="text1"/>
                <w:sz w:val="20"/>
                <w:szCs w:val="20"/>
              </w:rPr>
              <w:t xml:space="preserve">On reporting of signs and symptoms of sarcopenia by </w:t>
            </w:r>
            <w:r w:rsidR="003407A7" w:rsidRPr="00CA4ABC">
              <w:rPr>
                <w:rFonts w:cstheme="minorHAnsi"/>
                <w:color w:val="000000" w:themeColor="text1"/>
                <w:sz w:val="20"/>
                <w:szCs w:val="20"/>
              </w:rPr>
              <w:t xml:space="preserve">a </w:t>
            </w:r>
            <w:r w:rsidRPr="00CA4ABC">
              <w:rPr>
                <w:rFonts w:cstheme="minorHAnsi"/>
                <w:color w:val="000000" w:themeColor="text1"/>
                <w:sz w:val="20"/>
                <w:szCs w:val="20"/>
              </w:rPr>
              <w:t>patient.</w:t>
            </w:r>
          </w:p>
        </w:tc>
        <w:tc>
          <w:tcPr>
            <w:tcW w:w="9632" w:type="dxa"/>
            <w:gridSpan w:val="2"/>
          </w:tcPr>
          <w:p w14:paraId="608D2D66" w14:textId="2E87642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 xml:space="preserve">SARC-F questionnaire (validated </w:t>
            </w:r>
            <w:r w:rsidRPr="00CA4ABC">
              <w:rPr>
                <w:rFonts w:asciiTheme="minorHAnsi" w:hAnsiTheme="minorHAnsi" w:cstheme="minorHAnsi"/>
                <w:color w:val="000000" w:themeColor="text1"/>
                <w:sz w:val="20"/>
                <w:szCs w:val="20"/>
              </w:rPr>
              <w:fldChar w:fldCharType="begin" w:fldLock="1"/>
            </w:r>
            <w:r w:rsidR="00E34059" w:rsidRPr="00CA4ABC">
              <w:rPr>
                <w:rFonts w:asciiTheme="minorHAnsi" w:hAnsiTheme="minorHAnsi" w:cstheme="minorHAnsi"/>
                <w:color w:val="000000" w:themeColor="text1"/>
                <w:sz w:val="20"/>
                <w:szCs w:val="20"/>
              </w:rPr>
              <w:instrText>ADDIN CSL_CITATION {"citationItems":[{"id":"ITEM-1","itemData":{"DOI":"10.1016/J.JAMDA.2014.04.021","ISSN":"1525-8610","PMID":"24947762","abstract":"Objectives: Using data from the Hong Kong Mr and Ms Os study, we validated the SARC-F against 3 consensus definitions of sarcopenia from Europe, Asia, and an international group, and compared the ability of all 4 measures to predict 4-year physical limitation, walking speed, and repeated chair stands. Design: Prospective cohort study. Setting: Hong Kong community. Participants: Four thousand men and women living in the community. Measurements: A questionnaire regarding ability to carry a heavy load, walking, rising from a chair, climbing stairs, and falls frequency was administered. These questions were used to calculate the SARC-F score. Measurements, including appendicular muscle mass, were taken using dual-energy X-ray, grip strength using a dynamometer, 6-m gait speed, and time taken for repeated chair stand. Classification using the SARC-F score was compared using consensus panel criteria from international, European, and Asian sarcopenia working groups. The performance of all 4 methods was compared by examining the predictive ability for 4-year outcomes using ROC curve. Results: The SARC-F has excellent specificity but poor sensitivity for sarcopenia classification; however, all 4 methods have comparable but modest predictive power for 4-year physical limitation. Conclusion: The SARC-F may be considered a suitable tool for community screening for sarcopenia. © 2014 AMDA - The Society for Post-Acute and Long-Term Care Medicine.","author":[{"dropping-particle":"","family":"Woo","given":"Jean","non-dropping-particle":"","parse-names":false,"suffix":""},{"dropping-particle":"","family":"Leung","given":"Jason","non-dropping-particle":"","parse-names":false,"suffix":""},{"dropping-particle":"","family":"Morley","given":"John E.","non-dropping-particle":"","parse-names":false,"suffix":""}],"container-title":"Journal of the American Medical Directors Association","id":"ITEM-1","issue":"9","issued":{"date-parts":[["2014","9","1"]]},"page":"630-634","publisher":"Elsevier","title":"Validating the SARC-F: A Suitable Community Screening Tool for Sarcopenia?","type":"article-journal","volume":"15"},"uris":["http://www.mendeley.com/documents/?uuid=55020742-75bc-3641-8dce-b7afe64b25c8"]}],"mendeley":{"formattedCitation":"(61)","plainTextFormattedCitation":"(61)","previouslyFormattedCitation":"(61)"},"properties":{"noteIndex":0},"schema":"https://github.com/citation-style-language/schema/raw/master/csl-citation.json"}</w:instrText>
            </w:r>
            <w:r w:rsidRPr="00CA4ABC">
              <w:rPr>
                <w:rFonts w:asciiTheme="minorHAnsi" w:hAnsiTheme="minorHAnsi" w:cstheme="minorHAnsi"/>
                <w:color w:val="000000" w:themeColor="text1"/>
                <w:sz w:val="20"/>
                <w:szCs w:val="20"/>
              </w:rPr>
              <w:fldChar w:fldCharType="separate"/>
            </w:r>
            <w:r w:rsidR="005B258E" w:rsidRPr="00CA4ABC">
              <w:rPr>
                <w:rFonts w:asciiTheme="minorHAnsi" w:hAnsiTheme="minorHAnsi" w:cstheme="minorHAnsi"/>
                <w:noProof/>
                <w:color w:val="000000" w:themeColor="text1"/>
                <w:sz w:val="20"/>
                <w:szCs w:val="20"/>
              </w:rPr>
              <w:t>(61)</w:t>
            </w:r>
            <w:r w:rsidRPr="00CA4ABC">
              <w:rPr>
                <w:rFonts w:asciiTheme="minorHAnsi" w:hAnsiTheme="minorHAnsi" w:cstheme="minorHAnsi"/>
                <w:color w:val="000000" w:themeColor="text1"/>
                <w:sz w:val="20"/>
                <w:szCs w:val="20"/>
              </w:rPr>
              <w:fldChar w:fldCharType="end"/>
            </w:r>
            <w:r w:rsidRPr="00CA4ABC">
              <w:rPr>
                <w:rFonts w:asciiTheme="minorHAnsi" w:hAnsiTheme="minorHAnsi" w:cstheme="minorHAnsi"/>
                <w:color w:val="000000" w:themeColor="text1"/>
                <w:sz w:val="20"/>
                <w:szCs w:val="20"/>
              </w:rPr>
              <w:t>)</w:t>
            </w:r>
          </w:p>
        </w:tc>
      </w:tr>
      <w:tr w:rsidR="004F4AF8" w:rsidRPr="00CA4ABC" w14:paraId="175B5F55" w14:textId="77777777" w:rsidTr="00E34059">
        <w:trPr>
          <w:trHeight w:val="581"/>
        </w:trPr>
        <w:tc>
          <w:tcPr>
            <w:tcW w:w="1153" w:type="dxa"/>
            <w:vMerge/>
          </w:tcPr>
          <w:p w14:paraId="40D7AB95"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2CDE5450"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68554B17"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4500" w:type="dxa"/>
          </w:tcPr>
          <w:p w14:paraId="2B2E9CE1"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Ishii screening tool</w:t>
            </w:r>
          </w:p>
        </w:tc>
        <w:tc>
          <w:tcPr>
            <w:tcW w:w="5131" w:type="dxa"/>
          </w:tcPr>
          <w:p w14:paraId="36453051" w14:textId="77777777" w:rsidR="004F4AF8" w:rsidRPr="00CA4ABC" w:rsidRDefault="004F4AF8" w:rsidP="00D93E6C">
            <w:pPr>
              <w:pStyle w:val="NormalWeb"/>
              <w:rPr>
                <w:rFonts w:asciiTheme="minorHAnsi" w:hAnsiTheme="minorHAnsi" w:cstheme="minorHAnsi"/>
                <w:color w:val="000000" w:themeColor="text1"/>
              </w:rPr>
            </w:pPr>
          </w:p>
        </w:tc>
      </w:tr>
      <w:tr w:rsidR="004F4AF8" w:rsidRPr="00CA4ABC" w14:paraId="0F29705D" w14:textId="77777777" w:rsidTr="00E34059">
        <w:trPr>
          <w:trHeight w:val="360"/>
        </w:trPr>
        <w:tc>
          <w:tcPr>
            <w:tcW w:w="1153" w:type="dxa"/>
            <w:vMerge w:val="restart"/>
          </w:tcPr>
          <w:p w14:paraId="2764F36E"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Assess</w:t>
            </w:r>
          </w:p>
        </w:tc>
        <w:tc>
          <w:tcPr>
            <w:tcW w:w="1157" w:type="dxa"/>
            <w:vMerge w:val="restart"/>
          </w:tcPr>
          <w:p w14:paraId="66DB9B99"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Skeletal muscle strength</w:t>
            </w:r>
          </w:p>
        </w:tc>
        <w:tc>
          <w:tcPr>
            <w:tcW w:w="2571" w:type="dxa"/>
            <w:vMerge w:val="restart"/>
          </w:tcPr>
          <w:p w14:paraId="11ED3838"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Assessment of sarcopenia’s presence</w:t>
            </w:r>
          </w:p>
        </w:tc>
        <w:tc>
          <w:tcPr>
            <w:tcW w:w="9632" w:type="dxa"/>
            <w:gridSpan w:val="2"/>
          </w:tcPr>
          <w:p w14:paraId="54926494"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Grip Strength</w:t>
            </w:r>
          </w:p>
        </w:tc>
      </w:tr>
      <w:tr w:rsidR="004F4AF8" w:rsidRPr="00CA4ABC" w14:paraId="788C3F0E" w14:textId="77777777" w:rsidTr="00E34059">
        <w:trPr>
          <w:trHeight w:val="360"/>
        </w:trPr>
        <w:tc>
          <w:tcPr>
            <w:tcW w:w="1153" w:type="dxa"/>
            <w:vMerge/>
          </w:tcPr>
          <w:p w14:paraId="43C85728"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77C47C49"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47E0E5CB"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4500" w:type="dxa"/>
          </w:tcPr>
          <w:p w14:paraId="19DC7E88"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Chair stand test (chair rise test)</w:t>
            </w:r>
          </w:p>
        </w:tc>
        <w:tc>
          <w:tcPr>
            <w:tcW w:w="5131" w:type="dxa"/>
          </w:tcPr>
          <w:p w14:paraId="3AEEDC75"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Chair stand test (5-times sit to stand)</w:t>
            </w:r>
          </w:p>
        </w:tc>
      </w:tr>
      <w:tr w:rsidR="004F4AF8" w:rsidRPr="00CA4ABC" w14:paraId="6DB46BF6" w14:textId="77777777" w:rsidTr="00E34059">
        <w:trPr>
          <w:trHeight w:val="360"/>
        </w:trPr>
        <w:tc>
          <w:tcPr>
            <w:tcW w:w="1153" w:type="dxa"/>
            <w:vMerge/>
          </w:tcPr>
          <w:p w14:paraId="375BF206"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5D60A66C"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5FDD59B2"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49C6E10C" w14:textId="3CFDF135"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 xml:space="preserve">Other methods, where possible: isokinetic dynamometry </w:t>
            </w:r>
            <w:r w:rsidRPr="00CA4ABC">
              <w:rPr>
                <w:rFonts w:asciiTheme="minorHAnsi" w:hAnsiTheme="minorHAnsi" w:cstheme="minorHAnsi"/>
                <w:color w:val="000000" w:themeColor="text1"/>
                <w:sz w:val="20"/>
                <w:szCs w:val="20"/>
              </w:rPr>
              <w:fldChar w:fldCharType="begin" w:fldLock="1"/>
            </w:r>
            <w:r w:rsidR="00E34059" w:rsidRPr="00CA4ABC">
              <w:rPr>
                <w:rFonts w:asciiTheme="minorHAnsi" w:hAnsiTheme="minorHAnsi" w:cstheme="minorHAnsi"/>
                <w:color w:val="000000" w:themeColor="text1"/>
                <w:sz w:val="20"/>
                <w:szCs w:val="20"/>
              </w:rPr>
              <w:instrText>ADDIN CSL_CITATION {"citationItems":[{"id":"ITEM-1","itemData":{"DOI":"10.1519/jsc.0000000000002982","ISSN":"1064-8011","author":[{"dropping-particle":"","family":"Dvir","given":"Zeevi","non-dropping-particle":"","parse-names":false,"suffix":""},{"dropping-particle":"","family":"Müller","given":"Steffen","non-dropping-particle":"","parse-names":false,"suffix":""}],"container-title":"Journal of Strength and Conditioning Research","id":"ITEM-1","issued":{"date-parts":[["2019","2"]]},"page":"1","publisher":"Ovid Technologies (Wolters Kluwer Health)","title":"Multiple-Joint Isokinetic Dynamometry","type":"article-journal"},"uris":["http://www.mendeley.com/documents/?uuid=67394411-28e9-3ca6-bace-7a91cb7e69bd"]}],"mendeley":{"formattedCitation":"(62)","plainTextFormattedCitation":"(62)","previouslyFormattedCitation":"(62)"},"properties":{"noteIndex":0},"schema":"https://github.com/citation-style-language/schema/raw/master/csl-citation.json"}</w:instrText>
            </w:r>
            <w:r w:rsidRPr="00CA4ABC">
              <w:rPr>
                <w:rFonts w:asciiTheme="minorHAnsi" w:hAnsiTheme="minorHAnsi" w:cstheme="minorHAnsi"/>
                <w:color w:val="000000" w:themeColor="text1"/>
                <w:sz w:val="20"/>
                <w:szCs w:val="20"/>
              </w:rPr>
              <w:fldChar w:fldCharType="separate"/>
            </w:r>
            <w:r w:rsidR="005B258E" w:rsidRPr="00CA4ABC">
              <w:rPr>
                <w:rFonts w:asciiTheme="minorHAnsi" w:hAnsiTheme="minorHAnsi" w:cstheme="minorHAnsi"/>
                <w:noProof/>
                <w:color w:val="000000" w:themeColor="text1"/>
                <w:sz w:val="20"/>
                <w:szCs w:val="20"/>
              </w:rPr>
              <w:t>(62)</w:t>
            </w:r>
            <w:r w:rsidRPr="00CA4ABC">
              <w:rPr>
                <w:rFonts w:asciiTheme="minorHAnsi" w:hAnsiTheme="minorHAnsi" w:cstheme="minorHAnsi"/>
                <w:color w:val="000000" w:themeColor="text1"/>
                <w:sz w:val="20"/>
                <w:szCs w:val="20"/>
              </w:rPr>
              <w:fldChar w:fldCharType="end"/>
            </w:r>
            <w:r w:rsidRPr="00CA4ABC">
              <w:rPr>
                <w:rFonts w:asciiTheme="minorHAnsi" w:hAnsiTheme="minorHAnsi" w:cstheme="minorHAnsi"/>
                <w:color w:val="000000" w:themeColor="text1"/>
                <w:sz w:val="20"/>
                <w:szCs w:val="20"/>
              </w:rPr>
              <w:t xml:space="preserve">, testing for one repetition maximal strength (1RM) </w:t>
            </w:r>
            <w:r w:rsidRPr="00CA4ABC">
              <w:rPr>
                <w:rFonts w:asciiTheme="minorHAnsi" w:hAnsiTheme="minorHAnsi" w:cstheme="minorHAnsi"/>
                <w:color w:val="000000" w:themeColor="text1"/>
                <w:sz w:val="20"/>
                <w:szCs w:val="20"/>
              </w:rPr>
              <w:fldChar w:fldCharType="begin" w:fldLock="1"/>
            </w:r>
            <w:r w:rsidR="00E34059" w:rsidRPr="00CA4ABC">
              <w:rPr>
                <w:rFonts w:asciiTheme="minorHAnsi" w:hAnsiTheme="minorHAnsi" w:cstheme="minorHAnsi"/>
                <w:color w:val="000000" w:themeColor="text1"/>
                <w:sz w:val="20"/>
                <w:szCs w:val="20"/>
              </w:rPr>
              <w:instrText>ADDIN CSL_CITATION {"citationItems":[{"id":"ITEM-1","itemData":{"DOI":"10.1080/02640410802428089","ISSN":"02640414","abstract":"Skeletal muscle strength is often determined to evaluate the adaptive response to an exercise intervention programme. Although dynamometry is considered the \"gold standard\" for the assessment of muscle strength in vivo, one-repetition maximum (1-RM) testing performed on training-specific equipment is more commonly applied. We assessed the validity of specific knee extension 1-RM testing by comparison with dynamometry in a heterogeneous population (n = 55). All participants performed 1-RM tests on regular leg extension and leg press machines. Additionally, isometric (at seven different knee angles) and isokinetic (at four different velocities) knee extension peak torques were determined. Pearson's r was calculated for the relationship between 1-RM data and peak torques for the entire population and for subgroups defined by age and gender. One-repetition maximum strength correlated strongly with the dynamometer results. One-repetition maximum leg extension correlated more strongly with peak torques than did 1-RM leg press (0.78 ≤ r ≤ 0.88 vs. 0.72 ≤ r ≤ 0.77; P &lt; 0.001). Similar correlations were observed in all subgroups. We conclude that 1-RM testing represents a valid means to assess leg muscle strength in vivo in young and elderly men and women. Considering the importance of training specificity in strength assessment, we argue that 1-RM testing can be applied to assess changes in leg muscle strength following an exercise intervention.","author":[{"dropping-particle":"","family":"Verdijk","given":"Lex B.","non-dropping-particle":"","parse-names":false,"suffix":""},{"dropping-particle":"","family":"Loon","given":"Luc","non-dropping-particle":"Van","parse-names":false,"suffix":""},{"dropping-particle":"","family":"Meijer","given":"Kenneth","non-dropping-particle":"","parse-names":false,"suffix":""},{"dropping-particle":"","family":"Savelberg","given":"Hans H.C.M.","non-dropping-particle":"","parse-names":false,"suffix":""}],"container-title":"Journal of Sports Sciences","id":"ITEM-1","issue":"1","issued":{"date-parts":[["2009"]]},"page":"59-68","title":"One-repetition maximum strength test represents a valid means to assess leg strength in vivo in humans","type":"article-journal","volume":"27"},"uris":["http://www.mendeley.com/documents/?uuid=0ff3d06b-034a-3c6b-b156-324dba8f8eae"]}],"mendeley":{"formattedCitation":"(63)","plainTextFormattedCitation":"(63)","previouslyFormattedCitation":"(63)"},"properties":{"noteIndex":0},"schema":"https://github.com/citation-style-language/schema/raw/master/csl-citation.json"}</w:instrText>
            </w:r>
            <w:r w:rsidRPr="00CA4ABC">
              <w:rPr>
                <w:rFonts w:asciiTheme="minorHAnsi" w:hAnsiTheme="minorHAnsi" w:cstheme="minorHAnsi"/>
                <w:color w:val="000000" w:themeColor="text1"/>
                <w:sz w:val="20"/>
                <w:szCs w:val="20"/>
              </w:rPr>
              <w:fldChar w:fldCharType="separate"/>
            </w:r>
            <w:r w:rsidR="005B258E" w:rsidRPr="00CA4ABC">
              <w:rPr>
                <w:rFonts w:asciiTheme="minorHAnsi" w:hAnsiTheme="minorHAnsi" w:cstheme="minorHAnsi"/>
                <w:noProof/>
                <w:color w:val="000000" w:themeColor="text1"/>
                <w:sz w:val="20"/>
                <w:szCs w:val="20"/>
              </w:rPr>
              <w:t>(63)</w:t>
            </w:r>
            <w:r w:rsidRPr="00CA4ABC">
              <w:rPr>
                <w:rFonts w:asciiTheme="minorHAnsi" w:hAnsiTheme="minorHAnsi" w:cstheme="minorHAnsi"/>
                <w:color w:val="000000" w:themeColor="text1"/>
                <w:sz w:val="20"/>
                <w:szCs w:val="20"/>
              </w:rPr>
              <w:fldChar w:fldCharType="end"/>
            </w:r>
          </w:p>
        </w:tc>
      </w:tr>
      <w:tr w:rsidR="004F4AF8" w:rsidRPr="00CA4ABC" w14:paraId="5FE82379" w14:textId="77777777" w:rsidTr="00E34059">
        <w:trPr>
          <w:trHeight w:val="333"/>
        </w:trPr>
        <w:tc>
          <w:tcPr>
            <w:tcW w:w="1153" w:type="dxa"/>
            <w:vMerge w:val="restart"/>
          </w:tcPr>
          <w:p w14:paraId="3D9EBE12"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Confirm</w:t>
            </w:r>
          </w:p>
        </w:tc>
        <w:tc>
          <w:tcPr>
            <w:tcW w:w="1157" w:type="dxa"/>
            <w:vMerge w:val="restart"/>
          </w:tcPr>
          <w:p w14:paraId="0DEE7C34"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Skeletal muscle mass</w:t>
            </w:r>
          </w:p>
        </w:tc>
        <w:tc>
          <w:tcPr>
            <w:tcW w:w="2571" w:type="dxa"/>
            <w:vMerge w:val="restart"/>
          </w:tcPr>
          <w:p w14:paraId="111F8B32"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Sarcopenia diagnosis via the evaluation of muscle characteristics.</w:t>
            </w:r>
          </w:p>
        </w:tc>
        <w:tc>
          <w:tcPr>
            <w:tcW w:w="9632" w:type="dxa"/>
            <w:gridSpan w:val="2"/>
          </w:tcPr>
          <w:p w14:paraId="022BA867"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Appendicular skeletal muscle mass (ASMM) by Dual-energy X-ray absorptiometry (DXA)</w:t>
            </w:r>
          </w:p>
        </w:tc>
      </w:tr>
      <w:tr w:rsidR="004F4AF8" w:rsidRPr="00CA4ABC" w14:paraId="4B311F78" w14:textId="77777777" w:rsidTr="00E34059">
        <w:trPr>
          <w:trHeight w:val="1097"/>
        </w:trPr>
        <w:tc>
          <w:tcPr>
            <w:tcW w:w="1153" w:type="dxa"/>
            <w:vMerge/>
          </w:tcPr>
          <w:p w14:paraId="67A5D1AB"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5F696F80"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6AE76E4B"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4500" w:type="dxa"/>
          </w:tcPr>
          <w:p w14:paraId="4B7F298F"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Whole-body skeletal muscle mass (SMM) or ASMM predicted by bioelectrical impedance analysis (BIA)</w:t>
            </w:r>
          </w:p>
        </w:tc>
        <w:tc>
          <w:tcPr>
            <w:tcW w:w="5131" w:type="dxa"/>
          </w:tcPr>
          <w:p w14:paraId="686A2598"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Whole-body SMM or ASMM by Magnetic Resonance Imaging (MRI)* (total body protocol) or computational tomography (CT)*, total body protocol) *Gold standard</w:t>
            </w:r>
          </w:p>
        </w:tc>
      </w:tr>
      <w:tr w:rsidR="004F4AF8" w:rsidRPr="00CA4ABC" w14:paraId="35DDC140" w14:textId="77777777" w:rsidTr="00E34059">
        <w:trPr>
          <w:trHeight w:val="351"/>
        </w:trPr>
        <w:tc>
          <w:tcPr>
            <w:tcW w:w="1153" w:type="dxa"/>
            <w:vMerge/>
          </w:tcPr>
          <w:p w14:paraId="369123F9"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791DD814"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08F76231"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4500" w:type="dxa"/>
          </w:tcPr>
          <w:p w14:paraId="157EAD12"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5131" w:type="dxa"/>
          </w:tcPr>
          <w:p w14:paraId="37C25904"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Other: Creatine dilution tests.</w:t>
            </w:r>
          </w:p>
        </w:tc>
      </w:tr>
      <w:tr w:rsidR="004F4AF8" w:rsidRPr="00CA4ABC" w14:paraId="4290F90D" w14:textId="77777777" w:rsidTr="00E34059">
        <w:trPr>
          <w:trHeight w:val="677"/>
        </w:trPr>
        <w:tc>
          <w:tcPr>
            <w:tcW w:w="1153" w:type="dxa"/>
            <w:vMerge w:val="restart"/>
          </w:tcPr>
          <w:p w14:paraId="174B8314"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Confirm</w:t>
            </w:r>
          </w:p>
        </w:tc>
        <w:tc>
          <w:tcPr>
            <w:tcW w:w="1157" w:type="dxa"/>
            <w:vMerge w:val="restart"/>
          </w:tcPr>
          <w:p w14:paraId="46F04D0A"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Skeletal muscle quality</w:t>
            </w:r>
          </w:p>
        </w:tc>
        <w:tc>
          <w:tcPr>
            <w:tcW w:w="2571" w:type="dxa"/>
            <w:vMerge w:val="restart"/>
          </w:tcPr>
          <w:p w14:paraId="0BC84A02"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Measurements that are designed to investigate micro or macroscopic changes of the muscle</w:t>
            </w:r>
          </w:p>
        </w:tc>
        <w:tc>
          <w:tcPr>
            <w:tcW w:w="4500" w:type="dxa"/>
          </w:tcPr>
          <w:p w14:paraId="1DCBEC3F"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5131" w:type="dxa"/>
          </w:tcPr>
          <w:p w14:paraId="3332E53C"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Muscle quality by mid-thigh or total body muscle quality by muscle biopsy, CT, MRI or Magnetic resonance Spectroscopy (MRS)</w:t>
            </w:r>
          </w:p>
        </w:tc>
      </w:tr>
      <w:tr w:rsidR="004F4AF8" w:rsidRPr="00CA4ABC" w14:paraId="6EAC4B5D" w14:textId="77777777" w:rsidTr="00E34059">
        <w:trPr>
          <w:trHeight w:val="360"/>
        </w:trPr>
        <w:tc>
          <w:tcPr>
            <w:tcW w:w="1153" w:type="dxa"/>
            <w:vMerge/>
          </w:tcPr>
          <w:p w14:paraId="4EAF41C9"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347BA299"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0619949D"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1E66F406"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Mid-thigh muscle cross-sectional area by Computed Tomography (CT) or MRI</w:t>
            </w:r>
          </w:p>
        </w:tc>
      </w:tr>
      <w:tr w:rsidR="004F4AF8" w:rsidRPr="00CA4ABC" w14:paraId="24AE991F" w14:textId="77777777" w:rsidTr="00E34059">
        <w:trPr>
          <w:trHeight w:val="228"/>
        </w:trPr>
        <w:tc>
          <w:tcPr>
            <w:tcW w:w="1153" w:type="dxa"/>
            <w:vMerge/>
          </w:tcPr>
          <w:p w14:paraId="62D43009"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0143AFDA"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1CBDE4DC"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3C019B46"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Lumbar muscle cross-sectional area by CT or MRI</w:t>
            </w:r>
          </w:p>
        </w:tc>
      </w:tr>
      <w:tr w:rsidR="004F4AF8" w:rsidRPr="00CA4ABC" w14:paraId="77A1451E" w14:textId="77777777" w:rsidTr="00E34059">
        <w:trPr>
          <w:trHeight w:val="527"/>
        </w:trPr>
        <w:tc>
          <w:tcPr>
            <w:tcW w:w="1153" w:type="dxa"/>
            <w:vMerge/>
          </w:tcPr>
          <w:p w14:paraId="5934FD65"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60EA024D"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0C67326C"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6E0602AB" w14:textId="08FEB54A"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 xml:space="preserve">Other: ultrasound techniques </w:t>
            </w:r>
            <w:r w:rsidRPr="00CA4ABC">
              <w:rPr>
                <w:rFonts w:asciiTheme="minorHAnsi" w:hAnsiTheme="minorHAnsi" w:cstheme="minorHAnsi"/>
                <w:color w:val="000000" w:themeColor="text1"/>
                <w:sz w:val="20"/>
                <w:szCs w:val="20"/>
              </w:rPr>
              <w:fldChar w:fldCharType="begin" w:fldLock="1"/>
            </w:r>
            <w:r w:rsidR="005B258E" w:rsidRPr="00CA4ABC">
              <w:rPr>
                <w:rFonts w:asciiTheme="minorHAnsi" w:hAnsiTheme="minorHAnsi" w:cstheme="minorHAnsi"/>
                <w:color w:val="000000" w:themeColor="text1"/>
                <w:sz w:val="20"/>
                <w:szCs w:val="20"/>
              </w:rPr>
              <w:instrText>ADDIN CSL_CITATION {"citationItems":[{"id":"ITEM-1","itemData":{"DOI":"10.1093/ageing/afy169","ISSN":"1468-2834","PMID":"30312372","abstract":"Background in 2010, the European Working Group on Sarcopenia in Older People (EWGSOP) published a sarcopenia definition that aimed to foster advances in identifying and caring for people with sarcopenia. In early 2018, the Working Group met again (EWGSOP2) to update the original definition in order to reflect scientific and clinical evidence that has built over the last decade. This paper presents our updated findings. Objectives to increase consistency of research design, clinical diagnoses and ultimately, care for people with sarcopenia. Recommendations sarcopenia is a muscle disease (muscle failure) rooted in adverse muscle changes that accrue across a lifetime; sarcopenia is common among adults of older age but can also occur earlier in life. In this updated consensus paper on sarcopenia, EWGSOP2: (1) focuses on low muscle strength as a key characteristic of sarcopenia, uses detection of low muscle quantity and quality to confirm the sarcopenia diagnosis, and identifies poor physical performance as indicative of severe sarcopenia; (2) updates the clinical algorithm that can be used for sarcopenia case-finding, diagnosis and confirmation, and severity determination and (3) provides clear cut-off points for measurements of variables that identify and characterise sarcopenia. Conclusions EWGSOP2's updated recommendations aim to increase awareness of sarcopenia and its risk. With these new recommendations, EWGSOP2 calls for healthcare professionals who treat patients at risk for sarcopenia to take actions that will promote early detection and treatment. We also encourage more research in the field of sarcopenia in order to prevent or delay adverse health outcomes that incur a heavy burden for patients and healthcare systems.","author":[{"dropping-particle":"","family":"Cruz-Jentoft","given":"Alfonso J","non-dropping-particle":"","parse-names":false,"suffix":""},{"dropping-particle":"","family":"Bahat","given":"Gülistan","non-dropping-particle":"","parse-names":false,"suffix":""},{"dropping-particle":"","family":"Bauer","given":"Jürgen","non-dropping-particle":"","parse-names":false,"suffix":""},{"dropping-particle":"","family":"Boirie","given":"Yves","non-dropping-particle":"","parse-names":false,"suffix":""},{"dropping-particle":"","family":"Bruyère","given":"Olivier","non-dropping-particle":"","parse-names":false,"suffix":""},{"dropping-particle":"","family":"Cederholm","given":"Tommy","non-dropping-particle":"","parse-names":false,"suffix":""},{"dropping-particle":"","family":"Cooper","given":"Cyrus","non-dropping-particle":"","parse-names":false,"suffix":""},{"dropping-particle":"","family":"Landi","given":"Francesco","non-dropping-particle":"","parse-names":false,"suffix":""},{"dropping-particle":"","family":"Rolland","given":"Yves","non-dropping-particle":"","parse-names":false,"suffix":""},{"dropping-particle":"","family":"Sayer","given":"Avan Aihie","non-dropping-particle":"","parse-names":false,"suffix":""},{"dropping-particle":"","family":"Schneider","given":"Stéphane M","non-dropping-particle":"","parse-names":false,"suffix":""},{"dropping-particle":"","family":"Sieber","given":"Cornel C","non-dropping-particle":"","parse-names":false,"suffix":""},{"dropping-particle":"","family":"Topinkova","given":"Eva","non-dropping-particle":"","parse-names":false,"suffix":""},{"dropping-particle":"","family":"Vandewoude","given":"Maurits","non-dropping-particle":"","parse-names":false,"suffix":""},{"dropping-particle":"","family":"Visser","given":"Marjolein","non-dropping-particle":"","parse-names":false,"suffix":""},{"dropping-particle":"","family":"Zamboni","given":"Mauro","non-dropping-particle":"","parse-names":false,"suffix":""},{"dropping-particle":"","family":"Writing Group for the European Working Group on Sarcopenia in Older People 2 (EWGSOP2), and the Extended Group for EWGSOP2","given":"","non-dropping-particle":"","parse-names":false,"suffix":""}],"container-title":"Age and ageing","id":"ITEM-1","issue":"1","issued":{"date-parts":[["2019"]]},"page":"16-31","title":"Sarcopenia: revised European consensus on definition and diagnosis.","type":"article-journal","volume":"48"},"uris":["http://www.mendeley.com/documents/?uuid=8c355e81-ecaa-3636-98e2-b48c9e17adc1"]}],"mendeley":{"formattedCitation":"(8)","plainTextFormattedCitation":"(8)","previouslyFormattedCitation":"(8)"},"properties":{"noteIndex":0},"schema":"https://github.com/citation-style-language/schema/raw/master/csl-citation.json"}</w:instrText>
            </w:r>
            <w:r w:rsidRPr="00CA4ABC">
              <w:rPr>
                <w:rFonts w:asciiTheme="minorHAnsi" w:hAnsiTheme="minorHAnsi" w:cstheme="minorHAnsi"/>
                <w:color w:val="000000" w:themeColor="text1"/>
                <w:sz w:val="20"/>
                <w:szCs w:val="20"/>
              </w:rPr>
              <w:fldChar w:fldCharType="separate"/>
            </w:r>
            <w:r w:rsidR="00AD72F0" w:rsidRPr="00CA4ABC">
              <w:rPr>
                <w:rFonts w:asciiTheme="minorHAnsi" w:hAnsiTheme="minorHAnsi" w:cstheme="minorHAnsi"/>
                <w:noProof/>
                <w:color w:val="000000" w:themeColor="text1"/>
                <w:sz w:val="20"/>
                <w:szCs w:val="20"/>
              </w:rPr>
              <w:t>(8)</w:t>
            </w:r>
            <w:r w:rsidRPr="00CA4ABC">
              <w:rPr>
                <w:rFonts w:asciiTheme="minorHAnsi" w:hAnsiTheme="minorHAnsi" w:cstheme="minorHAnsi"/>
                <w:color w:val="000000" w:themeColor="text1"/>
                <w:sz w:val="20"/>
                <w:szCs w:val="20"/>
              </w:rPr>
              <w:fldChar w:fldCharType="end"/>
            </w:r>
            <w:r w:rsidRPr="00CA4ABC">
              <w:rPr>
                <w:rFonts w:asciiTheme="minorHAnsi" w:hAnsiTheme="minorHAnsi" w:cstheme="minorHAnsi"/>
                <w:color w:val="000000" w:themeColor="text1"/>
                <w:sz w:val="20"/>
                <w:szCs w:val="20"/>
              </w:rPr>
              <w:t xml:space="preserve">, biomarkers* </w:t>
            </w:r>
            <w:r w:rsidRPr="00CA4ABC">
              <w:rPr>
                <w:rFonts w:asciiTheme="minorHAnsi" w:hAnsiTheme="minorHAnsi" w:cstheme="minorHAnsi"/>
                <w:color w:val="000000" w:themeColor="text1"/>
                <w:sz w:val="20"/>
                <w:szCs w:val="20"/>
              </w:rPr>
              <w:fldChar w:fldCharType="begin" w:fldLock="1"/>
            </w:r>
            <w:r w:rsidR="00E34059" w:rsidRPr="00CA4ABC">
              <w:rPr>
                <w:rFonts w:asciiTheme="minorHAnsi" w:hAnsiTheme="minorHAnsi" w:cstheme="minorHAnsi"/>
                <w:color w:val="000000" w:themeColor="text1"/>
                <w:sz w:val="20"/>
                <w:szCs w:val="20"/>
              </w:rPr>
              <w:instrText>ADDIN CSL_CITATION {"citationItems":[{"id":"ITEM-1","itemData":{"DOI":"10.1007/s13539-012-0078-2","ISSN":"21906009","PMID":"22865205","abstract":"Sarcopenia, the age-related skeletal muscle decline, is associated with relevant clinical and socioeconomic negative outcomes in older persons. The study of this phenomenon and the development of preventive/therapeutic strategies represent public health priorities. The present document reports the results of a recent meeting of the International Working Group on Sarcopenia (a task force consisting of geriatricians and scientists from academia and industry) held on June 7-8, 2011 in Toulouse (France). The meeting was specifically focused at gaining knowledge on the currently available biomarkers (functional, biological, or imaging-related) that could be utilized in clinical trials of sarcopenia and considered the most reliable and promising to evaluate age-related modifications of skeletal muscle. Specific recommendations about the assessment of aging skeletal muscle in older people and the optimal methodological design of studies on sarcopenia were also discussed and finalized. Although the study of skeletal muscle decline is still in a very preliminary phase, the potential great benefits derived from a better understanding and treatment of this condition should encourage research on sarcopenia. However, the reasonable uncertainties (derived from exploring a novel field and the exponential acceleration of scientific progress) require the adoption of a cautious and comprehensive approach to the subject. © 2012 Springer-Verlag.","author":[{"dropping-particle":"","family":"Cesari","given":"Matteo","non-dropping-particle":"","parse-names":false,"suffix":""},{"dropping-particle":"","family":"Fielding","given":"Roger A.","non-dropping-particle":"","parse-names":false,"suffix":""},{"dropping-particle":"","family":"Pahor","given":"Marco","non-dropping-particle":"","parse-names":false,"suffix":""},{"dropping-particle":"","family":"Goodpaster","given":"Bret","non-dropping-particle":"","parse-names":false,"suffix":""},{"dropping-particle":"","family":"Hellerstein","given":"Marc","non-dropping-particle":"","parse-names":false,"suffix":""},{"dropping-particle":"","family":"Kan","given":"Gabor A.","non-dropping-particle":"van","parse-names":false,"suffix":""},{"dropping-particle":"","family":"Anker","given":"Stefan D.","non-dropping-particle":"","parse-names":false,"suffix":""},{"dropping-particle":"","family":"Rutkove","given":"Seward","non-dropping-particle":"","parse-names":false,"suffix":""},{"dropping-particle":"","family":"Vrijbloed","given":"J. Willem","non-dropping-particle":"","parse-names":false,"suffix":""},{"dropping-particle":"","family":"Isaac","given":"Maria","non-dropping-particle":"","parse-names":false,"suffix":""},{"dropping-particle":"","family":"Rolland","given":"Yves","non-dropping-particle":"","parse-names":false,"suffix":""},{"dropping-particle":"","family":"M'Rini","given":"Christine","non-dropping-particle":"","parse-names":false,"suffix":""},{"dropping-particle":"","family":"Aubertin-Leheudre","given":"Mylène","non-dropping-particle":"","parse-names":false,"suffix":""},{"dropping-particle":"","family":"Cedarbaum","given":"Jesse M.","non-dropping-particle":"","parse-names":false,"suffix":""},{"dropping-particle":"","family":"Zamboni","given":"Mauro","non-dropping-particle":"","parse-names":false,"suffix":""},{"dropping-particle":"","family":"Sieber","given":"Cornell C.","non-dropping-particle":"","parse-names":false,"suffix":""},{"dropping-particle":"","family":"Laurent","given":"Didier","non-dropping-particle":"","parse-names":false,"suffix":""},{"dropping-particle":"","family":"Evans","given":"William J.","non-dropping-particle":"","parse-names":false,"suffix":""},{"dropping-particle":"","family":"Roubenoff","given":"Ronenn","non-dropping-particle":"","parse-names":false,"suffix":""},{"dropping-particle":"","family":"Morley","given":"John E.","non-dropping-particle":"","parse-names":false,"suffix":""},{"dropping-particle":"","family":"Vellas","given":"Bruno","non-dropping-particle":"","parse-names":false,"suffix":""},{"dropping-particle":"","family":"Kan","given":"Gabor Abellan","non-dropping-particle":"van","parse-names":false,"suffix":""},{"dropping-particle":"","family":"Andrieu","given":"Sandrine","non-dropping-particle":"","parse-names":false,"suffix":""},{"dropping-particle":"","family":"Anthony","given":"Patricia","non-dropping-particle":"","parse-names":false,"suffix":""},{"dropping-particle":"","family":"Asbrand","given":"Christian","non-dropping-particle":"","parse-names":false,"suffix":""},{"dropping-particle":"","family":"Aubertin-Leheudre","given":"Myl̀ne","non-dropping-particle":"","parse-names":false,"suffix":""},{"dropping-particle":"","family":"Barbart-Artigas","given":"Sebastien","non-dropping-particle":"","parse-names":false,"suffix":""},{"dropping-particle":"","family":"Benichou","given":"Olivier","non-dropping-particle":"","parse-names":false,"suffix":""},{"dropping-particle":"","family":"Bonhomme","given":"Cécile","non-dropping-particle":"","parse-names":false,"suffix":""},{"dropping-particle":"","family":"Borensztein","given":"Pascale","non-dropping-particle":"","parse-names":false,"suffix":""},{"dropping-particle":"","family":"Breuillé","given":"Denis","non-dropping-particle":"","parse-names":false,"suffix":""},{"dropping-particle":"","family":"Henriquez","given":"Sergio Castro","non-dropping-particle":"","parse-names":false,"suffix":""},{"dropping-particle":"","family":"Cedarbaum","given":"Jesse M.","non-dropping-particle":"","parse-names":false,"suffix":""},{"dropping-particle":"","family":"Cesari","given":"Matteo","non-dropping-particle":"","parse-names":false,"suffix":""},{"dropping-particle":"","family":"Chatelain","given":"Patricia","non-dropping-particle":"","parse-names":false,"suffix":""},{"dropping-particle":"","family":"Chumlea","given":"Wm Cameron","non-dropping-particle":"","parse-names":false,"suffix":""},{"dropping-particle":"V.","family":"Clark","given":"Richard","non-dropping-particle":"","parse-names":false,"suffix":""},{"dropping-particle":"","family":"Meynard","given":"Capucine","non-dropping-particle":"de","parse-names":false,"suffix":""},{"dropping-particle":"","family":"Evans","given":"William J.","non-dropping-particle":"","parse-names":false,"suffix":""},{"dropping-particle":"","family":"Fanjiang","given":"Gary","non-dropping-particle":"","parse-names":false,"suffix":""},{"dropping-particle":"","family":"Ferrucci","given":"Luigi","non-dropping-particle":"","parse-names":false,"suffix":""},{"dropping-particle":"","family":"Fielding","given":"Roger A.","non-dropping-particle":"","parse-names":false,"suffix":""},{"dropping-particle":"","family":"Garnier","given":"Philippe","non-dropping-particle":"","parse-names":false,"suffix":""},{"dropping-particle":"","family":"Gillette-Guyonnet","given":"Sophie","non-dropping-particle":"","parse-names":false,"suffix":""},{"dropping-particle":"","family":"Goodpaster","given":"Bret","non-dropping-particle":"","parse-names":false,"suffix":""},{"dropping-particle":"","family":"Gros","given":"Marie Françoise","non-dropping-particle":"","parse-names":false,"suffix":""},{"dropping-particle":"","family":"Gutierrez Robledo","given":"Luis Miguel F.","non-dropping-particle":"","parse-names":false,"suffix":""},{"dropping-particle":"","family":"Hellerstein","given":"Marc","non-dropping-particle":"","parse-names":false,"suffix":""},{"dropping-particle":"","family":"Krohn","given":"Kelly","non-dropping-particle":"","parse-names":false,"suffix":""},{"dropping-particle":"","family":"Isaac","given":"Maria","non-dropping-particle":"","parse-names":false,"suffix":""},{"dropping-particle":"","family":"Laurent","given":"Didier","non-dropping-particle":"","parse-names":false,"suffix":""},{"dropping-particle":"","family":"Luo","given":"Menghua","non-dropping-particle":"","parse-names":false,"suffix":""},{"dropping-particle":"","family":"Matheix-Fortunet","given":"Hélène","non-dropping-particle":"","parse-names":false,"suffix":""},{"dropping-particle":"","family":"Mohede","given":"Inge","non-dropping-particle":"","parse-names":false,"suffix":""},{"dropping-particle":"","family":"M'Rini","given":"Christine","non-dropping-particle":"","parse-names":false,"suffix":""},{"dropping-particle":"","family":"Navarro","given":"Ramon","non-dropping-particle":"","parse-names":false,"suffix":""},{"dropping-particle":"","family":"Oesch","given":"Bruno","non-dropping-particle":"","parse-names":false,"suffix":""},{"dropping-particle":"","family":"Ommerborn","given":"Reinhard","non-dropping-particle":"","parse-names":false,"suffix":""},{"dropping-particle":"","family":"Pahor","given":"Marco","non-dropping-particle":"","parse-names":false,"suffix":""},{"dropping-particle":"","family":"Ritz","given":"Patrick","non-dropping-particle":"","parse-names":false,"suffix":""},{"dropping-particle":"","family":"Rolland","given":"Yves","non-dropping-particle":"","parse-names":false,"suffix":""},{"dropping-particle":"","family":"Rooks","given":"Daniel","non-dropping-particle":"","parse-names":false,"suffix":""},{"dropping-particle":"","family":"Roubenoff","given":"Ronnen","non-dropping-particle":"","parse-names":false,"suffix":""},{"dropping-particle":"","family":"Roughead","given":"Fariba","non-dropping-particle":"","parse-names":false,"suffix":""},{"dropping-particle":"","family":"Rutkove","given":"Seward","non-dropping-particle":"","parse-names":false,"suffix":""},{"dropping-particle":"","family":"Sieber","given":"Cornel C.","non-dropping-particle":"","parse-names":false,"suffix":""},{"dropping-particle":"","family":"Storrs-Malibat","given":"Michèle","non-dropping-particle":"","parse-names":false,"suffix":""},{"dropping-particle":"","family":"Studenski","given":"Stephanie","non-dropping-particle":"","parse-names":false,"suffix":""},{"dropping-particle":"","family":"Tsouderos","given":"Yannis","non-dropping-particle":"","parse-names":false,"suffix":""},{"dropping-particle":"","family":"Vellas","given":"Bruno","non-dropping-particle":"","parse-names":false,"suffix":""},{"dropping-particle":"","family":"Verlaan","given":"Sjors","non-dropping-particle":"","parse-names":false,"suffix":""},{"dropping-particle":"","family":"Haehling","given":"Stephan","non-dropping-particle":"von","parse-names":false,"suffix":""},{"dropping-particle":"","family":"Vrijbloed","given":"J. Willem","non-dropping-particle":"","parse-names":false,"suffix":""},{"dropping-particle":"","family":"Wijers","given":"Sander","non-dropping-particle":"","parse-names":false,"suffix":""},{"dropping-particle":"","family":"Zamboni","given":"Mauro","non-dropping-particle":"","parse-names":false,"suffix":""}],"container-title":"Journal of Cachexia, Sarcopenia and Muscle","id":"ITEM-1","issue":"3","issued":{"date-parts":[["2012","9","1"]]},"page":"181-190","publisher":"Wiley Online Library","title":"Biomarkers of sarcopenia in clinical trials-recommendations from the International Working Group on Sarcopenia","type":"article-journal","volume":"3"},"uris":["http://www.mendeley.com/documents/?uuid=1a76468c-7580-3398-bdf3-e6701d3005d2"]}],"mendeley":{"formattedCitation":"(64)","plainTextFormattedCitation":"(64)","previouslyFormattedCitation":"(64)"},"properties":{"noteIndex":0},"schema":"https://github.com/citation-style-language/schema/raw/master/csl-citation.json"}</w:instrText>
            </w:r>
            <w:r w:rsidRPr="00CA4ABC">
              <w:rPr>
                <w:rFonts w:asciiTheme="minorHAnsi" w:hAnsiTheme="minorHAnsi" w:cstheme="minorHAnsi"/>
                <w:color w:val="000000" w:themeColor="text1"/>
                <w:sz w:val="20"/>
                <w:szCs w:val="20"/>
              </w:rPr>
              <w:fldChar w:fldCharType="separate"/>
            </w:r>
            <w:r w:rsidR="005B258E" w:rsidRPr="00CA4ABC">
              <w:rPr>
                <w:rFonts w:asciiTheme="minorHAnsi" w:hAnsiTheme="minorHAnsi" w:cstheme="minorHAnsi"/>
                <w:noProof/>
                <w:color w:val="000000" w:themeColor="text1"/>
                <w:sz w:val="20"/>
                <w:szCs w:val="20"/>
              </w:rPr>
              <w:t>(64)</w:t>
            </w:r>
            <w:r w:rsidRPr="00CA4ABC">
              <w:rPr>
                <w:rFonts w:asciiTheme="minorHAnsi" w:hAnsiTheme="minorHAnsi" w:cstheme="minorHAnsi"/>
                <w:color w:val="000000" w:themeColor="text1"/>
                <w:sz w:val="20"/>
                <w:szCs w:val="20"/>
              </w:rPr>
              <w:fldChar w:fldCharType="end"/>
            </w:r>
            <w:r w:rsidRPr="00CA4ABC">
              <w:rPr>
                <w:rFonts w:asciiTheme="minorHAnsi" w:hAnsiTheme="minorHAnsi" w:cstheme="minorHAnsi"/>
                <w:color w:val="000000" w:themeColor="text1"/>
                <w:sz w:val="20"/>
                <w:szCs w:val="20"/>
              </w:rPr>
              <w:t xml:space="preserve"> and the Sarcopenia Quality of Life (SarQoL)* questionnaire </w:t>
            </w:r>
            <w:r w:rsidRPr="00CA4ABC">
              <w:rPr>
                <w:rFonts w:asciiTheme="minorHAnsi" w:hAnsiTheme="minorHAnsi" w:cstheme="minorHAnsi"/>
                <w:color w:val="000000" w:themeColor="text1"/>
                <w:sz w:val="20"/>
                <w:szCs w:val="20"/>
              </w:rPr>
              <w:fldChar w:fldCharType="begin" w:fldLock="1"/>
            </w:r>
            <w:r w:rsidR="00E34059" w:rsidRPr="00CA4ABC">
              <w:rPr>
                <w:rFonts w:asciiTheme="minorHAnsi" w:hAnsiTheme="minorHAnsi" w:cstheme="minorHAnsi"/>
                <w:color w:val="000000" w:themeColor="text1"/>
                <w:sz w:val="20"/>
                <w:szCs w:val="20"/>
              </w:rPr>
              <w:instrText>ADDIN CSL_CITATION {"citationItems":[{"id":"ITEM-1","itemData":{"DOI":"10.1007/s00223-013-9758-y","ISSN":"0171967X","PMID":"23828275","abstract":"The reduced muscle mass and impaired muscle performance that define sarcopenia in older individuals are associated with increased risk of physical limitation and a variety of chronic diseases. They may also contribute to clinical frailty. A gradual erosion of quality of life (QoL) has been evidenced in these individuals, although much of this research has been done using generic QoL instruments, particularly the SF-36, which may not be ideal in older populations with significant comorbidities. This review and report of an expert meeting presents the current definitions of these geriatric syndromes (sarcopenia and frailty). It then briefly summarizes QoL concepts and specificities in older populations and examines the relevant domains of QoL and what is known concerning QoL decline with these conditions. It calls for a clearer definition of the construct of disability, argues that a disease-specific QoL instrument for sarcopenia/frailty would be an asset for future research, and discusses whether there are available and validated components that could be used to this end and whether the psychometric properties of these instruments are sufficiently tested. It calls also for an approach using utility weighting to provide some cost estimates and suggests that a time trade-off study could be appropriate. © 2013 Springer Science+Business Media New York.","author":[{"dropping-particle":"","family":"Rizzoli","given":"René","non-dropping-particle":"","parse-names":false,"suffix":""},{"dropping-particle":"","family":"Reginster","given":"Jean Yves","non-dropping-particle":"","parse-names":false,"suffix":""},{"dropping-particle":"","family":"Arnal","given":"Jean François","non-dropping-particle":"","parse-names":false,"suffix":""},{"dropping-particle":"","family":"Bautmans","given":"Ivan","non-dropping-particle":"","parse-names":false,"suffix":""},{"dropping-particle":"","family":"Beaudart","given":"Charlotte","non-dropping-particle":"","parse-names":false,"suffix":""},{"dropping-particle":"","family":"Bischoff-Ferrari","given":"Heike","non-dropping-particle":"","parse-names":false,"suffix":""},{"dropping-particle":"","family":"Biver","given":"Emmanuel","non-dropping-particle":"","parse-names":false,"suffix":""},{"dropping-particle":"","family":"Boonen","given":"Steven","non-dropping-particle":"","parse-names":false,"suffix":""},{"dropping-particle":"","family":"Brandi","given":"Maria Luisa","non-dropping-particle":"","parse-names":false,"suffix":""},{"dropping-particle":"","family":"Chines","given":"Arkadi","non-dropping-particle":"","parse-names":false,"suffix":""},{"dropping-particle":"","family":"Cooper","given":"Cyrus","non-dropping-particle":"","parse-names":false,"suffix":""},{"dropping-particle":"","family":"Epstein","given":"Sol","non-dropping-particle":"","parse-names":false,"suffix":""},{"dropping-particle":"","family":"Fielding","given":"Roger A.","non-dropping-particle":"","parse-names":false,"suffix":""},{"dropping-particle":"","family":"Goodpaster","given":"Bret","non-dropping-particle":"","parse-names":false,"suffix":""},{"dropping-particle":"","family":"Kanis","given":"John A.","non-dropping-particle":"","parse-names":false,"suffix":""},{"dropping-particle":"","family":"Kaufman","given":"Jean Marc","non-dropping-particle":"","parse-names":false,"suffix":""},{"dropping-particle":"","family":"Laslop","given":"Andrea","non-dropping-particle":"","parse-names":false,"suffix":""},{"dropping-particle":"","family":"Malafarina","given":"Vincenzo","non-dropping-particle":"","parse-names":false,"suffix":""},{"dropping-particle":"","family":"Mañas","given":"Leocadio Rodriguez","non-dropping-particle":"","parse-names":false,"suffix":""},{"dropping-particle":"","family":"Mitlak","given":"Bruce H.","non-dropping-particle":"","parse-names":false,"suffix":""},{"dropping-particle":"","family":"Oreffo","given":"Richard O.","non-dropping-particle":"","parse-names":false,"suffix":""},{"dropping-particle":"","family":"Petermans","given":"Jean","non-dropping-particle":"","parse-names":false,"suffix":""},{"dropping-particle":"","family":"Reid","given":"Kieran","non-dropping-particle":"","parse-names":false,"suffix":""},{"dropping-particle":"","family":"Rolland","given":"Yves","non-dropping-particle":"","parse-names":false,"suffix":""},{"dropping-particle":"","family":"Sayer","given":"Avan Aihie","non-dropping-particle":"","parse-names":false,"suffix":""},{"dropping-particle":"","family":"Tsouderos","given":"Yannis","non-dropping-particle":"","parse-names":false,"suffix":""},{"dropping-particle":"","family":"Visser","given":"Marjolein","non-dropping-particle":"","parse-names":false,"suffix":""},{"dropping-particle":"","family":"Bruyère","given":"Olivier","non-dropping-particle":"","parse-names":false,"suffix":""}],"container-title":"Calcified Tissue International","id":"ITEM-1","issue":"2","issued":{"date-parts":[["2013","8"]]},"page":"101-120","title":"Quality of life in sarcopenia and frailty","type":"article","volume":"93"},"uris":["http://www.mendeley.com/documents/?uuid=cbf09a27-cf97-37c6-b92b-b776c81cf751"]}],"mendeley":{"formattedCitation":"(65)","plainTextFormattedCitation":"(65)","previouslyFormattedCitation":"(65)"},"properties":{"noteIndex":0},"schema":"https://github.com/citation-style-language/schema/raw/master/csl-citation.json"}</w:instrText>
            </w:r>
            <w:r w:rsidRPr="00CA4ABC">
              <w:rPr>
                <w:rFonts w:asciiTheme="minorHAnsi" w:hAnsiTheme="minorHAnsi" w:cstheme="minorHAnsi"/>
                <w:color w:val="000000" w:themeColor="text1"/>
                <w:sz w:val="20"/>
                <w:szCs w:val="20"/>
              </w:rPr>
              <w:fldChar w:fldCharType="separate"/>
            </w:r>
            <w:r w:rsidR="005B258E" w:rsidRPr="00CA4ABC">
              <w:rPr>
                <w:rFonts w:asciiTheme="minorHAnsi" w:hAnsiTheme="minorHAnsi" w:cstheme="minorHAnsi"/>
                <w:noProof/>
                <w:color w:val="000000" w:themeColor="text1"/>
                <w:sz w:val="20"/>
                <w:szCs w:val="20"/>
              </w:rPr>
              <w:t>(65)</w:t>
            </w:r>
            <w:r w:rsidRPr="00CA4ABC">
              <w:rPr>
                <w:rFonts w:asciiTheme="minorHAnsi" w:hAnsiTheme="minorHAnsi" w:cstheme="minorHAnsi"/>
                <w:color w:val="000000" w:themeColor="text1"/>
                <w:sz w:val="20"/>
                <w:szCs w:val="20"/>
              </w:rPr>
              <w:fldChar w:fldCharType="end"/>
            </w:r>
            <w:r w:rsidRPr="00CA4ABC">
              <w:rPr>
                <w:rFonts w:asciiTheme="minorHAnsi" w:hAnsiTheme="minorHAnsi" w:cstheme="minorHAnsi"/>
                <w:color w:val="000000" w:themeColor="text1"/>
                <w:sz w:val="20"/>
                <w:szCs w:val="20"/>
              </w:rPr>
              <w:t xml:space="preserve"> *less validated</w:t>
            </w:r>
          </w:p>
        </w:tc>
      </w:tr>
      <w:tr w:rsidR="004F4AF8" w:rsidRPr="00CA4ABC" w14:paraId="0F768DB0" w14:textId="77777777" w:rsidTr="00E34059">
        <w:trPr>
          <w:trHeight w:val="360"/>
        </w:trPr>
        <w:tc>
          <w:tcPr>
            <w:tcW w:w="1153" w:type="dxa"/>
            <w:vMerge w:val="restart"/>
          </w:tcPr>
          <w:p w14:paraId="00E5786D"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Severity</w:t>
            </w:r>
          </w:p>
        </w:tc>
        <w:tc>
          <w:tcPr>
            <w:tcW w:w="1157" w:type="dxa"/>
            <w:vMerge w:val="restart"/>
          </w:tcPr>
          <w:p w14:paraId="7E49B00E"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Physical performance</w:t>
            </w:r>
          </w:p>
        </w:tc>
        <w:tc>
          <w:tcPr>
            <w:tcW w:w="2571" w:type="dxa"/>
            <w:vMerge w:val="restart"/>
          </w:tcPr>
          <w:p w14:paraId="6BF40DB5"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Determination of the severity of the disease by objective measures of whole-body function related to locomotion.</w:t>
            </w:r>
          </w:p>
        </w:tc>
        <w:tc>
          <w:tcPr>
            <w:tcW w:w="9632" w:type="dxa"/>
            <w:gridSpan w:val="2"/>
          </w:tcPr>
          <w:p w14:paraId="0CBED178"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Gait speed</w:t>
            </w:r>
          </w:p>
        </w:tc>
      </w:tr>
      <w:tr w:rsidR="004F4AF8" w:rsidRPr="00CA4ABC" w14:paraId="22517BA2" w14:textId="77777777" w:rsidTr="00E34059">
        <w:trPr>
          <w:trHeight w:val="374"/>
        </w:trPr>
        <w:tc>
          <w:tcPr>
            <w:tcW w:w="1153" w:type="dxa"/>
            <w:vMerge/>
          </w:tcPr>
          <w:p w14:paraId="5226490A"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21CCF600"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4F063105"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3B93708C"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Short physical performance batter (SPBB)</w:t>
            </w:r>
          </w:p>
        </w:tc>
      </w:tr>
      <w:tr w:rsidR="004F4AF8" w:rsidRPr="00CA4ABC" w14:paraId="6C9BA30A" w14:textId="77777777" w:rsidTr="00E34059">
        <w:trPr>
          <w:trHeight w:val="74"/>
        </w:trPr>
        <w:tc>
          <w:tcPr>
            <w:tcW w:w="1153" w:type="dxa"/>
            <w:vMerge/>
          </w:tcPr>
          <w:p w14:paraId="2B00C859"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5812D7A5"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65E7C28F"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071FDE31"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Timed-Up and Go Test (TUG)</w:t>
            </w:r>
          </w:p>
        </w:tc>
      </w:tr>
      <w:tr w:rsidR="004F4AF8" w:rsidRPr="00CA4ABC" w14:paraId="090B8F84" w14:textId="77777777" w:rsidTr="00E34059">
        <w:trPr>
          <w:trHeight w:val="88"/>
        </w:trPr>
        <w:tc>
          <w:tcPr>
            <w:tcW w:w="1153" w:type="dxa"/>
            <w:vMerge/>
          </w:tcPr>
          <w:p w14:paraId="29CA9B0A"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1157" w:type="dxa"/>
            <w:vMerge/>
          </w:tcPr>
          <w:p w14:paraId="5CAA9164"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2571" w:type="dxa"/>
            <w:vMerge/>
          </w:tcPr>
          <w:p w14:paraId="1698A377" w14:textId="77777777" w:rsidR="004F4AF8" w:rsidRPr="00CA4ABC" w:rsidRDefault="004F4AF8" w:rsidP="00D93E6C">
            <w:pPr>
              <w:pStyle w:val="NormalWeb"/>
              <w:rPr>
                <w:rFonts w:asciiTheme="minorHAnsi" w:hAnsiTheme="minorHAnsi" w:cstheme="minorHAnsi"/>
                <w:color w:val="000000" w:themeColor="text1"/>
                <w:sz w:val="20"/>
                <w:szCs w:val="20"/>
              </w:rPr>
            </w:pPr>
          </w:p>
        </w:tc>
        <w:tc>
          <w:tcPr>
            <w:tcW w:w="9632" w:type="dxa"/>
            <w:gridSpan w:val="2"/>
          </w:tcPr>
          <w:p w14:paraId="78C3C28D" w14:textId="77777777" w:rsidR="004F4AF8" w:rsidRPr="00CA4ABC" w:rsidRDefault="004F4AF8" w:rsidP="00D93E6C">
            <w:pPr>
              <w:pStyle w:val="NormalWeb"/>
              <w:rPr>
                <w:rFonts w:asciiTheme="minorHAnsi" w:hAnsiTheme="minorHAnsi" w:cstheme="minorHAnsi"/>
                <w:color w:val="000000" w:themeColor="text1"/>
                <w:sz w:val="20"/>
                <w:szCs w:val="20"/>
              </w:rPr>
            </w:pPr>
            <w:r w:rsidRPr="00CA4ABC">
              <w:rPr>
                <w:rFonts w:asciiTheme="minorHAnsi" w:hAnsiTheme="minorHAnsi" w:cstheme="minorHAnsi"/>
                <w:color w:val="000000" w:themeColor="text1"/>
                <w:sz w:val="20"/>
                <w:szCs w:val="20"/>
              </w:rPr>
              <w:t>400-metre walk</w:t>
            </w:r>
          </w:p>
        </w:tc>
      </w:tr>
    </w:tbl>
    <w:p w14:paraId="1B8D6AD6" w14:textId="26E7DF97" w:rsidR="004F4AF8" w:rsidRPr="00F56683" w:rsidRDefault="00F56683" w:rsidP="00F42CB9">
      <w:pPr>
        <w:pStyle w:val="Caption"/>
        <w:spacing w:line="360" w:lineRule="auto"/>
        <w:rPr>
          <w:rFonts w:cstheme="minorHAnsi"/>
          <w:i w:val="0"/>
          <w:iCs w:val="0"/>
          <w:color w:val="000000" w:themeColor="text1"/>
          <w:sz w:val="24"/>
          <w:szCs w:val="24"/>
        </w:rPr>
        <w:sectPr w:rsidR="004F4AF8" w:rsidRPr="00F56683" w:rsidSect="00497F4A">
          <w:pgSz w:w="16840" w:h="11900" w:orient="landscape"/>
          <w:pgMar w:top="1440" w:right="1440" w:bottom="1440" w:left="1440" w:header="708" w:footer="708" w:gutter="0"/>
          <w:cols w:space="708"/>
          <w:docGrid w:linePitch="360"/>
        </w:sectPr>
      </w:pPr>
      <w:bookmarkStart w:id="40" w:name="_Toc122956567"/>
      <w:r w:rsidRPr="00F56683">
        <w:rPr>
          <w:rFonts w:cstheme="minorHAnsi"/>
          <w:i w:val="0"/>
          <w:iCs w:val="0"/>
          <w:color w:val="000000" w:themeColor="text1"/>
          <w:sz w:val="24"/>
          <w:szCs w:val="24"/>
        </w:rPr>
        <w:t xml:space="preserve">Table </w:t>
      </w:r>
      <w:r w:rsidRPr="00F56683">
        <w:rPr>
          <w:rFonts w:cstheme="minorHAnsi"/>
          <w:i w:val="0"/>
          <w:iCs w:val="0"/>
          <w:color w:val="000000" w:themeColor="text1"/>
          <w:sz w:val="24"/>
          <w:szCs w:val="24"/>
        </w:rPr>
        <w:fldChar w:fldCharType="begin"/>
      </w:r>
      <w:r w:rsidRPr="00F56683">
        <w:rPr>
          <w:rFonts w:cstheme="minorHAnsi"/>
          <w:i w:val="0"/>
          <w:iCs w:val="0"/>
          <w:color w:val="000000" w:themeColor="text1"/>
          <w:sz w:val="24"/>
          <w:szCs w:val="24"/>
        </w:rPr>
        <w:instrText xml:space="preserve"> SEQ Table \* ARABIC </w:instrText>
      </w:r>
      <w:r w:rsidRPr="00F56683">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w:t>
      </w:r>
      <w:r w:rsidRPr="00F56683">
        <w:rPr>
          <w:rFonts w:cstheme="minorHAnsi"/>
          <w:i w:val="0"/>
          <w:iCs w:val="0"/>
          <w:color w:val="000000" w:themeColor="text1"/>
          <w:sz w:val="24"/>
          <w:szCs w:val="24"/>
        </w:rPr>
        <w:fldChar w:fldCharType="end"/>
      </w:r>
      <w:r w:rsidRPr="00F56683">
        <w:rPr>
          <w:rFonts w:cstheme="minorHAnsi"/>
          <w:i w:val="0"/>
          <w:iCs w:val="0"/>
          <w:color w:val="000000" w:themeColor="text1"/>
          <w:sz w:val="24"/>
          <w:szCs w:val="24"/>
        </w:rPr>
        <w:t>. An o</w:t>
      </w:r>
      <w:r w:rsidR="004F4AF8" w:rsidRPr="00F56683">
        <w:rPr>
          <w:rFonts w:cstheme="minorHAnsi"/>
          <w:i w:val="0"/>
          <w:iCs w:val="0"/>
          <w:color w:val="000000" w:themeColor="text1"/>
          <w:sz w:val="24"/>
          <w:szCs w:val="24"/>
        </w:rPr>
        <w:t>utline of the optimal tools to be used for case finding and measurements of muscle strength, mass and physical performance in clinical practice and in research, as outlined by EWGSOP2. Adapted from Cruz-Jentoft et al</w:t>
      </w:r>
      <w:r w:rsidRPr="00F56683">
        <w:rPr>
          <w:rFonts w:cstheme="minorHAnsi"/>
          <w:i w:val="0"/>
          <w:iCs w:val="0"/>
          <w:color w:val="000000" w:themeColor="text1"/>
          <w:sz w:val="24"/>
          <w:szCs w:val="24"/>
        </w:rPr>
        <w:t>.</w:t>
      </w:r>
      <w:r w:rsidR="004F4AF8" w:rsidRPr="00F56683">
        <w:rPr>
          <w:rFonts w:cstheme="minorHAnsi"/>
          <w:i w:val="0"/>
          <w:iCs w:val="0"/>
          <w:color w:val="000000" w:themeColor="text1"/>
          <w:sz w:val="24"/>
          <w:szCs w:val="24"/>
        </w:rPr>
        <w:t xml:space="preserve"> </w:t>
      </w:r>
      <w:r w:rsidR="004F4AF8" w:rsidRPr="00F56683">
        <w:rPr>
          <w:rFonts w:cstheme="minorHAnsi"/>
          <w:i w:val="0"/>
          <w:iCs w:val="0"/>
          <w:color w:val="000000" w:themeColor="text1"/>
          <w:sz w:val="24"/>
          <w:szCs w:val="24"/>
        </w:rPr>
        <w:fldChar w:fldCharType="begin" w:fldLock="1"/>
      </w:r>
      <w:r w:rsidR="005B258E" w:rsidRPr="00F56683">
        <w:rPr>
          <w:rFonts w:cstheme="minorHAnsi"/>
          <w:i w:val="0"/>
          <w:iCs w:val="0"/>
          <w:color w:val="000000" w:themeColor="text1"/>
          <w:sz w:val="24"/>
          <w:szCs w:val="24"/>
        </w:rPr>
        <w:instrText>ADDIN CSL_CITATION {"citationItems":[{"id":"ITEM-1","itemData":{"DOI":"10.1093/ageing/afy169","ISSN":"1468-2834","PMID":"30312372","abstract":"Background in 2010, the European Working Group on Sarcopenia in Older People (EWGSOP) published a sarcopenia definition that aimed to foster advances in identifying and caring for people with sarcopenia. In early 2018, the Working Group met again (EWGSOP2) to update the original definition in order to reflect scientific and clinical evidence that has built over the last decade. This paper presents our updated findings. Objectives to increase consistency of research design, clinical diagnoses and ultimately, care for people with sarcopenia. Recommendations sarcopenia is a muscle disease (muscle failure) rooted in adverse muscle changes that accrue across a lifetime; sarcopenia is common among adults of older age but can also occur earlier in life. In this updated consensus paper on sarcopenia, EWGSOP2: (1) focuses on low muscle strength as a key characteristic of sarcopenia, uses detection of low muscle quantity and quality to confirm the sarcopenia diagnosis, and identifies poor physical performance as indicative of severe sarcopenia; (2) updates the clinical algorithm that can be used for sarcopenia case-finding, diagnosis and confirmation, and severity determination and (3) provides clear cut-off points for measurements of variables that identify and characterise sarcopenia. Conclusions EWGSOP2's updated recommendations aim to increase awareness of sarcopenia and its risk. With these new recommendations, EWGSOP2 calls for healthcare professionals who treat patients at risk for sarcopenia to take actions that will promote early detection and treatment. We also encourage more research in the field of sarcopenia in order to prevent or delay adverse health outcomes that incur a heavy burden for patients and healthcare systems.","author":[{"dropping-particle":"","family":"Cruz-Jentoft","given":"Alfonso J","non-dropping-particle":"","parse-names":false,"suffix":""},{"dropping-particle":"","family":"Bahat","given":"Gülistan","non-dropping-particle":"","parse-names":false,"suffix":""},{"dropping-particle":"","family":"Bauer","given":"Jürgen","non-dropping-particle":"","parse-names":false,"suffix":""},{"dropping-particle":"","family":"Boirie","given":"Yves","non-dropping-particle":"","parse-names":false,"suffix":""},{"dropping-particle":"","family":"Bruyère","given":"Olivier","non-dropping-particle":"","parse-names":false,"suffix":""},{"dropping-particle":"","family":"Cederholm","given":"Tommy","non-dropping-particle":"","parse-names":false,"suffix":""},{"dropping-particle":"","family":"Cooper","given":"Cyrus","non-dropping-particle":"","parse-names":false,"suffix":""},{"dropping-particle":"","family":"Landi","given":"Francesco","non-dropping-particle":"","parse-names":false,"suffix":""},{"dropping-particle":"","family":"Rolland","given":"Yves","non-dropping-particle":"","parse-names":false,"suffix":""},{"dropping-particle":"","family":"Sayer","given":"Avan Aihie","non-dropping-particle":"","parse-names":false,"suffix":""},{"dropping-particle":"","family":"Schneider","given":"Stéphane M","non-dropping-particle":"","parse-names":false,"suffix":""},{"dropping-particle":"","family":"Sieber","given":"Cornel C","non-dropping-particle":"","parse-names":false,"suffix":""},{"dropping-particle":"","family":"Topinkova","given":"Eva","non-dropping-particle":"","parse-names":false,"suffix":""},{"dropping-particle":"","family":"Vandewoude","given":"Maurits","non-dropping-particle":"","parse-names":false,"suffix":""},{"dropping-particle":"","family":"Visser","given":"Marjolein","non-dropping-particle":"","parse-names":false,"suffix":""},{"dropping-particle":"","family":"Zamboni","given":"Mauro","non-dropping-particle":"","parse-names":false,"suffix":""},{"dropping-particle":"","family":"Writing Group for the European Working Group on Sarcopenia in Older People 2 (EWGSOP2), and the Extended Group for EWGSOP2","given":"","non-dropping-particle":"","parse-names":false,"suffix":""}],"container-title":"Age and ageing","id":"ITEM-1","issue":"1","issued":{"date-parts":[["2019"]]},"page":"16-31","title":"Sarcopenia: revised European consensus on definition and diagnosis.","type":"article-journal","volume":"48"},"uris":["http://www.mendeley.com/documents/?uuid=8c355e81-ecaa-3636-98e2-b48c9e17adc1"]}],"mendeley":{"formattedCitation":"(8)","plainTextFormattedCitation":"(8)","previouslyFormattedCitation":"(8)"},"properties":{"noteIndex":0},"schema":"https://github.com/citation-style-language/schema/raw/master/csl-citation.json"}</w:instrText>
      </w:r>
      <w:r w:rsidR="004F4AF8" w:rsidRPr="00F56683">
        <w:rPr>
          <w:rFonts w:cstheme="minorHAnsi"/>
          <w:i w:val="0"/>
          <w:iCs w:val="0"/>
          <w:color w:val="000000" w:themeColor="text1"/>
          <w:sz w:val="24"/>
          <w:szCs w:val="24"/>
        </w:rPr>
        <w:fldChar w:fldCharType="separate"/>
      </w:r>
      <w:bookmarkEnd w:id="40"/>
      <w:r w:rsidR="00AD72F0" w:rsidRPr="00F56683">
        <w:rPr>
          <w:rFonts w:cstheme="minorHAnsi"/>
          <w:i w:val="0"/>
          <w:iCs w:val="0"/>
          <w:noProof/>
          <w:color w:val="000000" w:themeColor="text1"/>
          <w:sz w:val="24"/>
          <w:szCs w:val="24"/>
        </w:rPr>
        <w:t>(8)</w:t>
      </w:r>
      <w:r w:rsidR="004F4AF8" w:rsidRPr="00F56683">
        <w:rPr>
          <w:rFonts w:cstheme="minorHAnsi"/>
          <w:i w:val="0"/>
          <w:iCs w:val="0"/>
          <w:color w:val="000000" w:themeColor="text1"/>
          <w:sz w:val="24"/>
          <w:szCs w:val="24"/>
        </w:rPr>
        <w:fldChar w:fldCharType="end"/>
      </w:r>
    </w:p>
    <w:p w14:paraId="1B4849D8" w14:textId="77777777" w:rsidR="004F4AF8" w:rsidRPr="00F56683" w:rsidRDefault="004F4AF8" w:rsidP="00F42CB9">
      <w:pPr>
        <w:spacing w:line="360" w:lineRule="auto"/>
        <w:rPr>
          <w:rFonts w:cstheme="minorHAnsi"/>
          <w:color w:val="000000" w:themeColor="text1"/>
        </w:rPr>
      </w:pPr>
    </w:p>
    <w:tbl>
      <w:tblPr>
        <w:tblW w:w="9410"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00"/>
        <w:gridCol w:w="2013"/>
        <w:gridCol w:w="2472"/>
        <w:gridCol w:w="2225"/>
      </w:tblGrid>
      <w:tr w:rsidR="00F56683" w:rsidRPr="00F56683" w14:paraId="39A10972" w14:textId="77777777" w:rsidTr="00365825">
        <w:trPr>
          <w:trHeight w:val="309"/>
          <w:tblHeader/>
        </w:trPr>
        <w:tc>
          <w:tcPr>
            <w:tcW w:w="0" w:type="auto"/>
            <w:tcBorders>
              <w:top w:val="single" w:sz="2" w:space="0" w:color="888888"/>
              <w:left w:val="single" w:sz="2" w:space="0" w:color="888888"/>
              <w:bottom w:val="single" w:sz="2" w:space="0" w:color="888888"/>
              <w:right w:val="single" w:sz="6" w:space="0" w:color="888888"/>
            </w:tcBorders>
            <w:tcMar>
              <w:top w:w="48" w:type="dxa"/>
              <w:left w:w="96" w:type="dxa"/>
              <w:bottom w:w="48" w:type="dxa"/>
              <w:right w:w="96" w:type="dxa"/>
            </w:tcMar>
            <w:hideMark/>
          </w:tcPr>
          <w:p w14:paraId="3F459C7D" w14:textId="77777777" w:rsidR="004F4AF8" w:rsidRPr="00F56683" w:rsidRDefault="004F4AF8" w:rsidP="00F42CB9">
            <w:pPr>
              <w:spacing w:line="360" w:lineRule="auto"/>
              <w:rPr>
                <w:rFonts w:cstheme="minorHAnsi"/>
                <w:b/>
                <w:bCs/>
                <w:color w:val="000000" w:themeColor="text1"/>
              </w:rPr>
            </w:pPr>
            <w:r w:rsidRPr="00F56683">
              <w:rPr>
                <w:rFonts w:cstheme="minorHAnsi"/>
                <w:b/>
                <w:bCs/>
                <w:color w:val="000000" w:themeColor="text1"/>
              </w:rPr>
              <w:t>Stage</w:t>
            </w:r>
          </w:p>
        </w:tc>
        <w:tc>
          <w:tcPr>
            <w:tcW w:w="0" w:type="auto"/>
            <w:tcBorders>
              <w:top w:val="single" w:sz="2" w:space="0" w:color="888888"/>
              <w:left w:val="single" w:sz="6" w:space="0" w:color="888888"/>
              <w:bottom w:val="single" w:sz="2" w:space="0" w:color="888888"/>
              <w:right w:val="single" w:sz="6" w:space="0" w:color="888888"/>
            </w:tcBorders>
            <w:tcMar>
              <w:top w:w="48" w:type="dxa"/>
              <w:left w:w="96" w:type="dxa"/>
              <w:bottom w:w="48" w:type="dxa"/>
              <w:right w:w="96" w:type="dxa"/>
            </w:tcMar>
            <w:hideMark/>
          </w:tcPr>
          <w:p w14:paraId="6C914A03" w14:textId="77777777" w:rsidR="004F4AF8" w:rsidRPr="00F56683" w:rsidRDefault="004F4AF8" w:rsidP="00F42CB9">
            <w:pPr>
              <w:spacing w:line="360" w:lineRule="auto"/>
              <w:rPr>
                <w:rFonts w:cstheme="minorHAnsi"/>
                <w:b/>
                <w:bCs/>
                <w:color w:val="000000" w:themeColor="text1"/>
              </w:rPr>
            </w:pPr>
            <w:r w:rsidRPr="00F56683">
              <w:rPr>
                <w:rFonts w:cstheme="minorHAnsi"/>
                <w:b/>
                <w:bCs/>
                <w:color w:val="000000" w:themeColor="text1"/>
              </w:rPr>
              <w:t>Muscle Mass</w:t>
            </w:r>
          </w:p>
        </w:tc>
        <w:tc>
          <w:tcPr>
            <w:tcW w:w="0" w:type="auto"/>
            <w:tcBorders>
              <w:top w:val="single" w:sz="2" w:space="0" w:color="888888"/>
              <w:left w:val="single" w:sz="6" w:space="0" w:color="888888"/>
              <w:bottom w:val="single" w:sz="2" w:space="0" w:color="888888"/>
              <w:right w:val="single" w:sz="6" w:space="0" w:color="888888"/>
            </w:tcBorders>
            <w:tcMar>
              <w:top w:w="48" w:type="dxa"/>
              <w:left w:w="96" w:type="dxa"/>
              <w:bottom w:w="48" w:type="dxa"/>
              <w:right w:w="96" w:type="dxa"/>
            </w:tcMar>
            <w:hideMark/>
          </w:tcPr>
          <w:p w14:paraId="1CD156CB" w14:textId="77777777" w:rsidR="004F4AF8" w:rsidRPr="00F56683" w:rsidRDefault="004F4AF8" w:rsidP="00F42CB9">
            <w:pPr>
              <w:spacing w:line="360" w:lineRule="auto"/>
              <w:rPr>
                <w:rFonts w:cstheme="minorHAnsi"/>
                <w:b/>
                <w:bCs/>
                <w:color w:val="000000" w:themeColor="text1"/>
              </w:rPr>
            </w:pPr>
            <w:r w:rsidRPr="00F56683">
              <w:rPr>
                <w:rFonts w:cstheme="minorHAnsi"/>
                <w:b/>
                <w:bCs/>
                <w:color w:val="000000" w:themeColor="text1"/>
              </w:rPr>
              <w:t>Muscle Strength</w:t>
            </w:r>
          </w:p>
        </w:tc>
        <w:tc>
          <w:tcPr>
            <w:tcW w:w="0" w:type="auto"/>
            <w:tcBorders>
              <w:top w:val="single" w:sz="2" w:space="0" w:color="888888"/>
              <w:left w:val="single" w:sz="6" w:space="0" w:color="888888"/>
              <w:bottom w:val="single" w:sz="2" w:space="0" w:color="888888"/>
              <w:right w:val="single" w:sz="2" w:space="0" w:color="888888"/>
            </w:tcBorders>
            <w:tcMar>
              <w:top w:w="48" w:type="dxa"/>
              <w:left w:w="96" w:type="dxa"/>
              <w:bottom w:w="48" w:type="dxa"/>
              <w:right w:w="96" w:type="dxa"/>
            </w:tcMar>
            <w:hideMark/>
          </w:tcPr>
          <w:p w14:paraId="25FB6D69" w14:textId="77777777" w:rsidR="004F4AF8" w:rsidRPr="00F56683" w:rsidRDefault="004F4AF8" w:rsidP="00F42CB9">
            <w:pPr>
              <w:spacing w:line="360" w:lineRule="auto"/>
              <w:rPr>
                <w:rFonts w:cstheme="minorHAnsi"/>
                <w:b/>
                <w:bCs/>
                <w:color w:val="000000" w:themeColor="text1"/>
              </w:rPr>
            </w:pPr>
            <w:r w:rsidRPr="00F56683">
              <w:rPr>
                <w:rFonts w:cstheme="minorHAnsi"/>
                <w:b/>
                <w:bCs/>
                <w:color w:val="000000" w:themeColor="text1"/>
              </w:rPr>
              <w:t>Performance</w:t>
            </w:r>
          </w:p>
        </w:tc>
      </w:tr>
      <w:tr w:rsidR="00F56683" w:rsidRPr="00F56683" w14:paraId="513C9453" w14:textId="77777777" w:rsidTr="00365825">
        <w:trPr>
          <w:trHeight w:val="335"/>
        </w:trPr>
        <w:tc>
          <w:tcPr>
            <w:tcW w:w="0" w:type="auto"/>
            <w:tcBorders>
              <w:top w:val="single" w:sz="2" w:space="0" w:color="888888"/>
              <w:left w:val="single" w:sz="2" w:space="0" w:color="888888"/>
              <w:bottom w:val="single" w:sz="6" w:space="0" w:color="888888"/>
              <w:right w:val="single" w:sz="6" w:space="0" w:color="888888"/>
            </w:tcBorders>
            <w:tcMar>
              <w:top w:w="48" w:type="dxa"/>
              <w:left w:w="96" w:type="dxa"/>
              <w:bottom w:w="48" w:type="dxa"/>
              <w:right w:w="96" w:type="dxa"/>
            </w:tcMar>
            <w:hideMark/>
          </w:tcPr>
          <w:p w14:paraId="71F42C02"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Pre-sarcopenia</w:t>
            </w:r>
          </w:p>
        </w:tc>
        <w:tc>
          <w:tcPr>
            <w:tcW w:w="0" w:type="auto"/>
            <w:tcBorders>
              <w:top w:val="single" w:sz="2" w:space="0" w:color="888888"/>
              <w:left w:val="single" w:sz="6" w:space="0" w:color="888888"/>
              <w:bottom w:val="single" w:sz="6" w:space="0" w:color="888888"/>
              <w:right w:val="single" w:sz="6" w:space="0" w:color="888888"/>
            </w:tcBorders>
            <w:tcMar>
              <w:top w:w="48" w:type="dxa"/>
              <w:left w:w="96" w:type="dxa"/>
              <w:bottom w:w="48" w:type="dxa"/>
              <w:right w:w="96" w:type="dxa"/>
            </w:tcMar>
            <w:hideMark/>
          </w:tcPr>
          <w:p w14:paraId="3F494183"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Low</w:t>
            </w:r>
          </w:p>
        </w:tc>
        <w:tc>
          <w:tcPr>
            <w:tcW w:w="0" w:type="auto"/>
            <w:tcBorders>
              <w:top w:val="single" w:sz="2" w:space="0" w:color="888888"/>
              <w:left w:val="single" w:sz="6" w:space="0" w:color="888888"/>
              <w:bottom w:val="single" w:sz="6" w:space="0" w:color="888888"/>
              <w:right w:val="single" w:sz="6" w:space="0" w:color="888888"/>
            </w:tcBorders>
            <w:tcMar>
              <w:top w:w="48" w:type="dxa"/>
              <w:left w:w="96" w:type="dxa"/>
              <w:bottom w:w="48" w:type="dxa"/>
              <w:right w:w="96" w:type="dxa"/>
            </w:tcMar>
            <w:hideMark/>
          </w:tcPr>
          <w:p w14:paraId="786310EF"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Normal</w:t>
            </w:r>
          </w:p>
        </w:tc>
        <w:tc>
          <w:tcPr>
            <w:tcW w:w="0" w:type="auto"/>
            <w:tcBorders>
              <w:top w:val="single" w:sz="2" w:space="0" w:color="888888"/>
              <w:left w:val="single" w:sz="6" w:space="0" w:color="888888"/>
              <w:bottom w:val="single" w:sz="6" w:space="0" w:color="888888"/>
              <w:right w:val="single" w:sz="2" w:space="0" w:color="888888"/>
            </w:tcBorders>
            <w:tcMar>
              <w:top w:w="48" w:type="dxa"/>
              <w:left w:w="96" w:type="dxa"/>
              <w:bottom w:w="48" w:type="dxa"/>
              <w:right w:w="96" w:type="dxa"/>
            </w:tcMar>
            <w:hideMark/>
          </w:tcPr>
          <w:p w14:paraId="0B8D9292"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Normal</w:t>
            </w:r>
          </w:p>
        </w:tc>
      </w:tr>
      <w:tr w:rsidR="00F56683" w:rsidRPr="00F56683" w14:paraId="624819EE" w14:textId="77777777" w:rsidTr="00365825">
        <w:trPr>
          <w:trHeight w:val="309"/>
        </w:trPr>
        <w:tc>
          <w:tcPr>
            <w:tcW w:w="0" w:type="auto"/>
            <w:tcBorders>
              <w:top w:val="single" w:sz="6" w:space="0" w:color="888888"/>
              <w:left w:val="single" w:sz="2" w:space="0" w:color="888888"/>
              <w:bottom w:val="single" w:sz="6" w:space="0" w:color="888888"/>
              <w:right w:val="single" w:sz="6" w:space="0" w:color="888888"/>
            </w:tcBorders>
            <w:tcMar>
              <w:top w:w="48" w:type="dxa"/>
              <w:left w:w="96" w:type="dxa"/>
              <w:bottom w:w="48" w:type="dxa"/>
              <w:right w:w="96" w:type="dxa"/>
            </w:tcMar>
            <w:hideMark/>
          </w:tcPr>
          <w:p w14:paraId="1C131137"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Sarcopenia</w:t>
            </w:r>
          </w:p>
        </w:tc>
        <w:tc>
          <w:tcPr>
            <w:tcW w:w="0" w:type="auto"/>
            <w:tcBorders>
              <w:top w:val="single" w:sz="6" w:space="0" w:color="888888"/>
              <w:left w:val="single" w:sz="6" w:space="0" w:color="888888"/>
              <w:bottom w:val="single" w:sz="6" w:space="0" w:color="888888"/>
              <w:right w:val="single" w:sz="6" w:space="0" w:color="888888"/>
            </w:tcBorders>
            <w:tcMar>
              <w:top w:w="48" w:type="dxa"/>
              <w:left w:w="96" w:type="dxa"/>
              <w:bottom w:w="48" w:type="dxa"/>
              <w:right w:w="96" w:type="dxa"/>
            </w:tcMar>
            <w:hideMark/>
          </w:tcPr>
          <w:p w14:paraId="22883563"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Low</w:t>
            </w:r>
          </w:p>
        </w:tc>
        <w:tc>
          <w:tcPr>
            <w:tcW w:w="0" w:type="auto"/>
            <w:tcBorders>
              <w:top w:val="single" w:sz="6" w:space="0" w:color="888888"/>
              <w:left w:val="single" w:sz="6" w:space="0" w:color="888888"/>
              <w:bottom w:val="single" w:sz="6" w:space="0" w:color="888888"/>
              <w:right w:val="single" w:sz="6" w:space="0" w:color="888888"/>
            </w:tcBorders>
            <w:tcMar>
              <w:top w:w="48" w:type="dxa"/>
              <w:left w:w="96" w:type="dxa"/>
              <w:bottom w:w="48" w:type="dxa"/>
              <w:right w:w="96" w:type="dxa"/>
            </w:tcMar>
            <w:hideMark/>
          </w:tcPr>
          <w:p w14:paraId="5E74D89A"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Low</w:t>
            </w:r>
          </w:p>
        </w:tc>
        <w:tc>
          <w:tcPr>
            <w:tcW w:w="0" w:type="auto"/>
            <w:tcBorders>
              <w:top w:val="single" w:sz="6" w:space="0" w:color="888888"/>
              <w:left w:val="single" w:sz="6" w:space="0" w:color="888888"/>
              <w:bottom w:val="single" w:sz="6" w:space="0" w:color="888888"/>
              <w:right w:val="single" w:sz="2" w:space="0" w:color="888888"/>
            </w:tcBorders>
            <w:tcMar>
              <w:top w:w="48" w:type="dxa"/>
              <w:left w:w="96" w:type="dxa"/>
              <w:bottom w:w="48" w:type="dxa"/>
              <w:right w:w="96" w:type="dxa"/>
            </w:tcMar>
            <w:hideMark/>
          </w:tcPr>
          <w:p w14:paraId="43A66A48"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Normal or Low</w:t>
            </w:r>
          </w:p>
        </w:tc>
      </w:tr>
      <w:tr w:rsidR="00F56683" w:rsidRPr="00F56683" w14:paraId="6382CA70" w14:textId="77777777" w:rsidTr="00365825">
        <w:trPr>
          <w:trHeight w:val="309"/>
        </w:trPr>
        <w:tc>
          <w:tcPr>
            <w:tcW w:w="0" w:type="auto"/>
            <w:tcBorders>
              <w:top w:val="single" w:sz="6" w:space="0" w:color="888888"/>
              <w:left w:val="single" w:sz="2" w:space="0" w:color="888888"/>
              <w:bottom w:val="single" w:sz="2" w:space="0" w:color="888888"/>
              <w:right w:val="single" w:sz="6" w:space="0" w:color="888888"/>
            </w:tcBorders>
            <w:tcMar>
              <w:top w:w="48" w:type="dxa"/>
              <w:left w:w="96" w:type="dxa"/>
              <w:bottom w:w="48" w:type="dxa"/>
              <w:right w:w="96" w:type="dxa"/>
            </w:tcMar>
            <w:hideMark/>
          </w:tcPr>
          <w:p w14:paraId="0317AE22"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Severe Sarcopenia</w:t>
            </w:r>
          </w:p>
        </w:tc>
        <w:tc>
          <w:tcPr>
            <w:tcW w:w="0" w:type="auto"/>
            <w:tcBorders>
              <w:top w:val="single" w:sz="6" w:space="0" w:color="888888"/>
              <w:left w:val="single" w:sz="6" w:space="0" w:color="888888"/>
              <w:bottom w:val="single" w:sz="2" w:space="0" w:color="888888"/>
              <w:right w:val="single" w:sz="6" w:space="0" w:color="888888"/>
            </w:tcBorders>
            <w:tcMar>
              <w:top w:w="48" w:type="dxa"/>
              <w:left w:w="96" w:type="dxa"/>
              <w:bottom w:w="48" w:type="dxa"/>
              <w:right w:w="96" w:type="dxa"/>
            </w:tcMar>
            <w:hideMark/>
          </w:tcPr>
          <w:p w14:paraId="3E800CB1"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Low</w:t>
            </w:r>
          </w:p>
        </w:tc>
        <w:tc>
          <w:tcPr>
            <w:tcW w:w="0" w:type="auto"/>
            <w:tcBorders>
              <w:top w:val="single" w:sz="6" w:space="0" w:color="888888"/>
              <w:left w:val="single" w:sz="6" w:space="0" w:color="888888"/>
              <w:bottom w:val="single" w:sz="2" w:space="0" w:color="888888"/>
              <w:right w:val="single" w:sz="6" w:space="0" w:color="888888"/>
            </w:tcBorders>
            <w:tcMar>
              <w:top w:w="48" w:type="dxa"/>
              <w:left w:w="96" w:type="dxa"/>
              <w:bottom w:w="48" w:type="dxa"/>
              <w:right w:w="96" w:type="dxa"/>
            </w:tcMar>
            <w:hideMark/>
          </w:tcPr>
          <w:p w14:paraId="5173C0F0"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Low</w:t>
            </w:r>
          </w:p>
        </w:tc>
        <w:tc>
          <w:tcPr>
            <w:tcW w:w="0" w:type="auto"/>
            <w:tcBorders>
              <w:top w:val="single" w:sz="6" w:space="0" w:color="888888"/>
              <w:left w:val="single" w:sz="6" w:space="0" w:color="888888"/>
              <w:bottom w:val="single" w:sz="2" w:space="0" w:color="888888"/>
              <w:right w:val="single" w:sz="2" w:space="0" w:color="888888"/>
            </w:tcBorders>
            <w:tcMar>
              <w:top w:w="48" w:type="dxa"/>
              <w:left w:w="96" w:type="dxa"/>
              <w:bottom w:w="48" w:type="dxa"/>
              <w:right w:w="96" w:type="dxa"/>
            </w:tcMar>
            <w:hideMark/>
          </w:tcPr>
          <w:p w14:paraId="60BD9179"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Low</w:t>
            </w:r>
          </w:p>
        </w:tc>
      </w:tr>
    </w:tbl>
    <w:p w14:paraId="25323F96" w14:textId="66CB3722" w:rsidR="00F56683" w:rsidRPr="00F56683" w:rsidRDefault="00F56683" w:rsidP="00C103F9">
      <w:pPr>
        <w:pStyle w:val="Caption"/>
        <w:keepNext/>
        <w:spacing w:line="360" w:lineRule="auto"/>
        <w:rPr>
          <w:rFonts w:cstheme="minorHAnsi"/>
          <w:i w:val="0"/>
          <w:iCs w:val="0"/>
          <w:color w:val="000000" w:themeColor="text1"/>
          <w:sz w:val="24"/>
          <w:szCs w:val="24"/>
        </w:rPr>
      </w:pPr>
      <w:bookmarkStart w:id="41" w:name="_Ref120719818"/>
      <w:bookmarkStart w:id="42" w:name="_Toc122956568"/>
      <w:r w:rsidRPr="00F56683">
        <w:rPr>
          <w:rFonts w:cstheme="minorHAnsi"/>
          <w:i w:val="0"/>
          <w:iCs w:val="0"/>
          <w:color w:val="000000" w:themeColor="text1"/>
          <w:sz w:val="24"/>
          <w:szCs w:val="24"/>
        </w:rPr>
        <w:t xml:space="preserve">Table </w:t>
      </w:r>
      <w:r w:rsidRPr="00F56683">
        <w:rPr>
          <w:rFonts w:cstheme="minorHAnsi"/>
          <w:i w:val="0"/>
          <w:iCs w:val="0"/>
          <w:color w:val="000000" w:themeColor="text1"/>
          <w:sz w:val="24"/>
          <w:szCs w:val="24"/>
        </w:rPr>
        <w:fldChar w:fldCharType="begin"/>
      </w:r>
      <w:r w:rsidRPr="00F56683">
        <w:rPr>
          <w:rFonts w:cstheme="minorHAnsi"/>
          <w:i w:val="0"/>
          <w:iCs w:val="0"/>
          <w:color w:val="000000" w:themeColor="text1"/>
          <w:sz w:val="24"/>
          <w:szCs w:val="24"/>
        </w:rPr>
        <w:instrText xml:space="preserve"> SEQ Table \* ARABIC </w:instrText>
      </w:r>
      <w:r w:rsidRPr="00F56683">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3</w:t>
      </w:r>
      <w:r w:rsidRPr="00F56683">
        <w:rPr>
          <w:rFonts w:cstheme="minorHAnsi"/>
          <w:i w:val="0"/>
          <w:iCs w:val="0"/>
          <w:color w:val="000000" w:themeColor="text1"/>
          <w:sz w:val="24"/>
          <w:szCs w:val="24"/>
        </w:rPr>
        <w:fldChar w:fldCharType="end"/>
      </w:r>
      <w:r w:rsidRPr="00F56683">
        <w:rPr>
          <w:rFonts w:cstheme="minorHAnsi"/>
          <w:i w:val="0"/>
          <w:iCs w:val="0"/>
          <w:color w:val="000000" w:themeColor="text1"/>
          <w:sz w:val="24"/>
          <w:szCs w:val="24"/>
        </w:rPr>
        <w:t>. Staging of sarcopenia, taken from Cruz-Jentoft et al</w:t>
      </w:r>
      <w:r w:rsidR="00D30D52">
        <w:rPr>
          <w:rFonts w:cstheme="minorHAnsi"/>
          <w:i w:val="0"/>
          <w:iCs w:val="0"/>
          <w:color w:val="000000" w:themeColor="text1"/>
          <w:sz w:val="24"/>
          <w:szCs w:val="24"/>
        </w:rPr>
        <w:t>.</w:t>
      </w:r>
      <w:r w:rsidRPr="00F56683">
        <w:rPr>
          <w:rFonts w:cstheme="minorHAnsi"/>
          <w:i w:val="0"/>
          <w:iCs w:val="0"/>
          <w:color w:val="000000" w:themeColor="text1"/>
          <w:sz w:val="24"/>
          <w:szCs w:val="24"/>
        </w:rPr>
        <w:t xml:space="preserve"> 2010</w:t>
      </w:r>
    </w:p>
    <w:p w14:paraId="43BD69F4" w14:textId="7F970A30" w:rsidR="004F4AF8" w:rsidRDefault="008360B1" w:rsidP="00C103F9">
      <w:pPr>
        <w:pStyle w:val="Heading3"/>
        <w:spacing w:line="360" w:lineRule="auto"/>
        <w:rPr>
          <w:rFonts w:asciiTheme="minorHAnsi" w:hAnsiTheme="minorHAnsi" w:cstheme="minorHAnsi"/>
          <w:color w:val="000000" w:themeColor="text1"/>
        </w:rPr>
      </w:pPr>
      <w:bookmarkStart w:id="43" w:name="_Toc135384244"/>
      <w:bookmarkEnd w:id="41"/>
      <w:bookmarkEnd w:id="42"/>
      <w:r w:rsidRPr="004721C1">
        <w:rPr>
          <w:rFonts w:asciiTheme="minorHAnsi" w:hAnsiTheme="minorHAnsi" w:cstheme="minorHAnsi"/>
          <w:color w:val="000000" w:themeColor="text1"/>
        </w:rPr>
        <w:t xml:space="preserve">1.2.8 Sarcopenia </w:t>
      </w:r>
      <w:r w:rsidR="00F66FC3">
        <w:rPr>
          <w:rFonts w:asciiTheme="minorHAnsi" w:hAnsiTheme="minorHAnsi" w:cstheme="minorHAnsi"/>
          <w:color w:val="000000" w:themeColor="text1"/>
        </w:rPr>
        <w:t xml:space="preserve">vs </w:t>
      </w:r>
      <w:r w:rsidRPr="004721C1">
        <w:rPr>
          <w:rFonts w:asciiTheme="minorHAnsi" w:hAnsiTheme="minorHAnsi" w:cstheme="minorHAnsi"/>
          <w:color w:val="000000" w:themeColor="text1"/>
        </w:rPr>
        <w:t>Dynapenia</w:t>
      </w:r>
      <w:bookmarkEnd w:id="43"/>
      <w:r w:rsidR="00F66FC3">
        <w:rPr>
          <w:rFonts w:asciiTheme="minorHAnsi" w:hAnsiTheme="minorHAnsi" w:cstheme="minorHAnsi"/>
          <w:color w:val="000000" w:themeColor="text1"/>
        </w:rPr>
        <w:t xml:space="preserve"> </w:t>
      </w:r>
    </w:p>
    <w:p w14:paraId="2D9ACFDE" w14:textId="48E135E3" w:rsidR="005008FC" w:rsidRPr="004721C1" w:rsidRDefault="007D45A8" w:rsidP="004721C1">
      <w:pPr>
        <w:spacing w:line="360" w:lineRule="auto"/>
        <w:ind w:firstLine="720"/>
        <w:rPr>
          <w:lang w:eastAsia="en-GB"/>
        </w:rPr>
      </w:pPr>
      <w:r>
        <w:rPr>
          <w:lang w:eastAsia="en-GB"/>
        </w:rPr>
        <w:t>The term</w:t>
      </w:r>
      <w:r w:rsidR="00F80865">
        <w:rPr>
          <w:lang w:eastAsia="en-GB"/>
        </w:rPr>
        <w:t xml:space="preserve"> </w:t>
      </w:r>
      <w:r w:rsidR="00057AE3">
        <w:rPr>
          <w:lang w:eastAsia="en-GB"/>
        </w:rPr>
        <w:t>D</w:t>
      </w:r>
      <w:r w:rsidR="00F80865">
        <w:rPr>
          <w:lang w:eastAsia="en-GB"/>
        </w:rPr>
        <w:t xml:space="preserve">ynapenia was proposed to define the loss of muscle strength and power linked to age </w:t>
      </w:r>
      <w:r w:rsidR="00057AE3">
        <w:rPr>
          <w:lang w:eastAsia="en-GB"/>
        </w:rPr>
        <w:fldChar w:fldCharType="begin" w:fldLock="1"/>
      </w:r>
      <w:r w:rsidR="00057AE3">
        <w:rPr>
          <w:lang w:eastAsia="en-GB"/>
        </w:rPr>
        <w:instrText>ADDIN CSL_CITATION {"citationItems":[{"id":"ITEM-1","itemData":{"DOI":"10.1016/j.nut.2011.12.002.What","ISBN":"6176321972","ISSN":"15378276","PMID":"1000000221","author":[{"dropping-particle":"","family":"Clark","given":"Brian C.","non-dropping-particle":"","parse-names":false,"suffix":""},{"dropping-particle":"","family":"Manini","given":"Todd M.","non-dropping-particle":"","parse-names":false,"suffix":""}],"id":"ITEM-1","issue":"1","issued":{"date-parts":[["2012"]]},"page":"1-7","title":"What is dynapenia?","type":"article-journal","volume":"23"},"uris":["http://www.mendeley.com/documents/?uuid=43860cc6-4a19-40f0-aaf4-9145c55f139d"]}],"mendeley":{"formattedCitation":"(66)","plainTextFormattedCitation":"(66)","previouslyFormattedCitation":"(66)"},"properties":{"noteIndex":0},"schema":"https://github.com/citation-style-language/schema/raw/master/csl-citation.json"}</w:instrText>
      </w:r>
      <w:r w:rsidR="00057AE3">
        <w:rPr>
          <w:lang w:eastAsia="en-GB"/>
        </w:rPr>
        <w:fldChar w:fldCharType="separate"/>
      </w:r>
      <w:r w:rsidR="00057AE3" w:rsidRPr="00057AE3">
        <w:rPr>
          <w:noProof/>
          <w:lang w:eastAsia="en-GB"/>
        </w:rPr>
        <w:t>(66)</w:t>
      </w:r>
      <w:r w:rsidR="00057AE3">
        <w:rPr>
          <w:lang w:eastAsia="en-GB"/>
        </w:rPr>
        <w:fldChar w:fldCharType="end"/>
      </w:r>
      <w:r w:rsidR="00057AE3">
        <w:rPr>
          <w:lang w:eastAsia="en-GB"/>
        </w:rPr>
        <w:t xml:space="preserve">. This definition acknowledges that strength losses are only partially explained by muscle mass and other physiological factors and therefore strength loss and mass loss need to be defined independently </w:t>
      </w:r>
      <w:r w:rsidR="00057AE3">
        <w:rPr>
          <w:lang w:eastAsia="en-GB"/>
        </w:rPr>
        <w:fldChar w:fldCharType="begin" w:fldLock="1"/>
      </w:r>
      <w:r w:rsidR="00E86F8C">
        <w:rPr>
          <w:lang w:eastAsia="en-GB"/>
        </w:rPr>
        <w:instrText>ADDIN CSL_CITATION {"citationItems":[{"id":"ITEM-1","itemData":{"DOI":"10.1093/gerona/glr010","author":[{"dropping-particle":"","family":"Manini","given":"Todd M","non-dropping-particle":"","parse-names":false,"suffix":""},{"dropping-particle":"","family":"Clark","given":"Brian C","non-dropping-particle":"","parse-names":false,"suffix":""}],"id":"ITEM-1","issue":"1","issued":{"date-parts":[["2012"]]},"page":"28-40","title":"Dynapenia and Aging : An Update","type":"article-journal"},"uris":["http://www.mendeley.com/documents/?uuid=3e9ee1a8-d086-45f2-aa15-6d19c32459f1"]}],"mendeley":{"formattedCitation":"(67)","plainTextFormattedCitation":"(67)","previouslyFormattedCitation":"(67)"},"properties":{"noteIndex":0},"schema":"https://github.com/citation-style-language/schema/raw/master/csl-citation.json"}</w:instrText>
      </w:r>
      <w:r w:rsidR="00057AE3">
        <w:rPr>
          <w:lang w:eastAsia="en-GB"/>
        </w:rPr>
        <w:fldChar w:fldCharType="separate"/>
      </w:r>
      <w:r w:rsidR="00057AE3" w:rsidRPr="00057AE3">
        <w:rPr>
          <w:noProof/>
          <w:lang w:eastAsia="en-GB"/>
        </w:rPr>
        <w:t>(67)</w:t>
      </w:r>
      <w:r w:rsidR="00057AE3">
        <w:rPr>
          <w:lang w:eastAsia="en-GB"/>
        </w:rPr>
        <w:fldChar w:fldCharType="end"/>
      </w:r>
      <w:r w:rsidR="00057AE3">
        <w:rPr>
          <w:lang w:eastAsia="en-GB"/>
        </w:rPr>
        <w:t xml:space="preserve">. </w:t>
      </w:r>
      <w:r w:rsidR="00F66FC3">
        <w:rPr>
          <w:lang w:eastAsia="en-GB"/>
        </w:rPr>
        <w:t>As Sarcopenia definitions advance, the impact of strength appears to be given greater attention, particularly for "Assessing" the disease's presence</w:t>
      </w:r>
      <w:r w:rsidR="00B977D5">
        <w:rPr>
          <w:lang w:eastAsia="en-GB"/>
        </w:rPr>
        <w:t>,</w:t>
      </w:r>
      <w:r w:rsidR="00F66FC3">
        <w:rPr>
          <w:lang w:eastAsia="en-GB"/>
        </w:rPr>
        <w:t xml:space="preserve"> and the terminology appears to be more encompassing for  giving consideration to declines in muscle parameters that extend beyond mass measurements.</w:t>
      </w:r>
    </w:p>
    <w:p w14:paraId="549692A0" w14:textId="18E17509" w:rsidR="004F4AF8" w:rsidRPr="00F56683" w:rsidRDefault="004F4AF8" w:rsidP="00C103F9">
      <w:pPr>
        <w:pStyle w:val="Heading3"/>
        <w:spacing w:line="360" w:lineRule="auto"/>
        <w:rPr>
          <w:rFonts w:asciiTheme="minorHAnsi" w:hAnsiTheme="minorHAnsi" w:cstheme="minorHAnsi"/>
          <w:color w:val="000000" w:themeColor="text1"/>
        </w:rPr>
      </w:pPr>
      <w:bookmarkStart w:id="44" w:name="_Toc135384245"/>
      <w:r w:rsidRPr="00F56683">
        <w:rPr>
          <w:rFonts w:asciiTheme="minorHAnsi" w:hAnsiTheme="minorHAnsi" w:cstheme="minorHAnsi"/>
          <w:color w:val="000000" w:themeColor="text1"/>
        </w:rPr>
        <w:t>1.2.</w:t>
      </w:r>
      <w:r w:rsidR="008360B1">
        <w:rPr>
          <w:rFonts w:asciiTheme="minorHAnsi" w:hAnsiTheme="minorHAnsi" w:cstheme="minorHAnsi"/>
          <w:color w:val="000000" w:themeColor="text1"/>
        </w:rPr>
        <w:t>9</w:t>
      </w:r>
      <w:r w:rsidRPr="00F56683">
        <w:rPr>
          <w:rFonts w:asciiTheme="minorHAnsi" w:hAnsiTheme="minorHAnsi" w:cstheme="minorHAnsi"/>
          <w:color w:val="000000" w:themeColor="text1"/>
        </w:rPr>
        <w:t xml:space="preserve"> Life course of sarcopenia</w:t>
      </w:r>
      <w:bookmarkEnd w:id="44"/>
    </w:p>
    <w:p w14:paraId="2F83EDED" w14:textId="7A070423"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Although declines </w:t>
      </w:r>
      <w:r w:rsidR="003407A7" w:rsidRPr="00F56683">
        <w:rPr>
          <w:rFonts w:cstheme="minorHAnsi"/>
          <w:color w:val="000000" w:themeColor="text1"/>
        </w:rPr>
        <w:t>in</w:t>
      </w:r>
      <w:r w:rsidRPr="00F56683">
        <w:rPr>
          <w:rFonts w:cstheme="minorHAnsi"/>
          <w:color w:val="000000" w:themeColor="text1"/>
        </w:rPr>
        <w:t xml:space="preserve"> muscle mass were first documented three decades ago, epidemiological studies have advanced to provide greater depth and detail about the associations between muscle loss and health consequences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{"citationItems":[{"id":"ITEM-1","itemData":{"DOI":"10.1007/S00223-017-0277-0","ISSN":"1432-0827","PMID":"28421264","abstract":"Sarcopenia is an age-related syndrome characterised by progressive and generalised loss of skeletal muscle mass and strength; it is a major contributor to the risk of physical frailty, functional impairment in older people, poor health-related quality of life and premature death. Many different definitions have been used to describe sarcopenia and have resulted in varying estimates of prevalence of the condition. The most recent attempts of definitions have tried to integrate information on muscle mass, strength and physical function and provide a definition that is useful in both research and clinical settings. This review focuses on the epidemiology of the three distinct physiological components of sarcopenia, and highlights the similarities and differences between their patterns of variation with age, gender, geography and time and the individual risk factors that cluster selectively with muscle mass, strength and physical function. Methods used to measure muscle mass, strength and physical functioning and how differences in these approaches can contribute to the varying prevalence rates will also be described. The evidence for this review was gathered by undertaking a systematic search of the literature. The descriptive characteristics of muscle mass, strength and function described in this review point to the urgent need for a consensual definition of sarcopenia incorporating these parameters.","author":[{"dropping-particle":"","family":"Shaw","given":"S. C.","non-dropping-particle":"","parse-names":false,"suffix":""},{"dropping-particle":"","family":"Dennison","given":"E. M.","non-dropping-particle":"","parse-names":false,"suffix":""},{"dropping-particle":"","family":"Cooper","given":"C.","non-dropping-particle":"","parse-names":false,"suffix":""}],"container-title":"Calcified tissue international","id":"ITEM-1","issue":"3","issued":{"date-parts":[["2017","9","1"]]},"page":"229-247","publisher":"Calcif Tissue Int","title":"Epidemiology of Sarcopenia: Determinants Throughout the Lifecourse","type":"article-journal","volume":"101"},"uris":["http://www.mendeley.com/documents/?uuid=f8de4482-9aa2-38f5-818f-02bf36dab9ce"]}],"mendeley":{"formattedCitation":"(68)","plainTextFormattedCitation":"(68)","previouslyFormattedCitation":"(68)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(68)</w:t>
      </w:r>
      <w:r w:rsidRPr="00F56683">
        <w:rPr>
          <w:rFonts w:cstheme="minorHAnsi"/>
          <w:color w:val="000000" w:themeColor="text1"/>
        </w:rPr>
        <w:fldChar w:fldCharType="end"/>
      </w:r>
      <w:r w:rsidRPr="00F56683">
        <w:rPr>
          <w:rFonts w:cstheme="minorHAnsi"/>
          <w:color w:val="000000" w:themeColor="text1"/>
        </w:rPr>
        <w:t>. Janssen et al</w:t>
      </w:r>
      <w:r w:rsidR="00047E3B"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{"citationItems":[{"id":"ITEM-1","itemData":{"DOI":"10.1152/JAPPL.2000.89.1.81","ISSN":"8750-7587","PMID":"10904038","abstract":"We employed a whole body magnetic resonance imaging protocol to examine the influence of age, gender, body weight, and height on skeletal muscle (SM) mass and distribution in a large and heterogeneous sample of 468 men and women. Men had significantly (P &lt; 0.001) more SM in comparison to women in both absolute terms (33.0 vs. 21.0 kg) and relative to body mass (38.4 vs. 30.6%). The gender differences were greater in the upper (40%) than lower (33%) body (P &lt; 0.01). We observed a reduction in relative SM mass starting in the third decade; however, a noticeable decrease in absolute SM mass was not observed until the end of the fifth decade. This decrease was primarily attributed to a decrease in lower body SM. Weight and height explained ~50% of the variance in SM mass in men and women. Although a linear relationship existed between SM and height, the relationship between SM and body weight was curvilinear because the contribution of SM to weight gain decreased with increasing body weight. These findings indicate that men have more SM than women and that these gender differences are greater in the upper body. Independent of gender, aging is associated with a decrease in SM mass that is explained, in large measure, by a decrease in lower body SM occurring after the fifth decade.","author":[{"dropping-particle":"","family":"Janssen","given":"Ian","non-dropping-particle":"","parse-names":false,"suffix":""},{"dropping-particle":"","family":"Heymsfield","given":"Steven B.","non-dropping-particle":"","parse-names":false,"suffix":""},{"dropping-particle":"","family":"Wang","given":"Zi Mian","non-dropping-particle":"","parse-names":false,"suffix":""},{"dropping-particle":"","family":"Ross","given":"Robert","non-dropping-particle":"","parse-names":false,"suffix":""}],"container-title":"Journal of applied physiology (Bethesda, Md. : 1985)","id":"ITEM-1","issue":"1","issued":{"date-parts":[["2000"]]},"page":"81-88","publisher":"J Appl Physiol (1985)","title":"Skeletal muscle mass and distribution in 468 men and women aged 18-88 yr","type":"article-journal","volume":"89"},"uris":["http://www.mendeley.com/documents/?uuid=60b691b3-7df0-36d9-aaa3-cb24f87ca40a"]}],"mendeley":{"formattedCitation":"(69)","plainTextFormattedCitation":"(69)","previouslyFormattedCitation":"(69)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(69)</w:t>
      </w:r>
      <w:r w:rsidRPr="00F56683">
        <w:rPr>
          <w:rFonts w:cstheme="minorHAnsi"/>
          <w:color w:val="000000" w:themeColor="text1"/>
        </w:rPr>
        <w:fldChar w:fldCharType="end"/>
      </w:r>
      <w:r w:rsidRPr="00F56683">
        <w:rPr>
          <w:rFonts w:cstheme="minorHAnsi"/>
          <w:color w:val="000000" w:themeColor="text1"/>
        </w:rPr>
        <w:t xml:space="preserve"> investigated skeletal muscle mass distribution, using whole</w:t>
      </w:r>
      <w:r w:rsidR="00AF551E" w:rsidRPr="00F56683">
        <w:rPr>
          <w:rFonts w:cstheme="minorHAnsi"/>
          <w:color w:val="000000" w:themeColor="text1"/>
        </w:rPr>
        <w:t>-</w:t>
      </w:r>
      <w:r w:rsidRPr="00F56683">
        <w:rPr>
          <w:rFonts w:cstheme="minorHAnsi"/>
          <w:color w:val="000000" w:themeColor="text1"/>
        </w:rPr>
        <w:t xml:space="preserve">body magnetic resonance imaging, in 468 adults (males and females) aged 18-88 years. It was observed that the quantity of skeletal muscle, relative to body mass (%), starts to decrease from the age of 30 onwards. However, declines were not observed to be significantly </w:t>
      </w:r>
      <w:r w:rsidR="00D07A32" w:rsidRPr="00F56683">
        <w:rPr>
          <w:rFonts w:cstheme="minorHAnsi"/>
          <w:color w:val="000000" w:themeColor="text1"/>
        </w:rPr>
        <w:t xml:space="preserve">different </w:t>
      </w:r>
      <w:r w:rsidRPr="00F56683">
        <w:rPr>
          <w:rFonts w:cstheme="minorHAnsi"/>
          <w:color w:val="000000" w:themeColor="text1"/>
        </w:rPr>
        <w:t xml:space="preserve">in relation to absolute quantities of muscle mass until the age of ~45 years of age (fifth decade). </w:t>
      </w:r>
    </w:p>
    <w:p w14:paraId="734B62DA" w14:textId="7390BA78" w:rsidR="004F4AF8" w:rsidRPr="00F56683" w:rsidRDefault="004F4AF8" w:rsidP="00F42CB9">
      <w:pPr>
        <w:spacing w:line="360" w:lineRule="auto"/>
        <w:rPr>
          <w:rFonts w:cstheme="minorHAnsi"/>
          <w:color w:val="000000" w:themeColor="text1"/>
        </w:rPr>
      </w:pPr>
      <w:r w:rsidRPr="00F56683">
        <w:rPr>
          <w:rFonts w:cstheme="minorHAnsi"/>
          <w:color w:val="000000" w:themeColor="text1"/>
        </w:rPr>
        <w:t>Silva et al</w:t>
      </w:r>
      <w:r w:rsidR="00047E3B"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{"citationItems":[{"id":"ITEM-1","itemData":{"DOI":"10.1002/AJHB.20956","ISSN":"1520-6300","PMID":"19533617","abstract":"Despite research and clinical significance, limited information is available on the relations between skeletal muscle (SM) and age in adults, specifically among Hispanics, African Americans (AA), and Asians. The aim was to investigate possible sex and ethnic SM differences in adults over an age range of 60 years. Subjects were 468 male and 1280 female adults (≥18 years). SM was estimated based on DXA-measured appendicular lean-soft tissue using a previously reported prediction equation. Locally weighted regression smoothing lines were fit to examine SM trends and to localize age cutoffs; piecewise multiple linear regression models were then applied, controlling for weight and height, to identify age cutoffs for sex-specific changes in SM among the ethnic groups. The age of 27 years was identified for women and men as the cut-off after which SM starts to show a negative association with age. Both sexes had a similar ethnic pattern for expected mean SM at the age cutoff, with AA presenting the highest SM values, followed by Whites, Hispanics, and Asians. After the age cutoffs, the lowering of SM differed by ethnicity and sex: AA women showed the greatest SM lowering whereas Hispanic women had the least. Hispanic men tended to show a higher negative association of SM with age followed by AA and Whites. To conclude, significant sex and ethnic differences exist in the magnitude of negative associations of SM with age &gt;27 years. Further studies using a longitudinal design are needed to explore the associations of ethnicity-related decline of SM with health risks. © 2009 Wiley-Liss, Inc.","author":[{"dropping-particle":"","family":"Silva","given":"Analiza M.","non-dropping-particle":"","parse-names":false,"suffix":""},{"dropping-particle":"","family":"Shen","given":"Wei","non-dropping-particle":"","parse-names":false,"suffix":""},{"dropping-particle":"","family":"Heo","given":"Moonseong","non-dropping-particle":"","parse-names":false,"suffix":""},{"dropping-particle":"","family":"Gallagher","given":"Dympna","non-dropping-particle":"","parse-names":false,"suffix":""},{"dropping-particle":"","family":"Wang","given":"Zimian","non-dropping-particle":"","parse-names":false,"suffix":""},{"dropping-particle":"","family":"Sardinha","given":"Luis B.","non-dropping-particle":"","parse-names":false,"suffix":""},{"dropping-particle":"","family":"Heymsfield","given":"Steven B.","non-dropping-particle":"","parse-names":false,"suffix":""}],"container-title":"American Journal of Human Biology","id":"ITEM-1","issue":"1","issued":{"date-parts":[["2010","1","1"]]},"page":"76-82","publisher":"John Wiley &amp; Sons, Ltd","title":"Ethnicity-related skeletal muscle differences across the lifespan","type":"article-journal","volume":"22"},"uris":["http://www.mendeley.com/documents/?uuid=8ab48d58-d7b8-3389-bd2d-9e8773824b1c"]}],"mendeley":{"formattedCitation":"(70)","plainTextFormattedCitation":"(70)","previouslyFormattedCitation":"(70)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(70)</w:t>
      </w:r>
      <w:r w:rsidRPr="00F56683">
        <w:rPr>
          <w:rFonts w:cstheme="minorHAnsi"/>
          <w:color w:val="000000" w:themeColor="text1"/>
        </w:rPr>
        <w:fldChar w:fldCharType="end"/>
      </w:r>
      <w:r w:rsidRPr="00F56683">
        <w:rPr>
          <w:rFonts w:cstheme="minorHAnsi"/>
          <w:color w:val="000000" w:themeColor="text1"/>
        </w:rPr>
        <w:t xml:space="preserve"> also noted the age of 27 as the pivotal threshold from which beyond this skeletal mass begins to be negatively associated with age. </w:t>
      </w:r>
    </w:p>
    <w:p w14:paraId="2E1C4985" w14:textId="77777777" w:rsidR="004F4AF8" w:rsidRPr="00F56683" w:rsidRDefault="004F4AF8" w:rsidP="00F42CB9">
      <w:pPr>
        <w:spacing w:line="360" w:lineRule="auto"/>
        <w:rPr>
          <w:rFonts w:cstheme="minorHAnsi"/>
          <w:color w:val="000000" w:themeColor="text1"/>
        </w:rPr>
      </w:pPr>
    </w:p>
    <w:p w14:paraId="0E3D44C4" w14:textId="79BD8974" w:rsidR="004F4AF8" w:rsidRPr="00F56683" w:rsidRDefault="004F4AF8" w:rsidP="00F42CB9">
      <w:pPr>
        <w:spacing w:line="360" w:lineRule="auto"/>
        <w:rPr>
          <w:rFonts w:cstheme="minorHAnsi"/>
          <w:color w:val="000000" w:themeColor="text1"/>
        </w:rPr>
      </w:pPr>
      <w:r w:rsidRPr="00F56683">
        <w:rPr>
          <w:rFonts w:cstheme="minorHAnsi"/>
          <w:color w:val="000000" w:themeColor="text1"/>
        </w:rPr>
        <w:t>Dodds et al</w:t>
      </w:r>
      <w:r w:rsidR="00047E3B"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{"citationItems":[{"id":"ITEM-1","itemData":{"DOI":"10.1371/JOURNAL.PONE.0113637","ISSN":"1932-6203","PMID":"25474696","abstract":"Introduction Epidemiological studies have shown that weaker grip strength in later life is associated with disability, morbidity, and mortality. Grip strength is a key component of the sarcopenia and frailty phenotypes and yet it is unclear how individual measurements should be interpreted. Our objective was to produce cross-sectional centile values for grip strength across the life course. A secondary objective was to examine the impact of different aspects of measurement protocol.  Methods We combined 60,803 observations from 49,964 participants (26,687 female) of 12 general population studies in Great Britain. We produced centile curves for ages 4 to 90 and investigated the prevalence of weak grip, defined as strength at least 2.5 SDs below the gender-specific peak mean. We carried out a series of sensitivity analyses to assess the impact of dynamometer type and measurement position (seated or standing).  Results Our results suggested three overall periods: an increase to peak in early adult life, maintenance through to midlife, and decline from midlife onwards. Males were on average stronger than females from adolescence onwards: males’ peak median grip was 51 kg between ages 29 and 39, compared to 31 kg in females between ages 26 and 42. Weak grip strength, defined as strength at least 2.5 SDs below the gender-specific peak mean, increased sharply with age, reaching a prevalence of 23% in males and 27% in females by age 80. Sensitivity analyses suggested our findings were robust to differences in dynamometer type and measurement position.  Conclusion This is the first study to provide normative data for grip strength across the life course. These centile values have the potential to inform the clinical assessment of grip strength which is recognised as an important part of the identification of people with sarcopenia and frailty.","author":[{"dropping-particle":"","family":"Dodds","given":"Richard M.","non-dropping-particle":"","parse-names":false,"suffix":""},{"dropping-particle":"","family":"Syddall","given":"Holly E.","non-dropping-particle":"","parse-names":false,"suffix":""},{"dropping-particle":"","family":"Cooper","given":"Rachel","non-dropping-particle":"","parse-names":false,"suffix":""},{"dropping-particle":"","family":"Benzeval","given":"Michaela","non-dropping-particle":"","parse-names":false,"suffix":""},{"dropping-particle":"","family":"Deary","given":"Ian J.","non-dropping-particle":"","parse-names":false,"suffix":""},{"dropping-particle":"","family":"Dennison","given":"Elaine M.","non-dropping-particle":"","parse-names":false,"suffix":""},{"dropping-particle":"","family":"Der","given":"Geoff","non-dropping-particle":"","parse-names":false,"suffix":""},{"dropping-particle":"","family":"Gale","given":"Catharine R.","non-dropping-particle":"","parse-names":false,"suffix":""},{"dropping-particle":"","family":"Inskip","given":"Hazel M.","non-dropping-particle":"","parse-names":false,"suffix":""},{"dropping-particle":"","family":"Jagger","given":"Carol","non-dropping-particle":"","parse-names":false,"suffix":""},{"dropping-particle":"","family":"Kirkwood","given":"Thomas B.","non-dropping-particle":"","parse-names":false,"suffix":""},{"dropping-particle":"","family":"Lawlor","given":"Debbie A.","non-dropping-particle":"","parse-names":false,"suffix":""},{"dropping-particle":"","family":"Robinson","given":"Sian M.","non-dropping-particle":"","parse-names":false,"suffix":""},{"dropping-particle":"","family":"Starr","given":"John M.","non-dropping-particle":"","parse-names":false,"suffix":""},{"dropping-particle":"","family":"Steptoe","given":"Andrew","non-dropping-particle":"","parse-names":false,"suffix":""},{"dropping-particle":"","family":"Tilling","given":"Kate","non-dropping-particle":"","parse-names":false,"suffix":""},{"dropping-particle":"","family":"Kuh","given":"Diana","non-dropping-particle":"","parse-names":false,"suffix":""},{"dropping-particle":"","family":"Cooper","given":"Cyrus","non-dropping-particle":"","parse-names":false,"suffix":""},{"dropping-particle":"","family":"Sayer","given":"Avan Aihie","non-dropping-particle":"","parse-names":false,"suffix":""}],"container-title":"PLOS ONE","id":"ITEM-1","issue":"12","issued":{"date-parts":[["2014","12","4"]]},"page":"e113637","publisher":"Public Library of Science","title":"Grip Strength across the Life Course: Normative Data from Twelve British Studies","type":"article-journal","volume":"9"},"uris":["http://www.mendeley.com/documents/?uuid=8536e5ce-96eb-3d3b-8636-d33958932bc1"]}],"mendeley":{"formattedCitation":"(71)","plainTextFormattedCitation":"(71)","previouslyFormattedCitation":"(71)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(71)</w:t>
      </w:r>
      <w:r w:rsidRPr="00F56683">
        <w:rPr>
          <w:rFonts w:cstheme="minorHAnsi"/>
          <w:color w:val="000000" w:themeColor="text1"/>
        </w:rPr>
        <w:fldChar w:fldCharType="end"/>
      </w:r>
      <w:r w:rsidRPr="00F56683">
        <w:rPr>
          <w:rFonts w:cstheme="minorHAnsi"/>
          <w:color w:val="000000" w:themeColor="text1"/>
        </w:rPr>
        <w:t xml:space="preserve"> </w:t>
      </w:r>
      <w:r w:rsidR="00C33907" w:rsidRPr="00F56683">
        <w:rPr>
          <w:rFonts w:cstheme="minorHAnsi"/>
          <w:color w:val="000000" w:themeColor="text1"/>
        </w:rPr>
        <w:t>analysed</w:t>
      </w:r>
      <w:r w:rsidRPr="00F56683">
        <w:rPr>
          <w:rFonts w:cstheme="minorHAnsi"/>
          <w:color w:val="000000" w:themeColor="text1"/>
        </w:rPr>
        <w:t xml:space="preserve"> grip strength measurements</w:t>
      </w:r>
      <w:r w:rsidR="00C33907" w:rsidRPr="00F56683">
        <w:rPr>
          <w:rFonts w:cstheme="minorHAnsi"/>
          <w:color w:val="000000" w:themeColor="text1"/>
        </w:rPr>
        <w:t xml:space="preserve"> from twelve separate studies </w:t>
      </w:r>
      <w:r w:rsidR="00E8120B" w:rsidRPr="00F56683">
        <w:rPr>
          <w:rFonts w:cstheme="minorHAnsi"/>
          <w:color w:val="000000" w:themeColor="text1"/>
        </w:rPr>
        <w:t>(</w:t>
      </w:r>
      <w:r w:rsidR="00C33907" w:rsidRPr="00F56683">
        <w:rPr>
          <w:rFonts w:cstheme="minorHAnsi"/>
          <w:color w:val="000000" w:themeColor="text1"/>
        </w:rPr>
        <w:t>49,964 participants aged 4-90 years.</w:t>
      </w:r>
      <w:r w:rsidR="00E8120B" w:rsidRPr="00F56683">
        <w:rPr>
          <w:rFonts w:cstheme="minorHAnsi"/>
          <w:color w:val="000000" w:themeColor="text1"/>
        </w:rPr>
        <w:t>)</w:t>
      </w:r>
      <w:r w:rsidRPr="00F56683">
        <w:rPr>
          <w:rFonts w:cstheme="minorHAnsi"/>
          <w:color w:val="000000" w:themeColor="text1"/>
        </w:rPr>
        <w:t xml:space="preserve"> They concluded that there were three key periods for muscle strength. Grip strength appeared to peak in early adulthood (between ages 29-39 and 26-42 for males and females, respectively), it is maintained throughout midlife before </w:t>
      </w:r>
      <w:r w:rsidRPr="00F56683">
        <w:rPr>
          <w:rFonts w:cstheme="minorHAnsi"/>
          <w:color w:val="000000" w:themeColor="text1"/>
        </w:rPr>
        <w:lastRenderedPageBreak/>
        <w:t>declin</w:t>
      </w:r>
      <w:r w:rsidR="00E8120B" w:rsidRPr="00F56683">
        <w:rPr>
          <w:rFonts w:cstheme="minorHAnsi"/>
          <w:color w:val="000000" w:themeColor="text1"/>
        </w:rPr>
        <w:t>ing</w:t>
      </w:r>
      <w:r w:rsidRPr="00F56683">
        <w:rPr>
          <w:rFonts w:cstheme="minorHAnsi"/>
          <w:color w:val="000000" w:themeColor="text1"/>
        </w:rPr>
        <w:t xml:space="preserve"> from the fifth decade of life. Weak grip strength </w:t>
      </w:r>
      <w:r w:rsidR="00D07A32" w:rsidRPr="00F56683">
        <w:rPr>
          <w:rFonts w:cstheme="minorHAnsi"/>
          <w:color w:val="000000" w:themeColor="text1"/>
        </w:rPr>
        <w:t>(defined as a minimum of 2.</w:t>
      </w:r>
      <w:r w:rsidR="006A32AB" w:rsidRPr="00F56683">
        <w:rPr>
          <w:rFonts w:cstheme="minorHAnsi"/>
          <w:color w:val="000000" w:themeColor="text1"/>
        </w:rPr>
        <w:t>5</w:t>
      </w:r>
      <w:r w:rsidR="00D07A32" w:rsidRPr="00F56683">
        <w:rPr>
          <w:rFonts w:cstheme="minorHAnsi"/>
          <w:color w:val="000000" w:themeColor="text1"/>
        </w:rPr>
        <w:t xml:space="preserve"> </w:t>
      </w:r>
      <w:r w:rsidR="00D07A32" w:rsidRPr="00F56683">
        <w:rPr>
          <w:rFonts w:cstheme="minorHAnsi"/>
          <w:color w:val="000000" w:themeColor="text1"/>
          <w:shd w:val="clear" w:color="auto" w:fill="FFFFFF"/>
        </w:rPr>
        <w:t>SDs below the gender-specific peak mean)</w:t>
      </w:r>
      <w:r w:rsidR="00D07A32" w:rsidRPr="00F56683">
        <w:rPr>
          <w:rFonts w:cstheme="minorHAnsi"/>
          <w:color w:val="000000" w:themeColor="text1"/>
        </w:rPr>
        <w:t xml:space="preserve"> </w:t>
      </w:r>
      <w:r w:rsidRPr="00F56683">
        <w:rPr>
          <w:rFonts w:cstheme="minorHAnsi"/>
          <w:color w:val="000000" w:themeColor="text1"/>
        </w:rPr>
        <w:t>was displayed by</w:t>
      </w:r>
      <w:r w:rsidRPr="00F56683">
        <w:rPr>
          <w:rFonts w:cstheme="minorHAnsi"/>
          <w:color w:val="000000" w:themeColor="text1"/>
          <w:shd w:val="clear" w:color="auto" w:fill="FFFFFF"/>
        </w:rPr>
        <w:t xml:space="preserve"> 23% of males and 27% </w:t>
      </w:r>
      <w:r w:rsidR="00AF551E" w:rsidRPr="00F56683">
        <w:rPr>
          <w:rFonts w:cstheme="minorHAnsi"/>
          <w:color w:val="000000" w:themeColor="text1"/>
          <w:shd w:val="clear" w:color="auto" w:fill="FFFFFF"/>
        </w:rPr>
        <w:t>of</w:t>
      </w:r>
      <w:r w:rsidRPr="00F56683">
        <w:rPr>
          <w:rFonts w:cstheme="minorHAnsi"/>
          <w:color w:val="000000" w:themeColor="text1"/>
          <w:shd w:val="clear" w:color="auto" w:fill="FFFFFF"/>
        </w:rPr>
        <w:t xml:space="preserve"> females by age 80. Grip strength may not be the most valid read</w:t>
      </w:r>
      <w:r w:rsidR="006A32AB" w:rsidRPr="00F56683">
        <w:rPr>
          <w:rFonts w:cstheme="minorHAnsi"/>
          <w:color w:val="000000" w:themeColor="text1"/>
          <w:shd w:val="clear" w:color="auto" w:fill="FFFFFF"/>
        </w:rPr>
        <w:t>out</w:t>
      </w:r>
      <w:r w:rsidRPr="00F56683">
        <w:rPr>
          <w:rFonts w:cstheme="minorHAnsi"/>
          <w:color w:val="000000" w:themeColor="text1"/>
          <w:shd w:val="clear" w:color="auto" w:fill="FFFFFF"/>
        </w:rPr>
        <w:t xml:space="preserve"> for lower body strength. However, </w:t>
      </w:r>
      <w:r w:rsidRPr="00F56683">
        <w:rPr>
          <w:rFonts w:cstheme="minorHAnsi"/>
          <w:color w:val="000000" w:themeColor="text1"/>
        </w:rPr>
        <w:t>this finding has been supported by Lindle et al</w:t>
      </w:r>
      <w:r w:rsidR="003E5B8F">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{"citationItems":[{"id":"ITEM-1","itemData":{"DOI":"10.1152/JAPPL.1997.83.5.1581","ISSN":"8750-7587","PMID":"9375323","abstract":"To assess age and gender differences in muscle strength, isometric, concentric (Con), and eccentric (Ecc) peak torque was measured in the knee extensors at a slow (0.52 rad/s) and fast (3.14 rad/s) velocity in 654 subjects (346 men and 308 women, aged 20-93 yr)from the Baltimore Longitudinal Study of Aging. Regression analysis revealed significant (P &lt; 0.001) age-related reductions in Con and Ecc peak torque for men and women at both velocities, but no differences were observed between the gender groups or velocities. Age explained losses in Con better than Ecc peak torque, accounting for 30% (Con) vs. 19% (Ecc) of the variance in men and 28% (Con) os. 11% (Ecc) in women. To assess age and gender differences in the ability to store and utilize elastic energy, the stretch-shortening cycle was determined in a subset of subjects (n = 47). The older women (mean age = 70 yr) showed a significantly greater enhancement in the stretch-shortening cycle; compared with men of similar age (P &lt; 0.01) and compared with younger men and women (each p &lt; 0.05). Both men and women showed significant declines in muscle quality for Con peak torque (P &lt; 0.01), but no gender differences were observed. Only the men showed a significant decline in muscle quality (P &lt; 0.001) for Ecc peak torque. Thus both men and women experience age-related losses in isometric, Con, and Ecc knee extensor peak torque; however, age accounted for less of the variance in Ecc peak torque in women, and women tend to better preserve muscle quality with age for Ecc peak torque. In addition, older women have an enhanced capacity to store and utilize elastic energy compared with similarly aged men as well as with younger women and men.","author":[{"dropping-particle":"","family":"Lindle","given":"R. S.","non-dropping-particle":"","parse-names":false,"suffix":""},{"dropping-particle":"","family":"Metter","given":"E. J.","non-dropping-particle":"","parse-names":false,"suffix":""},{"dropping-particle":"","family":"Lynch","given":"N. A.","non-dropping-particle":"","parse-names":false,"suffix":""},{"dropping-particle":"","family":"Fleg","given":"J. L.","non-dropping-particle":"","parse-names":false,"suffix":""},{"dropping-particle":"","family":"Fozard","given":"J. L.","non-dropping-particle":"","parse-names":false,"suffix":""},{"dropping-particle":"","family":"Tobin","given":"J.","non-dropping-particle":"","parse-names":false,"suffix":""},{"dropping-particle":"","family":"Roy","given":"T. A.","non-dropping-particle":"","parse-names":false,"suffix":""},{"dropping-particle":"","family":"Hurley","given":"B. F.","non-dropping-particle":"","parse-names":false,"suffix":""}],"container-title":"Journal of applied physiology (Bethesda, Md. : 1985)","id":"ITEM-1","issue":"5","issued":{"date-parts":[["1997"]]},"page":"1581-1587","publisher":"J Appl Physiol (1985)","title":"Age and gender comparisons of muscle strength in 654 women and men aged 20-93 yr","type":"article-journal","volume":"83"},"uris":["http://www.mendeley.com/documents/?uuid=32e19157-883f-3488-83e8-79aa475b350f"]}],"mendeley":{"formattedCitation":"(72)","plainTextFormattedCitation":"(72)","previouslyFormattedCitation":"(72)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(72)</w:t>
      </w:r>
      <w:r w:rsidRPr="00F56683">
        <w:rPr>
          <w:rFonts w:cstheme="minorHAnsi"/>
          <w:color w:val="000000" w:themeColor="text1"/>
        </w:rPr>
        <w:fldChar w:fldCharType="end"/>
      </w:r>
      <w:r w:rsidRPr="00F56683">
        <w:rPr>
          <w:rFonts w:cstheme="minorHAnsi"/>
          <w:color w:val="000000" w:themeColor="text1"/>
        </w:rPr>
        <w:t xml:space="preserve"> who obtained measurements of muscle strength, in addition to isometric and concentric peak torque, using knee extensor exercise. In their research 654 adults aged between 20-93 years were studied. They found both men and women experienced significant age-related declines in all of the variables tested</w:t>
      </w:r>
      <w:r w:rsidR="006A32AB" w:rsidRPr="00F56683">
        <w:rPr>
          <w:rFonts w:cstheme="minorHAnsi"/>
          <w:color w:val="000000" w:themeColor="text1"/>
        </w:rPr>
        <w:t xml:space="preserve"> (p&lt;0.001)</w:t>
      </w:r>
      <w:r w:rsidRPr="00F56683">
        <w:rPr>
          <w:rFonts w:cstheme="minorHAnsi"/>
          <w:color w:val="000000" w:themeColor="text1"/>
        </w:rPr>
        <w:t>. In particular, age-associated concentric strength losses began in the 40s. Overall, age accounted for 30% of the variance for concentric and 19% for eccentric peak torque</w:t>
      </w:r>
      <w:r w:rsidR="006A32AB" w:rsidRPr="00F56683">
        <w:rPr>
          <w:rFonts w:cstheme="minorHAnsi"/>
          <w:color w:val="000000" w:themeColor="text1"/>
        </w:rPr>
        <w:t>. I</w:t>
      </w:r>
      <w:r w:rsidRPr="00F56683">
        <w:rPr>
          <w:rFonts w:cstheme="minorHAnsi"/>
          <w:color w:val="000000" w:themeColor="text1"/>
        </w:rPr>
        <w:t xml:space="preserve">sometric and concentric strength declines </w:t>
      </w:r>
      <w:r w:rsidR="006A32AB" w:rsidRPr="00F56683">
        <w:rPr>
          <w:rFonts w:cstheme="minorHAnsi"/>
          <w:color w:val="000000" w:themeColor="text1"/>
        </w:rPr>
        <w:t xml:space="preserve">started from the fourth decade of life and </w:t>
      </w:r>
      <w:r w:rsidRPr="00F56683">
        <w:rPr>
          <w:rFonts w:cstheme="minorHAnsi"/>
          <w:color w:val="000000" w:themeColor="text1"/>
        </w:rPr>
        <w:t>occurring at a rate of 8–10%</w:t>
      </w:r>
      <w:r w:rsidR="006A32AB" w:rsidRPr="00F56683">
        <w:rPr>
          <w:rFonts w:cstheme="minorHAnsi"/>
          <w:color w:val="000000" w:themeColor="text1"/>
        </w:rPr>
        <w:t>,</w:t>
      </w:r>
      <w:r w:rsidRPr="00F56683">
        <w:rPr>
          <w:rFonts w:cstheme="minorHAnsi"/>
          <w:color w:val="000000" w:themeColor="text1"/>
        </w:rPr>
        <w:t xml:space="preserve"> per decade</w:t>
      </w:r>
      <w:r w:rsidR="006A32AB" w:rsidRPr="00F56683">
        <w:rPr>
          <w:rFonts w:cstheme="minorHAnsi"/>
          <w:color w:val="000000" w:themeColor="text1"/>
        </w:rPr>
        <w:t>,</w:t>
      </w:r>
      <w:r w:rsidRPr="00F56683">
        <w:rPr>
          <w:rFonts w:cstheme="minorHAnsi"/>
          <w:color w:val="000000" w:themeColor="text1"/>
        </w:rPr>
        <w:t xml:space="preserve"> </w:t>
      </w:r>
      <w:r w:rsidR="006A32AB" w:rsidRPr="00F56683">
        <w:rPr>
          <w:rFonts w:cstheme="minorHAnsi"/>
          <w:color w:val="000000" w:themeColor="text1"/>
        </w:rPr>
        <w:t>for</w:t>
      </w:r>
      <w:r w:rsidRPr="00F56683">
        <w:rPr>
          <w:rFonts w:cstheme="minorHAnsi"/>
          <w:color w:val="000000" w:themeColor="text1"/>
        </w:rPr>
        <w:t xml:space="preserve"> both men and women. Ensuring muscle strength translates to function outcomes is also of relevance for clinical outcomes, particularly </w:t>
      </w:r>
      <w:r w:rsidR="00AF551E" w:rsidRPr="00F56683">
        <w:rPr>
          <w:rFonts w:cstheme="minorHAnsi"/>
          <w:color w:val="000000" w:themeColor="text1"/>
        </w:rPr>
        <w:t xml:space="preserve">the </w:t>
      </w:r>
      <w:r w:rsidRPr="00F56683">
        <w:rPr>
          <w:rFonts w:cstheme="minorHAnsi"/>
          <w:color w:val="000000" w:themeColor="text1"/>
        </w:rPr>
        <w:t>prevention of hospital visits as a result of falls and fractures.</w:t>
      </w:r>
    </w:p>
    <w:p w14:paraId="5F83D7B0" w14:textId="77777777" w:rsidR="004F4AF8" w:rsidRPr="00F56683" w:rsidRDefault="004F4AF8" w:rsidP="00F42CB9">
      <w:pPr>
        <w:spacing w:line="360" w:lineRule="auto"/>
        <w:rPr>
          <w:rFonts w:cstheme="minorHAnsi"/>
          <w:color w:val="000000" w:themeColor="text1"/>
        </w:rPr>
      </w:pPr>
    </w:p>
    <w:p w14:paraId="5FF65586" w14:textId="4FC2B5BE" w:rsidR="004F4AF8" w:rsidRPr="00F56683" w:rsidRDefault="004F4AF8" w:rsidP="00F42CB9">
      <w:pPr>
        <w:spacing w:line="360" w:lineRule="auto"/>
        <w:rPr>
          <w:rFonts w:cstheme="minorHAnsi"/>
          <w:color w:val="000000" w:themeColor="text1"/>
        </w:rPr>
      </w:pPr>
      <w:r w:rsidRPr="00F56683">
        <w:rPr>
          <w:rFonts w:cstheme="minorHAnsi"/>
          <w:color w:val="000000" w:themeColor="text1"/>
        </w:rPr>
        <w:t>In terms of function, Cooper et al</w:t>
      </w:r>
      <w:r w:rsidR="006A32AB"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{"citationItems":[{"id":"ITEM-1","itemData":{"DOI":"10.1136/BMJ.C4467","ISSN":"0959-8138","PMID":"20829298","abstract":"Objective To do a quantitative systematic review, including published and unpublished data, examining the associations between individual objective measures of physical capability (grip strength, walking speed, chair rising, and standing balance times) and mortality in community dwelling populations.\n\nDesign Systematic review and meta-analysis.\n\nData sources Relevant studies published by May 2009 identified through literature searches using Embase (from 1980) and Medline (from 1950) and manual searching of reference lists; unpublished results were obtained from study investigators.\n\nStudy selection Eligible observational studies were those done in community dwelling people of any age that examined the association of at least one of the specified measures of physical capability (grip strength, walking speed, chair rises, or standing balance) with mortality.\n\nData synthesis Effect estimates obtained were pooled by using random effects meta-analysis models with heterogeneity between studies investigated.\n\nResults Although heterogeneity was detected, consistent evidence was found of associations between all four measures of physical capability and mortality; those people who performed less well in these tests were found to be at higher risk of all cause mortality. For example, the summary hazard ratio for mortality comparing the weakest with the strongest quarter of grip strength (14 studies, 53 476 participants) was 1.67 (95% confidence interval 1.45 to 1.93) after adjustment for age, sex, and body size (I2=84.0%, 95% confidence interval 74% to 90%; P from Q statistic &lt;0.001). The summary hazard ratio for mortality comparing the slowest with the fastest quarter of walking speed (five studies, 14 692 participants) was 2.87 (2.22 to 3.72) (I2=25.2%, 0% to 70%; P=0.25) after similar adjustments. Whereas studies of the associations of walking speed, chair rising, and standing balance with mortality have only been done in older populations (average age over 70 years), the association of grip strength with mortality was also found in younger populations (five studies had an average age under 60 years).\n\nConclusions Objective measures of physical capability are predictors of all cause mortality in older community dwelling populations. Such measures may therefore provide useful tools for identifying older people at higher risk of death.","author":[{"dropping-particle":"","family":"Cooper","given":"Rachel","non-dropping-particle":"","parse-names":false,"suffix":""},{"dropping-particle":"","family":"Kuh","given":"Diana","non-dropping-particle":"","parse-names":false,"suffix":""},{"dropping-particle":"","family":"Hardy","given":"Rebecca","non-dropping-particle":"","parse-names":false,"suffix":""}],"container-title":"BMJ","id":"ITEM-1","issue":"7774","issued":{"date-parts":[["2010","9","9"]]},"page":"639","publisher":"British Medical Journal Publishing Group","title":"Objectively measured physical capability levels and mortality: systematic review and meta-analysis","type":"article-journal","volume":"341"},"uris":["http://www.mendeley.com/documents/?uuid=02197e54-07a3-3da2-b965-c481bd19072c"]}],"mendeley":{"formattedCitation":"(73)","plainTextFormattedCitation":"(73)","previouslyFormattedCitation":"(73)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(73)</w:t>
      </w:r>
      <w:r w:rsidRPr="00F56683">
        <w:rPr>
          <w:rFonts w:cstheme="minorHAnsi"/>
          <w:color w:val="000000" w:themeColor="text1"/>
        </w:rPr>
        <w:fldChar w:fldCharType="end"/>
      </w:r>
      <w:r w:rsidRPr="00F56683">
        <w:rPr>
          <w:rFonts w:cstheme="minorHAnsi"/>
          <w:color w:val="000000" w:themeColor="text1"/>
        </w:rPr>
        <w:t xml:space="preserve"> used cohorts </w:t>
      </w:r>
      <w:r w:rsidR="00CD3F1C" w:rsidRPr="00F56683">
        <w:rPr>
          <w:rFonts w:cstheme="minorHAnsi"/>
          <w:color w:val="000000" w:themeColor="text1"/>
        </w:rPr>
        <w:t>aged</w:t>
      </w:r>
      <w:r w:rsidRPr="00F56683">
        <w:rPr>
          <w:rFonts w:cstheme="minorHAnsi"/>
          <w:color w:val="000000" w:themeColor="text1"/>
        </w:rPr>
        <w:t xml:space="preserve"> 50 years+, </w:t>
      </w:r>
      <w:r w:rsidRPr="00F56683">
        <w:rPr>
          <w:rFonts w:cstheme="minorHAnsi"/>
          <w:color w:val="000000" w:themeColor="text1"/>
          <w:shd w:val="clear" w:color="auto" w:fill="FFFFFF"/>
        </w:rPr>
        <w:t>participating in the Healthy Ageing across the Life Course (HALCyon) research programme. Measures of physical capabilities included chair rising ability, walking speed, timed up and go, and standing balance performance. Clear differences could be discerned between the younger and the older individual</w:t>
      </w:r>
      <w:r w:rsidR="006A32AB" w:rsidRPr="00F56683">
        <w:rPr>
          <w:rFonts w:cstheme="minorHAnsi"/>
          <w:color w:val="000000" w:themeColor="text1"/>
          <w:shd w:val="clear" w:color="auto" w:fill="FFFFFF"/>
        </w:rPr>
        <w:t>s and</w:t>
      </w:r>
      <w:r w:rsidRPr="00F56683">
        <w:rPr>
          <w:rFonts w:cstheme="minorHAnsi"/>
          <w:color w:val="000000" w:themeColor="text1"/>
          <w:shd w:val="clear" w:color="auto" w:fill="FFFFFF"/>
        </w:rPr>
        <w:t xml:space="preserve"> trend</w:t>
      </w:r>
      <w:r w:rsidR="00CD3F1C" w:rsidRPr="00F56683">
        <w:rPr>
          <w:rFonts w:cstheme="minorHAnsi"/>
          <w:color w:val="000000" w:themeColor="text1"/>
          <w:shd w:val="clear" w:color="auto" w:fill="FFFFFF"/>
        </w:rPr>
        <w:t>s</w:t>
      </w:r>
      <w:r w:rsidRPr="00F56683">
        <w:rPr>
          <w:rFonts w:cstheme="minorHAnsi"/>
          <w:color w:val="000000" w:themeColor="text1"/>
          <w:shd w:val="clear" w:color="auto" w:fill="FFFFFF"/>
        </w:rPr>
        <w:t xml:space="preserve"> </w:t>
      </w:r>
      <w:r w:rsidR="006A32AB" w:rsidRPr="00F56683">
        <w:rPr>
          <w:rFonts w:cstheme="minorHAnsi"/>
          <w:color w:val="000000" w:themeColor="text1"/>
          <w:shd w:val="clear" w:color="auto" w:fill="FFFFFF"/>
        </w:rPr>
        <w:t xml:space="preserve">were found </w:t>
      </w:r>
      <w:r w:rsidRPr="00F56683">
        <w:rPr>
          <w:rFonts w:cstheme="minorHAnsi"/>
          <w:color w:val="000000" w:themeColor="text1"/>
          <w:shd w:val="clear" w:color="auto" w:fill="FFFFFF"/>
        </w:rPr>
        <w:t>across age groups (50-54, 55-59, 60-64, 65-69, 70-75, 75-79, 80-84, 85-89 and 90+</w:t>
      </w:r>
      <w:r w:rsidR="006A32AB" w:rsidRPr="00F56683">
        <w:rPr>
          <w:rFonts w:cstheme="minorHAnsi"/>
          <w:color w:val="000000" w:themeColor="text1"/>
          <w:shd w:val="clear" w:color="auto" w:fill="FFFFFF"/>
        </w:rPr>
        <w:t>, (p&gt;0.01).</w:t>
      </w:r>
      <w:r w:rsidRPr="00F56683">
        <w:rPr>
          <w:rFonts w:cstheme="minorHAnsi"/>
          <w:color w:val="000000" w:themeColor="text1"/>
          <w:shd w:val="clear" w:color="auto" w:fill="FFFFFF"/>
        </w:rPr>
        <w:t>)</w:t>
      </w:r>
    </w:p>
    <w:p w14:paraId="083BE6AD" w14:textId="77777777" w:rsidR="004F4AF8" w:rsidRPr="00F56683" w:rsidRDefault="004F4AF8" w:rsidP="00F42CB9">
      <w:pPr>
        <w:spacing w:line="360" w:lineRule="auto"/>
        <w:rPr>
          <w:rFonts w:cstheme="minorHAnsi"/>
          <w:color w:val="000000" w:themeColor="text1"/>
        </w:rPr>
      </w:pPr>
    </w:p>
    <w:p w14:paraId="7D0D2B06" w14:textId="0FF3316F"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Histological investigations of muscle fibres have revealed that sarcopenia predominantly </w:t>
      </w:r>
      <w:r w:rsidR="00CD3F1C" w:rsidRPr="00F56683">
        <w:rPr>
          <w:rFonts w:cstheme="minorHAnsi"/>
          <w:color w:val="000000" w:themeColor="text1"/>
        </w:rPr>
        <w:t>a</w:t>
      </w:r>
      <w:r w:rsidRPr="00F56683">
        <w:rPr>
          <w:rFonts w:cstheme="minorHAnsi"/>
          <w:color w:val="000000" w:themeColor="text1"/>
        </w:rPr>
        <w:t xml:space="preserve">ffects type II (fast twitch) fibres, with myofibrils being reduced by up to 50% in size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{"citationItems":[{"id":"ITEM-1","itemData":{"DOI":"10.1007/S10522-008-9131-0","ISSN":"1389-5729","PMID":"18299960","abstract":"Some of the most serious consequences of ageing are its effects on skeletal muscle. The term 'sarcopenia' describes the slow but progressive loss of muscle mass with advancing age and is characterised by a deterioration of muscle quantity and quality leading to a gradual slowing of movement and a decline in strength. The loss of muscle mass and strength is thought to be attributed to the progressive atrophy and loss of individual muscle fibres associated with the loss of motor units, and a concomitant reduction in muscle 'quality' due to the infiltration of fat and other non-contractile material. These age-related changes in skeletal muscle can be largely attributed to the complex interaction of factors affecting neuromuscular transmission, muscle architecture, fibre composition, excitation - contraction coupling, and metabolism. Given the magnitude of the growing public health problems associated with sarcopenia, there is considerable interest in the development and evaluation of therapeutic strategies to attenuate, prevent, or ultimately reverse age-related muscle wasting and weakness. The aim is to review our current understanding of some of the cellular and molecular mechanisms responsible for age-related changes in skeletal muscle. © Springer Science+Business Media B.V. 2008.","author":[{"dropping-particle":"","family":"Ryall","given":"James G.","non-dropping-particle":"","parse-names":false,"suffix":""},{"dropping-particle":"","family":"Schertzer","given":"Jonathan D.","non-dropping-particle":"","parse-names":false,"suffix":""},{"dropping-particle":"","family":"Lynch","given":"Gordon S.","non-dropping-particle":"","parse-names":false,"suffix":""}],"container-title":"Biogerontology","id":"ITEM-1","issue":"4","issued":{"date-parts":[["2008","8"]]},"page":"213-228","publisher":"Biogerontology","title":"Cellular and molecular mechanisms underlying age-related skeletal muscle wasting and weakness","type":"article-journal","volume":"9"},"uris":["http://www.mendeley.com/documents/?uuid=db21c02a-6920-3a8b-a1da-29e2b44373b5"]}],"mendeley":{"formattedCitation":"(74)","plainTextFormattedCitation":"(74)","previouslyFormattedCitation":"(74)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(74)</w:t>
      </w:r>
      <w:r w:rsidRPr="00F56683">
        <w:rPr>
          <w:rFonts w:cstheme="minorHAnsi"/>
          <w:color w:val="000000" w:themeColor="text1"/>
        </w:rPr>
        <w:fldChar w:fldCharType="end"/>
      </w:r>
      <w:r w:rsidRPr="00F56683">
        <w:rPr>
          <w:rFonts w:cstheme="minorHAnsi"/>
          <w:color w:val="000000" w:themeColor="text1"/>
        </w:rPr>
        <w:t>. To understand ageing atrophy, cross-sections of autopsied whole lateralis muscle taken from males age</w:t>
      </w:r>
      <w:r w:rsidR="00CD3F1C" w:rsidRPr="00F56683">
        <w:rPr>
          <w:rFonts w:cstheme="minorHAnsi"/>
          <w:color w:val="000000" w:themeColor="text1"/>
        </w:rPr>
        <w:t>d</w:t>
      </w:r>
      <w:r w:rsidRPr="00F56683">
        <w:rPr>
          <w:rFonts w:cstheme="minorHAnsi"/>
          <w:color w:val="000000" w:themeColor="text1"/>
        </w:rPr>
        <w:t xml:space="preserve"> between 15 and 83 years were obtained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{"citationItems":[{"id":"ITEM-1","itemData":{"DOI":"10.1016/0022-510X(88)90132-3","ISSN":"0022-510X","PMID":"3379447","abstract":"In order to study the effects of increasing age on the human skeletal muscle, cross-sections (15 μm) of autopsied whole vastus lateralis muscle from 43 previously physically healthy men between 15 and 83 years of age were prepared and examined. The data obtained on muscle area, total number, size, proportion and distribution of type 1 (slow-twitch) and type 2 (fast-twitch) fibers were analysed using multivariate regression. The results show that the ageing atrophy of this muscle begins around 25 years of age and thereafter accelerates. This is caused mainly by a loss of fibers, with no predominant effect on any fiber type, and to a lesser extent by a reduction in fiber size, mostly of type 2 fibers. The results also suggest the occurrence of several other age-related adaptive mechanisms which could influence fiber sizes and fiber number, as well as enzyme histochemical fiber characteristics. © 1988.","author":[{"dropping-particle":"","family":"Lexell","given":"Jan","non-dropping-particle":"","parse-names":false,"suffix":""},{"dropping-particle":"","family":"Taylor","given":"Charles C.","non-dropping-particle":"","parse-names":false,"suffix":""},{"dropping-particle":"","family":"Sjöström","given":"Michael","non-dropping-particle":"","parse-names":false,"suffix":""}],"container-title":"Journal of the neurological sciences","id":"ITEM-1","issue":"2-3","issued":{"date-parts":[["1988"]]},"page":"275-294","publisher":"J Neurol Sci","title":"What is the cause of the ageing atrophy? Total number, size and proportion of different fiber types studied in whole vastus lateralis muscle from 15- to 83-year-old men","type":"article-journal","volume":"84"},"uris":["http://www.mendeley.com/documents/?uuid=e6164d4b-b5d6-3bc7-a368-558bee043d13"]}],"mendeley":{"formattedCitation":"(75)","plainTextFormattedCitation":"(75)","previouslyFormattedCitation":"(75)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(75)</w:t>
      </w:r>
      <w:r w:rsidRPr="00F56683">
        <w:rPr>
          <w:rFonts w:cstheme="minorHAnsi"/>
          <w:color w:val="000000" w:themeColor="text1"/>
        </w:rPr>
        <w:fldChar w:fldCharType="end"/>
      </w:r>
      <w:r w:rsidRPr="00F56683">
        <w:rPr>
          <w:rFonts w:cstheme="minorHAnsi"/>
          <w:color w:val="000000" w:themeColor="text1"/>
        </w:rPr>
        <w:t xml:space="preserve">. Investigations revealed atrophy begins as early as 25 years of age, predominantly due to loss of fibres. Declines in fibre numbers of up to 50% were observed when comparisons were made between </w:t>
      </w:r>
      <w:r w:rsidR="00852CE4" w:rsidRPr="00F56683">
        <w:rPr>
          <w:rFonts w:cstheme="minorHAnsi"/>
          <w:color w:val="000000" w:themeColor="text1"/>
        </w:rPr>
        <w:t xml:space="preserve">the </w:t>
      </w:r>
      <w:r w:rsidRPr="00F56683">
        <w:rPr>
          <w:rFonts w:cstheme="minorHAnsi"/>
          <w:color w:val="000000" w:themeColor="text1"/>
        </w:rPr>
        <w:t>young</w:t>
      </w:r>
      <w:r w:rsidR="00852CE4" w:rsidRPr="00F56683">
        <w:rPr>
          <w:rFonts w:cstheme="minorHAnsi"/>
          <w:color w:val="000000" w:themeColor="text1"/>
        </w:rPr>
        <w:t>er age groups</w:t>
      </w:r>
      <w:r w:rsidRPr="00F56683">
        <w:rPr>
          <w:rFonts w:cstheme="minorHAnsi"/>
          <w:color w:val="000000" w:themeColor="text1"/>
        </w:rPr>
        <w:t xml:space="preserve"> </w:t>
      </w:r>
      <w:r w:rsidR="00852CE4" w:rsidRPr="00F56683">
        <w:rPr>
          <w:rFonts w:cstheme="minorHAnsi"/>
          <w:color w:val="000000" w:themeColor="text1"/>
        </w:rPr>
        <w:t xml:space="preserve">(15-56 years) </w:t>
      </w:r>
      <w:r w:rsidRPr="00F56683">
        <w:rPr>
          <w:rFonts w:cstheme="minorHAnsi"/>
          <w:color w:val="000000" w:themeColor="text1"/>
        </w:rPr>
        <w:t>and elderly muscles</w:t>
      </w:r>
      <w:r w:rsidR="00852CE4" w:rsidRPr="00F56683">
        <w:rPr>
          <w:rFonts w:cstheme="minorHAnsi"/>
          <w:color w:val="000000" w:themeColor="text1"/>
        </w:rPr>
        <w:t xml:space="preserve"> (73-83 years)</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{"citationItems":[{"id":"ITEM-1","itemData":{"DOI":"10.1016/0022-510X(88)90132-3","ISSN":"0022-510X","PMID":"3379447","abstract":"In order to study the effects of increasing age on the human skeletal muscle, cross-sections (15 μm) of autopsied whole vastus lateralis muscle from 43 previously physically healthy men between 15 and 83 years of age were prepared and examined. The data obtained on muscle area, total number, size, proportion and distribution of type 1 (slow-twitch) and type 2 (fast-twitch) fibers were analysed using multivariate regression. The results show that the ageing atrophy of this muscle begins around 25 years of age and thereafter accelerates. This is caused mainly by a loss of fibers, with no predominant effect on any fiber type, and to a lesser extent by a reduction in fiber size, mostly of type 2 fibers. The results also suggest the occurrence of several other age-related adaptive mechanisms which could influence fiber sizes and fiber number, as well as enzyme histochemical fiber characteristics. © 1988.","author":[{"dropping-particle":"","family":"Lexell","given":"Jan","non-dropping-particle":"","parse-names":false,"suffix":""},{"dropping-particle":"","family":"Taylor","given":"Charles C.","non-dropping-particle":"","parse-names":false,"suffix":""},{"dropping-particle":"","family":"Sjöström","given":"Michael","non-dropping-particle":"","parse-names":false,"suffix":""}],"container-title":"Journal of the neurological sciences","id":"ITEM-1","issue":"2-3","issued":{"date-parts":[["1988"]]},"page":"275-294","publisher":"J Neurol Sci","title":"What is the cause of the ageing atrophy? Total number, size and proportion of different fiber types studied in whole vastus lateralis muscle from 15- to 83-year-old men","type":"article-journal","volume":"84"},"uris":["http://www.mendeley.com/documents/?uuid=e6164d4b-b5d6-3bc7-a368-558bee043d13"]}],"mendeley":{"formattedCitation":"(75)","plainTextFormattedCitation":"(75)","previouslyFormattedCitation":"(75)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(75)</w:t>
      </w:r>
      <w:r w:rsidRPr="00F56683">
        <w:rPr>
          <w:rFonts w:cstheme="minorHAnsi"/>
          <w:color w:val="000000" w:themeColor="text1"/>
        </w:rPr>
        <w:fldChar w:fldCharType="end"/>
      </w:r>
      <w:r w:rsidRPr="00F56683">
        <w:rPr>
          <w:rFonts w:cstheme="minorHAnsi"/>
          <w:color w:val="000000" w:themeColor="text1"/>
        </w:rPr>
        <w:t xml:space="preserve">. The </w:t>
      </w:r>
      <w:r w:rsidRPr="00F56683">
        <w:rPr>
          <w:rFonts w:cstheme="minorHAnsi"/>
          <w:color w:val="000000" w:themeColor="text1"/>
          <w:shd w:val="clear" w:color="auto" w:fill="FFFFFF"/>
        </w:rPr>
        <w:t xml:space="preserve">net conversion of fast type II muscle fibres into slow type I fibres results in loss of muscle power necessary for activities of daily living such as rising from a chair or climbing steps. </w:t>
      </w:r>
      <w:r w:rsidRPr="00F56683">
        <w:rPr>
          <w:rFonts w:cstheme="minorHAnsi"/>
          <w:color w:val="000000" w:themeColor="text1"/>
        </w:rPr>
        <w:t>An appreciation for fibre loss order is important due to different fibres respond</w:t>
      </w:r>
      <w:r w:rsidR="00CD3F1C" w:rsidRPr="00F56683">
        <w:rPr>
          <w:rFonts w:cstheme="minorHAnsi"/>
          <w:color w:val="000000" w:themeColor="text1"/>
        </w:rPr>
        <w:t>ing</w:t>
      </w:r>
      <w:r w:rsidRPr="00F56683">
        <w:rPr>
          <w:rFonts w:cstheme="minorHAnsi"/>
          <w:color w:val="000000" w:themeColor="text1"/>
        </w:rPr>
        <w:t xml:space="preserve"> to differ</w:t>
      </w:r>
      <w:r w:rsidR="00CD3F1C" w:rsidRPr="00F56683">
        <w:rPr>
          <w:rFonts w:cstheme="minorHAnsi"/>
          <w:color w:val="000000" w:themeColor="text1"/>
        </w:rPr>
        <w:t>ent</w:t>
      </w:r>
      <w:r w:rsidRPr="00F56683">
        <w:rPr>
          <w:rFonts w:cstheme="minorHAnsi"/>
          <w:color w:val="000000" w:themeColor="text1"/>
        </w:rPr>
        <w:t xml:space="preserve"> stimuli and physical activity patterns.</w:t>
      </w:r>
    </w:p>
    <w:p w14:paraId="7D387D83" w14:textId="77777777" w:rsidR="004F4AF8" w:rsidRPr="00F56683" w:rsidRDefault="004F4AF8" w:rsidP="00F42CB9">
      <w:pPr>
        <w:spacing w:line="360" w:lineRule="auto"/>
        <w:rPr>
          <w:rFonts w:cstheme="minorHAnsi"/>
          <w:color w:val="000000" w:themeColor="text1"/>
        </w:rPr>
      </w:pPr>
    </w:p>
    <w:p w14:paraId="7B340000" w14:textId="0A23E44B" w:rsidR="004F4AF8" w:rsidRPr="00F56683" w:rsidRDefault="004F4AF8" w:rsidP="00F42CB9">
      <w:pPr>
        <w:spacing w:line="360" w:lineRule="auto"/>
        <w:rPr>
          <w:rFonts w:cstheme="minorHAnsi"/>
          <w:color w:val="000000" w:themeColor="text1"/>
          <w:shd w:val="clear" w:color="auto" w:fill="FFFFFF"/>
        </w:rPr>
      </w:pPr>
      <w:r w:rsidRPr="00F56683">
        <w:rPr>
          <w:rFonts w:cstheme="minorHAnsi"/>
          <w:color w:val="000000" w:themeColor="text1"/>
        </w:rPr>
        <w:t xml:space="preserve">Lastly, it has been seen that motor units are lost across the lifespan. </w:t>
      </w:r>
      <w:r w:rsidRPr="00F56683">
        <w:rPr>
          <w:rFonts w:cstheme="minorHAnsi"/>
          <w:color w:val="000000" w:themeColor="text1"/>
          <w:shd w:val="clear" w:color="auto" w:fill="FFFFFF"/>
        </w:rPr>
        <w:t xml:space="preserve">A motor unit comprises an individual motor neuron (nerve cell) and all of the muscle fibres that it innervates. </w:t>
      </w:r>
      <w:r w:rsidRPr="00F56683">
        <w:rPr>
          <w:rFonts w:cstheme="minorHAnsi"/>
          <w:color w:val="000000" w:themeColor="text1"/>
        </w:rPr>
        <w:t>Loss of motor units has knock</w:t>
      </w:r>
      <w:r w:rsidR="00D24AB6" w:rsidRPr="00F56683">
        <w:rPr>
          <w:rFonts w:cstheme="minorHAnsi"/>
          <w:color w:val="000000" w:themeColor="text1"/>
        </w:rPr>
        <w:t>-</w:t>
      </w:r>
      <w:r w:rsidRPr="00F56683">
        <w:rPr>
          <w:rFonts w:cstheme="minorHAnsi"/>
          <w:color w:val="000000" w:themeColor="text1"/>
        </w:rPr>
        <w:t>on impact</w:t>
      </w:r>
      <w:r w:rsidR="00B130AE">
        <w:rPr>
          <w:rFonts w:cstheme="minorHAnsi"/>
          <w:color w:val="000000" w:themeColor="text1"/>
        </w:rPr>
        <w:t>s</w:t>
      </w:r>
      <w:r w:rsidRPr="00F56683">
        <w:rPr>
          <w:rFonts w:cstheme="minorHAnsi"/>
          <w:color w:val="000000" w:themeColor="text1"/>
        </w:rPr>
        <w:t xml:space="preserve"> </w:t>
      </w:r>
      <w:r w:rsidR="00D24AB6" w:rsidRPr="00F56683">
        <w:rPr>
          <w:rFonts w:cstheme="minorHAnsi"/>
          <w:color w:val="000000" w:themeColor="text1"/>
        </w:rPr>
        <w:t>as</w:t>
      </w:r>
      <w:r w:rsidRPr="00F56683">
        <w:rPr>
          <w:rFonts w:cstheme="minorHAnsi"/>
          <w:color w:val="000000" w:themeColor="text1"/>
        </w:rPr>
        <w:t xml:space="preserve"> denervated nerves recruited by surviving motor units are then exposed to an increased burden of work, and thus, slows down their function</w:t>
      </w:r>
      <w:r w:rsidRPr="00F56683">
        <w:rPr>
          <w:rFonts w:cstheme="minorHAnsi"/>
          <w:color w:val="000000" w:themeColor="text1"/>
          <w:shd w:val="clear" w:color="auto" w:fill="FFFFFF"/>
        </w:rPr>
        <w:t xml:space="preserve">  It was demonstrated that the maximal velocity during cycle ergometry (a readout for motor unit innervation) decreased by 18% from the third age decade (20–29 years) to the sixth (50–59 years). Another 20% were lost between the seventh (60–69 years) and the ninth age decade (80–89 years)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{"citationItems":[{"id":"ITEM-1","itemData":{"DOI":"10.1007/S00421-005-1390-8","ISSN":"1439-6319","PMID":"16032419","abstract":"The ability to develop adequate quadriceps muscle power may be highly predictive of subsequent disability among older persons. Rate as well as quantitative (sarcopenia) and qualitative (among other slowing of muscles) contributors to that age-related power decline are poorly known. The relationship of quadriceps maximal short-term power (Pmax) and corresponding optimal shortening velocity (υopt) with age was assessed in 335 healthy men aged 23-88 years. The Pmax and υopt were measured on a friction loaded non-isokinetic cycle ergometer. Anthropometric dimensions were used to estimate lean thigh volume (LTVest) and quadriceps mass. The decline in Pmax across the adult life span (10.7% per decade) was greater than the usually reported decrease in maximal muscle strength. Power decreased already after the fourth decade. Both muscle mass (4.1% decline for LTVest or 3.4% for quadriceps mass per decade) and υopt (6.6% decline per decade) contributed to the decrease in power. Age contributed to the variability in Pmax independently to the LTVest/quadriceps mass and υopt. The age-related decrease pattern of Pmax reflects both stabilization (or even increase) of anthropometric measures (LTVest or quadriceps mass) from youth to middleage and systematic decline of υopt already from the thirties. This implicates more focus on velocity-orientated training as a means of enhancing leg power and improving functional status. © Springer-Verlag 2005.","author":[{"dropping-particle":"","family":"Kostka","given":"Tomasz","non-dropping-particle":"","parse-names":false,"suffix":""}],"container-title":"European journal of applied physiology","id":"ITEM-1","issue":"2-3","issued":{"date-parts":[["2005","10"]]},"page":"140-145","publisher":"Eur J Appl Physiol","title":"Quadriceps maximal power and optimal shortening velocity in 335 men aged 23-88 years","type":"article-journal","volume":"95"},"uris":["http://www.mendeley.com/documents/?uuid=61e3a650-4815-38fd-8bd0-e9af6b5b35b2"]}],"mendeley":{"formattedCitation":"(76)","plainTextFormattedCitation":"(76)","previouslyFormattedCitation":"(76)"},"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(76)</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w:t>
      </w:r>
    </w:p>
    <w:p w14:paraId="14F0F21E" w14:textId="77777777" w:rsidR="004F4AF8" w:rsidRPr="00F56683" w:rsidRDefault="004F4AF8" w:rsidP="00F42CB9">
      <w:pPr>
        <w:spacing w:line="360" w:lineRule="auto"/>
        <w:rPr>
          <w:rFonts w:cstheme="minorHAnsi"/>
          <w:color w:val="000000" w:themeColor="text1"/>
        </w:rPr>
      </w:pPr>
    </w:p>
    <w:p w14:paraId="7A8534F3" w14:textId="0551C04E"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All of this evidence emphasises that despite sarcopenia being deemed a disease associated with ageing, its trajectory commences long before what society </w:t>
      </w:r>
      <w:r w:rsidR="009350BE" w:rsidRPr="00F56683">
        <w:rPr>
          <w:rFonts w:cstheme="minorHAnsi"/>
          <w:color w:val="000000" w:themeColor="text1"/>
        </w:rPr>
        <w:t xml:space="preserve">classes </w:t>
      </w:r>
      <w:r w:rsidRPr="00F56683">
        <w:rPr>
          <w:rFonts w:cstheme="minorHAnsi"/>
          <w:color w:val="000000" w:themeColor="text1"/>
        </w:rPr>
        <w:t xml:space="preserve">as 'old age.' Intervening prior to its diagnosis is likely to have clinical significance for </w:t>
      </w:r>
      <w:r w:rsidR="00D62B20" w:rsidRPr="00F56683">
        <w:rPr>
          <w:rFonts w:cstheme="minorHAnsi"/>
          <w:color w:val="000000" w:themeColor="text1"/>
        </w:rPr>
        <w:t xml:space="preserve">preventing </w:t>
      </w:r>
      <w:r w:rsidRPr="00F56683">
        <w:rPr>
          <w:rFonts w:cstheme="minorHAnsi"/>
          <w:color w:val="000000" w:themeColor="text1"/>
        </w:rPr>
        <w:t xml:space="preserve">the outcomes that occur as a consequence of muscle loss rather than waiting for atrophy to get to a detrimental state that may be harder to reverse. This supports the rationale for a protective intervention strategy. </w:t>
      </w:r>
    </w:p>
    <w:p w14:paraId="634D3620" w14:textId="77777777" w:rsidR="004F4AF8" w:rsidRPr="00F56683" w:rsidRDefault="004F4AF8" w:rsidP="00F42CB9">
      <w:pPr>
        <w:spacing w:line="360" w:lineRule="auto"/>
        <w:rPr>
          <w:rFonts w:cstheme="minorHAnsi"/>
          <w:color w:val="000000" w:themeColor="text1"/>
        </w:rPr>
      </w:pPr>
    </w:p>
    <w:p w14:paraId="2422608A" w14:textId="224826C3"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A life course approach involves characterising ageing in a systematic and standardised way. Fundamental to this strategy is the recognition of factors which influence the severity and trajectory of the disease from conception to death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{"citationItems":[{"id":"ITEM-1","itemData":{"DOI":"10.1146/annurev.publhealth.26.021304.144505","abstract":"A life course approach to chronic disease epidemiology uses a multidisciplinary framework to understand the importance of time and timing in associations between exposures and outcomes at the individual and population levels. Such an approach to chronic diseases is enriched by specification of the particular way that time and timing in relation to physical growth, reproduction, infection, social mobility, and behavioral transitions, etc., influence various adult chronic diseases in different ways, and more ambitiously, by how these temporal processes are interconnected and manifested in population-level disease trends. In this review, we discuss some historical background to life course epidemiology and theoretical models of life course processes , and we review some of the empirical evidence linking life course processes to coronary heart disease, hemorrhagic stroke, type II diabetes, breast cancer, and chronic obstructive pulmonary disease. We also underscore that a life course approach offers a way to conceptualize how underlying socio-environmental determinants of health, experienced at different life course stages, can differentially influence the development of chronic diseases, as mediated through proximal specific biological processes.","author":[{"dropping-particle":"","family":"Lynch","given":"John","non-dropping-particle":"","parse-names":false,"suffix":""},{"dropping-particle":"","family":"Smith","given":"George Davey","non-dropping-particle":"","parse-names":false,"suffix":""}],"container-title":"Annu. Rev. Public Health","id":"ITEM-1","issued":{"date-parts":[["2005"]]},"page":"1-35","title":"A LIFE COURSE APPROACH TO CHRONIC DISEASE EPIDEMIOLOGY","type":"article-journal","volume":"26"},"uris":["http://www.mendeley.com/documents/?uuid=cb221d89-90a7-32ed-88cf-f45cfc42a5d4"]}],"mendeley":{"formattedCitation":"(77)","plainTextFormattedCitation":"(77)","previouslyFormattedCitation":"(77)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(77)</w:t>
      </w:r>
      <w:r w:rsidRPr="00F56683">
        <w:rPr>
          <w:rFonts w:cstheme="minorHAnsi"/>
          <w:color w:val="000000" w:themeColor="text1"/>
        </w:rPr>
        <w:fldChar w:fldCharType="end"/>
      </w:r>
      <w:r w:rsidRPr="00F56683">
        <w:rPr>
          <w:rFonts w:cstheme="minorHAnsi"/>
          <w:color w:val="000000" w:themeColor="text1"/>
        </w:rPr>
        <w:t>.</w:t>
      </w:r>
      <w:r w:rsidR="004F2F1A" w:rsidRPr="00F56683">
        <w:rPr>
          <w:rFonts w:cstheme="minorHAnsi"/>
          <w:color w:val="000000" w:themeColor="text1"/>
        </w:rPr>
        <w:t xml:space="preserve"> </w:t>
      </w:r>
      <w:r w:rsidRPr="00F56683">
        <w:rPr>
          <w:rFonts w:cstheme="minorHAnsi"/>
          <w:color w:val="000000" w:themeColor="text1"/>
        </w:rPr>
        <w:t xml:space="preserve">Insights obtained through a life course approach are likely to be fruitful for mitigating the impacts of sarcopenia during older age and supports the rationale of this thesis work. </w:t>
      </w:r>
    </w:p>
    <w:p w14:paraId="7E4C1398" w14:textId="3E960AE3" w:rsidR="004F4AF8" w:rsidRPr="00F56683" w:rsidRDefault="004F4AF8" w:rsidP="00F42CB9">
      <w:pPr>
        <w:pStyle w:val="NormalWeb"/>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Of note, future work in this field, is an ongoing project pioneered by </w:t>
      </w:r>
      <w:r w:rsidRPr="00F56683">
        <w:rPr>
          <w:rFonts w:asciiTheme="minorHAnsi" w:hAnsiTheme="minorHAnsi" w:cstheme="minorHAnsi"/>
          <w:color w:val="000000" w:themeColor="text1"/>
          <w:shd w:val="clear" w:color="auto" w:fill="FFFFFF"/>
        </w:rPr>
        <w:t>Newcastle-upon-Tyne Hospitals NHS Trust</w:t>
      </w:r>
      <w:r w:rsidRPr="00F56683">
        <w:rPr>
          <w:rFonts w:asciiTheme="minorHAnsi" w:hAnsiTheme="minorHAnsi" w:cstheme="minorHAnsi"/>
          <w:color w:val="000000" w:themeColor="text1"/>
        </w:rPr>
        <w:t xml:space="preserve">, which aims to gain an understanding of sarcopenia across a range of ages. The Muscle Ageing Sarcopenia Study (MASS_Lifecourse) has been registered on the clinical trials database in January 2020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{"citationItems":[{"id":"ITEM-1","itemData":{"URL":"https://clinicaltrials.gov/ct2/show/NCT04239495","accessed":{"date-parts":[["2022","11","30"]]},"id":"ITEM-1","issued":{"date-parts":[["0"]]},"title":"Muscle Ageing Sarcopenia Study Lifecourse (MASS Lifecourse) - Full Text View - ClinicalTrials.gov","type":"webpage"},"uris":["http://www.mendeley.com/documents/?uuid=fda2a4d0-4969-34ba-986f-b59d9d4a7a61"]}],"mendeley":{"formattedCitation":"(78)","plainTextFormattedCitation":"(78)","previouslyFormattedCitation":"(78)"},"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(78)</w:t>
      </w:r>
      <w:r w:rsidRPr="00F56683">
        <w:rPr>
          <w:rFonts w:asciiTheme="minorHAnsi" w:hAnsiTheme="minorHAnsi" w:cstheme="minorHAnsi"/>
          <w:color w:val="000000" w:themeColor="text1"/>
        </w:rPr>
        <w:fldChar w:fldCharType="end"/>
      </w:r>
      <w:r w:rsidRPr="00F56683">
        <w:rPr>
          <w:rFonts w:asciiTheme="minorHAnsi" w:hAnsiTheme="minorHAnsi" w:cstheme="minorHAnsi"/>
          <w:color w:val="000000" w:themeColor="text1"/>
        </w:rPr>
        <w:t>. This is particularly relevant to the focus of this thesis as the findings are likely to influence</w:t>
      </w:r>
      <w:r w:rsidR="00C33907" w:rsidRPr="00F56683">
        <w:rPr>
          <w:rFonts w:asciiTheme="minorHAnsi" w:hAnsiTheme="minorHAnsi" w:cstheme="minorHAnsi"/>
          <w:color w:val="000000" w:themeColor="text1"/>
        </w:rPr>
        <w:t xml:space="preserve"> future</w:t>
      </w:r>
      <w:r w:rsidRPr="00F56683">
        <w:rPr>
          <w:rFonts w:asciiTheme="minorHAnsi" w:hAnsiTheme="minorHAnsi" w:cstheme="minorHAnsi"/>
          <w:color w:val="000000" w:themeColor="text1"/>
        </w:rPr>
        <w:t xml:space="preserve"> trial design</w:t>
      </w:r>
      <w:r w:rsidR="00C33907" w:rsidRPr="00F56683">
        <w:rPr>
          <w:rFonts w:asciiTheme="minorHAnsi" w:hAnsiTheme="minorHAnsi" w:cstheme="minorHAnsi"/>
          <w:color w:val="000000" w:themeColor="text1"/>
        </w:rPr>
        <w:t>.</w:t>
      </w:r>
    </w:p>
    <w:p w14:paraId="4798AF05" w14:textId="6D998426" w:rsidR="004F4AF8" w:rsidRPr="00F56683" w:rsidRDefault="004F4AF8" w:rsidP="00F42CB9">
      <w:pPr>
        <w:pStyle w:val="Heading3"/>
        <w:spacing w:line="360" w:lineRule="auto"/>
        <w:rPr>
          <w:rFonts w:asciiTheme="minorHAnsi" w:hAnsiTheme="minorHAnsi" w:cstheme="minorHAnsi"/>
          <w:color w:val="000000" w:themeColor="text1"/>
        </w:rPr>
      </w:pPr>
      <w:bookmarkStart w:id="45" w:name="_Toc135384246"/>
      <w:r w:rsidRPr="00F56683">
        <w:rPr>
          <w:rFonts w:asciiTheme="minorHAnsi" w:hAnsiTheme="minorHAnsi" w:cstheme="minorHAnsi"/>
          <w:color w:val="000000" w:themeColor="text1"/>
        </w:rPr>
        <w:t>1.2.</w:t>
      </w:r>
      <w:r w:rsidR="00C103F9">
        <w:rPr>
          <w:rFonts w:asciiTheme="minorHAnsi" w:hAnsiTheme="minorHAnsi" w:cstheme="minorHAnsi"/>
          <w:color w:val="000000" w:themeColor="text1"/>
        </w:rPr>
        <w:t>10</w:t>
      </w:r>
      <w:r w:rsidRPr="00F56683">
        <w:rPr>
          <w:rFonts w:asciiTheme="minorHAnsi" w:hAnsiTheme="minorHAnsi" w:cstheme="minorHAnsi"/>
          <w:color w:val="000000" w:themeColor="text1"/>
        </w:rPr>
        <w:t xml:space="preserve"> Lifestyle risk factors for sarcopenia:</w:t>
      </w:r>
      <w:bookmarkEnd w:id="45"/>
    </w:p>
    <w:p w14:paraId="477F35F2" w14:textId="0F76E33D"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As reflected by the many factors </w:t>
      </w:r>
      <w:r w:rsidR="00D62B20" w:rsidRPr="00F56683">
        <w:rPr>
          <w:rFonts w:cstheme="minorHAnsi"/>
          <w:color w:val="000000" w:themeColor="text1"/>
        </w:rPr>
        <w:t>contributing</w:t>
      </w:r>
      <w:r w:rsidRPr="00F56683">
        <w:rPr>
          <w:rFonts w:cstheme="minorHAnsi"/>
          <w:color w:val="000000" w:themeColor="text1"/>
        </w:rPr>
        <w:t xml:space="preserve"> to muscle loss, the </w:t>
      </w:r>
      <w:r w:rsidR="00C33907" w:rsidRPr="00F56683">
        <w:rPr>
          <w:rFonts w:cstheme="minorHAnsi"/>
          <w:color w:val="000000" w:themeColor="text1"/>
        </w:rPr>
        <w:t xml:space="preserve">development of </w:t>
      </w:r>
      <w:r w:rsidRPr="00F56683">
        <w:rPr>
          <w:rFonts w:cstheme="minorHAnsi"/>
          <w:color w:val="000000" w:themeColor="text1"/>
        </w:rPr>
        <w:t>sarcopenia</w:t>
      </w:r>
      <w:r w:rsidR="00C33907" w:rsidRPr="00F56683">
        <w:rPr>
          <w:rFonts w:cstheme="minorHAnsi"/>
          <w:color w:val="000000" w:themeColor="text1"/>
        </w:rPr>
        <w:t xml:space="preserve"> is</w:t>
      </w:r>
      <w:r w:rsidRPr="00F56683">
        <w:rPr>
          <w:rFonts w:cstheme="minorHAnsi"/>
          <w:color w:val="000000" w:themeColor="text1"/>
        </w:rPr>
        <w:t xml:space="preserve"> multifactorial. The cellular and molecular changes to ageing of skeletal muscle fibre are </w:t>
      </w:r>
      <w:r w:rsidRPr="00F56683">
        <w:rPr>
          <w:rFonts w:cstheme="minorHAnsi"/>
          <w:color w:val="000000" w:themeColor="text1"/>
        </w:rPr>
        <w:lastRenderedPageBreak/>
        <w:t xml:space="preserve">summarised by </w:t>
      </w:r>
      <w:r w:rsidRPr="00F56683">
        <w:rPr>
          <w:rFonts w:cstheme="minorHAnsi"/>
          <w:color w:val="000000" w:themeColor="text1"/>
        </w:rPr>
        <w:fldChar w:fldCharType="begin"/>
      </w:r>
      <w:r w:rsidRPr="00F56683">
        <w:rPr>
          <w:rFonts w:cstheme="minorHAnsi"/>
          <w:color w:val="000000" w:themeColor="text1"/>
        </w:rPr>
        <w:instrText xml:space="preserve"> REF _Ref120721673 \h  \* MERGEFORMAT </w:instrText>
      </w:r>
      <w:r w:rsidRPr="00F56683">
        <w:rPr>
          <w:rFonts w:cstheme="minorHAnsi"/>
          <w:color w:val="000000" w:themeColor="text1"/>
        </w:rPr>
      </w:r>
      <w:r w:rsidRPr="00F56683">
        <w:rPr>
          <w:rFonts w:cstheme="minorHAnsi"/>
          <w:color w:val="000000" w:themeColor="text1"/>
        </w:rPr>
        <w:fldChar w:fldCharType="separate"/>
      </w:r>
      <w:r w:rsidRPr="00F56683">
        <w:rPr>
          <w:rFonts w:cstheme="minorHAnsi"/>
          <w:color w:val="000000" w:themeColor="text1"/>
        </w:rPr>
        <w:t xml:space="preserve">Figure </w:t>
      </w:r>
      <w:r w:rsidRPr="00F56683">
        <w:rPr>
          <w:rFonts w:cstheme="minorHAnsi"/>
          <w:noProof/>
          <w:color w:val="000000" w:themeColor="text1"/>
        </w:rPr>
        <w:t>5</w:t>
      </w:r>
      <w:r w:rsidRPr="00F56683">
        <w:rPr>
          <w:rFonts w:cstheme="minorHAnsi"/>
          <w:color w:val="000000" w:themeColor="text1"/>
        </w:rPr>
        <w:fldChar w:fldCharType="end"/>
      </w:r>
      <w:r w:rsidRPr="00F56683">
        <w:rPr>
          <w:rFonts w:cstheme="minorHAnsi"/>
          <w:color w:val="000000" w:themeColor="text1"/>
        </w:rPr>
        <w:t>, taken from Milijkovic et al</w:t>
      </w:r>
      <w:r w:rsidR="00D62B20" w:rsidRPr="00F56683">
        <w:rPr>
          <w:rFonts w:cstheme="minorHAnsi"/>
          <w:color w:val="000000" w:themeColor="text1"/>
        </w:rPr>
        <w:t>.</w:t>
      </w:r>
      <w:r w:rsidRPr="00F56683">
        <w:rPr>
          <w:rFonts w:cstheme="minorHAnsi"/>
          <w:color w:val="000000" w:themeColor="text1"/>
        </w:rPr>
        <w:t xml:space="preserve">’s review on this topic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{"citationItems":[{"id":"ITEM-1","itemData":{"DOI":"10.5535/ARM.2015.39.2.155","ISSN":"22340653","PMID":"25932410","abstract":"Aging has become an important topic for scientific research because life expectancy and the number of men and women in older age groups have increased dramatically in the last century. This is true in most countries of the world including the Republic of Korea and the United States. From a rehabilitation perspective, the most important associated issue is a progressive decline in functional capacity and independence. Sarcopenia is partly responsible for this decline. Many changes underlying the loss of muscle mass and force-generating capacity of skeletal muscle can be understood at the cellular and molecular levels. Muscle size and architecture are both altered with advanced adult age. Further, changes in myofibers include impairments in several physiological domains including muscle fiber activation, excitation-contraction coupling, actin-myosin cross-bridge interaction, energy production, and repair and regeneration. A thorough understanding of these alterations can lead to the design of improved preventative and rehabilitative interventions, such as personalized exercise training programs.","author":[{"dropping-particle":"","family":"Miljkovic","given":"Natasa","non-dropping-particle":"","parse-names":false,"suffix":""},{"dropping-particle":"","family":"Lim","given":"Jae Young","non-dropping-particle":"","parse-names":false,"suffix":""},{"dropping-particle":"","family":"Miljkovic","given":"Iva","non-dropping-particle":"","parse-names":false,"suffix":""},{"dropping-particle":"","family":"Frontera","given":"Walter R.","non-dropping-particle":"","parse-names":false,"suffix":""}],"container-title":"Annals of Rehabilitation Medicine","id":"ITEM-1","issue":"2","issued":{"date-parts":[["2015"]]},"page":"155","publisher":"Korean Academy of Rehabilitation Medicine","title":"Aging of Skeletal Muscle Fibers","type":"article-journal","volume":"39"},"uris":["http://www.mendeley.com/documents/?uuid=3ef5e7a1-a053-3f58-8d03-623220515fb7"]}],"mendeley":{"formattedCitation":"(79)","plainTextFormattedCitation":"(79)","previouslyFormattedCitation":"(79)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(79)</w:t>
      </w:r>
      <w:r w:rsidRPr="00F56683">
        <w:rPr>
          <w:rFonts w:cstheme="minorHAnsi"/>
          <w:color w:val="000000" w:themeColor="text1"/>
        </w:rPr>
        <w:fldChar w:fldCharType="end"/>
      </w:r>
      <w:r w:rsidRPr="00F56683">
        <w:rPr>
          <w:rFonts w:cstheme="minorHAnsi"/>
          <w:color w:val="000000" w:themeColor="text1"/>
        </w:rPr>
        <w:t xml:space="preserve">. Of particular note are lifestyle factors, </w:t>
      </w:r>
      <w:r w:rsidR="00D62B20" w:rsidRPr="00F56683">
        <w:rPr>
          <w:rFonts w:cstheme="minorHAnsi"/>
          <w:color w:val="000000" w:themeColor="text1"/>
        </w:rPr>
        <w:t>which</w:t>
      </w:r>
      <w:r w:rsidRPr="00F56683">
        <w:rPr>
          <w:rFonts w:cstheme="minorHAnsi"/>
          <w:color w:val="000000" w:themeColor="text1"/>
        </w:rPr>
        <w:t xml:space="preserve"> include nutritional and physical activity factors</w:t>
      </w:r>
      <w:r w:rsidR="00C33907" w:rsidRPr="00F56683">
        <w:rPr>
          <w:rFonts w:cstheme="minorHAnsi"/>
          <w:color w:val="000000" w:themeColor="text1"/>
        </w:rPr>
        <w:t xml:space="preserve">. </w:t>
      </w:r>
      <w:r w:rsidRPr="00F56683">
        <w:rPr>
          <w:rFonts w:cstheme="minorHAnsi"/>
          <w:color w:val="000000" w:themeColor="text1"/>
        </w:rPr>
        <w:t xml:space="preserve">Understanding and identifying lifestyle risk factors can aid with developing strategies to offset muscle loss and prevent sarcopenia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{"citationItems":[{"id":"ITEM-1","itemData":{"DOI":"10.5041/RMMJ.10091","ISSN":"2076-9172","PMID":"23908848","abstract":"The term sarcopenia describes the loss of skeletal muscle mass, strength, and function in old age. As the world population continues to grow older, more attention is given to the phenomena of sarcopenia and the search for strategies of prevention and treatment. The progression of sarcopenia is affected by age-related physiological and systemic changes in the body, including alterations in skeletal muscle tissue, hormonal changes, increased inflammatory activities, and oxidative stress. Sarcopenia progression is also affected by lifestyle factors which are far more controllable. These factors include various aspects of nutrition, physical activity, exercise, alcohol intake, and tobacco use. Raising the public awareness regarding the impact of these factors, as causes of sarcopenia and potential strategies of prevention and treatment, is of great importance. In this review we aim to describe various lifestyle factors that affect the etiology, prevention, and treatment of sarcopenia.","author":[{"dropping-particle":"","family":"Rom","given":"Oren","non-dropping-particle":"","parse-names":false,"suffix":""},{"dropping-particle":"","family":"Kaisari","given":"Sharon","non-dropping-particle":"","parse-names":false,"suffix":""},{"dropping-particle":"","family":"Aizenbud","given":"Dror","non-dropping-particle":"","parse-names":false,"suffix":""},{"dropping-particle":"","family":"Reznick","given":"Abraham Z.","non-dropping-particle":"","parse-names":false,"suffix":""}],"container-title":"Rambam Maimonides Medical Journal","id":"ITEM-1","issue":"4","issued":{"date-parts":[["2012","10","31"]]},"page":"e0024","publisher":"Rambam Health Care Campus","title":"Lifestyle and Sarcopenia—Etiology, Prevention, and Treatment","type":"article-journal","volume":"3"},"uris":["http://www.mendeley.com/documents/?uuid=a810b069-363a-3dcc-9ba4-286d4322d1e6"]}],"mendeley":{"formattedCitation":"(80)","plainTextFormattedCitation":"(80)","previouslyFormattedCitation":"(80)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(80)</w:t>
      </w:r>
      <w:r w:rsidRPr="00F56683">
        <w:rPr>
          <w:rFonts w:cstheme="minorHAnsi"/>
          <w:color w:val="000000" w:themeColor="text1"/>
        </w:rPr>
        <w:fldChar w:fldCharType="end"/>
      </w:r>
      <w:r w:rsidRPr="00F56683">
        <w:rPr>
          <w:rFonts w:cstheme="minorHAnsi"/>
          <w:color w:val="000000" w:themeColor="text1"/>
        </w:rPr>
        <w:t xml:space="preserve">. Two factors, protein and resistance exercise, which may have preventative actions and play a role in tackling muscle loss will be described in the last part of this review. Moreover, their combined actions will also be addressed.  </w:t>
      </w:r>
    </w:p>
    <w:p w14:paraId="76456AAA" w14:textId="77777777" w:rsidR="004F4AF8" w:rsidRPr="00F56683" w:rsidRDefault="004F4AF8" w:rsidP="00F42CB9">
      <w:pPr>
        <w:spacing w:line="360" w:lineRule="auto"/>
        <w:rPr>
          <w:rFonts w:cstheme="minorHAnsi"/>
          <w:color w:val="000000" w:themeColor="text1"/>
        </w:rPr>
      </w:pPr>
    </w:p>
    <w:p w14:paraId="6019EF38" w14:textId="77777777" w:rsidR="004F4AF8" w:rsidRPr="00F56683" w:rsidRDefault="004F4AF8" w:rsidP="00F42CB9">
      <w:pPr>
        <w:spacing w:line="360" w:lineRule="auto"/>
        <w:rPr>
          <w:rFonts w:cstheme="minorHAnsi"/>
          <w:b/>
          <w:bCs/>
          <w:color w:val="000000" w:themeColor="text1"/>
        </w:rPr>
      </w:pPr>
    </w:p>
    <w:p w14:paraId="5DFB3419"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fldChar w:fldCharType="begin"/>
      </w:r>
      <w:r w:rsidRPr="00F56683">
        <w:rPr>
          <w:rFonts w:cstheme="minorHAnsi"/>
          <w:color w:val="000000" w:themeColor="text1"/>
        </w:rPr>
        <w:instrText xml:space="preserve"> INCLUDEPICTURE "https://www.ncbi.nlm.nih.gov/pmc/articles/PMC5632757/bin/fmed-04-00167-g001.jpg" \* MERGEFORMATINET </w:instrText>
      </w:r>
      <w:r w:rsidRPr="00F56683">
        <w:rPr>
          <w:rFonts w:cstheme="minorHAnsi"/>
          <w:color w:val="000000" w:themeColor="text1"/>
        </w:rPr>
        <w:fldChar w:fldCharType="separate"/>
      </w:r>
      <w:r w:rsidRPr="00F56683">
        <w:rPr>
          <w:rFonts w:cstheme="minorHAnsi"/>
          <w:noProof/>
          <w:color w:val="000000" w:themeColor="text1"/>
        </w:rPr>
        <w:drawing>
          <wp:inline distT="0" distB="0" distL="0" distR="0" wp14:anchorId="159D8599" wp14:editId="571AE984">
            <wp:extent cx="5727700" cy="3720465"/>
            <wp:effectExtent l="0" t="0" r="0" b="635"/>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27700" cy="3720465"/>
                    </a:xfrm>
                    <a:prstGeom prst="rect">
                      <a:avLst/>
                    </a:prstGeom>
                    <a:noFill/>
                    <a:ln>
                      <a:noFill/>
                    </a:ln>
                  </pic:spPr>
                </pic:pic>
              </a:graphicData>
            </a:graphic>
          </wp:inline>
        </w:drawing>
      </w:r>
      <w:r w:rsidRPr="00F56683">
        <w:rPr>
          <w:rFonts w:cstheme="minorHAnsi"/>
          <w:color w:val="000000" w:themeColor="text1"/>
        </w:rPr>
        <w:fldChar w:fldCharType="end"/>
      </w:r>
    </w:p>
    <w:p w14:paraId="090A8D7C" w14:textId="2DC673E4" w:rsidR="004F4AF8" w:rsidRPr="00F56683" w:rsidRDefault="004F4AF8" w:rsidP="00F42CB9">
      <w:pPr>
        <w:spacing w:line="360" w:lineRule="auto"/>
        <w:rPr>
          <w:rFonts w:cstheme="minorHAnsi"/>
          <w:color w:val="000000" w:themeColor="text1"/>
        </w:rPr>
      </w:pPr>
      <w:bookmarkStart w:id="46" w:name="_Ref120721673"/>
      <w:bookmarkStart w:id="47" w:name="_Toc127044183"/>
      <w:bookmarkStart w:id="48" w:name="_Toc127978465"/>
      <w:r w:rsidRPr="00F56683">
        <w:rPr>
          <w:rFonts w:cstheme="minorHAnsi"/>
          <w:color w:val="000000" w:themeColor="text1"/>
        </w:rPr>
        <w:t xml:space="preserve">Figure </w:t>
      </w:r>
      <w:r w:rsidRPr="00F56683">
        <w:rPr>
          <w:rFonts w:cstheme="minorHAnsi"/>
          <w:color w:val="000000" w:themeColor="text1"/>
        </w:rPr>
        <w:fldChar w:fldCharType="begin"/>
      </w:r>
      <w:r w:rsidRPr="00F56683">
        <w:rPr>
          <w:rFonts w:cstheme="minorHAnsi"/>
          <w:color w:val="000000" w:themeColor="text1"/>
        </w:rPr>
        <w:instrText xml:space="preserve"> SEQ Figure \* ARABIC </w:instrText>
      </w:r>
      <w:r w:rsidRPr="00F56683">
        <w:rPr>
          <w:rFonts w:cstheme="minorHAnsi"/>
          <w:color w:val="000000" w:themeColor="text1"/>
        </w:rPr>
        <w:fldChar w:fldCharType="separate"/>
      </w:r>
      <w:r w:rsidR="002B439C">
        <w:rPr>
          <w:rFonts w:cstheme="minorHAnsi"/>
          <w:noProof/>
          <w:color w:val="000000" w:themeColor="text1"/>
        </w:rPr>
        <w:t>5</w:t>
      </w:r>
      <w:r w:rsidRPr="00F56683">
        <w:rPr>
          <w:rFonts w:cstheme="minorHAnsi"/>
          <w:color w:val="000000" w:themeColor="text1"/>
        </w:rPr>
        <w:fldChar w:fldCharType="end"/>
      </w:r>
      <w:bookmarkEnd w:id="46"/>
      <w:r w:rsidR="003E5B8F">
        <w:rPr>
          <w:rFonts w:cstheme="minorHAnsi"/>
          <w:color w:val="000000" w:themeColor="text1"/>
        </w:rPr>
        <w:t>.</w:t>
      </w:r>
      <w:r w:rsidRPr="00F56683">
        <w:rPr>
          <w:rFonts w:cstheme="minorHAnsi"/>
          <w:color w:val="000000" w:themeColor="text1"/>
        </w:rPr>
        <w:t xml:space="preserve"> Factors which influence muscle health and consequentially sarcopenia onset.</w:t>
      </w:r>
      <w:r w:rsidR="001A58DC" w:rsidRPr="00F56683">
        <w:rPr>
          <w:rFonts w:cstheme="minorHAnsi"/>
          <w:color w:val="000000" w:themeColor="text1"/>
        </w:rPr>
        <w:t xml:space="preserve"> Image</w:t>
      </w:r>
      <w:r w:rsidR="00D62B20" w:rsidRPr="00F56683">
        <w:rPr>
          <w:rFonts w:cstheme="minorHAnsi"/>
          <w:color w:val="000000" w:themeColor="text1"/>
        </w:rPr>
        <w:t xml:space="preserve"> is</w:t>
      </w:r>
      <w:r w:rsidR="001A58DC" w:rsidRPr="00F56683">
        <w:rPr>
          <w:rFonts w:cstheme="minorHAnsi"/>
          <w:color w:val="000000" w:themeColor="text1"/>
        </w:rPr>
        <w:t xml:space="preserve"> taken from Ziaaldini et al</w:t>
      </w:r>
      <w:r w:rsidR="003E5B8F">
        <w:rPr>
          <w:rFonts w:cstheme="minorHAnsi"/>
          <w:color w:val="000000" w:themeColor="text1"/>
        </w:rPr>
        <w:t>.</w:t>
      </w:r>
      <w:r w:rsidR="001A58DC" w:rsidRPr="00F56683">
        <w:rPr>
          <w:rFonts w:cstheme="minorHAnsi"/>
          <w:color w:val="000000" w:themeColor="text1"/>
        </w:rPr>
        <w:t xml:space="preserve">, 2017 </w:t>
      </w:r>
      <w:r w:rsidR="001A58DC"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{"citationItems":[{"id":"ITEM-1","itemData":{"DOI":"10.3389/FMED.2017.00167","ISSN":"2296858X","PMID":"29046874","abstract":"Aging is a complex process characterized by progressive multisystem derangement predisposing individuals to increased risk of developing negative health outcomes. Sarcopenia is the age-related decline of muscle mass and function/strength and represents a highly prevalent correlate of aging. Several factors have been indicated to play a role in the onset and progression of sarcopenia; however, its pathophysiology is still unclear. Physical exercise is to date one of the few strategies able to improve muscle health in old age through multiple metabolic and transcriptional adaptations. Although the benefits of different exercise modalities on the function and structure of aged myocytes is acknowledged, the cellular and molecular mechanisms underlying such effects are not yet fully identified. Here, we briefly overview the current knowledge on the biochemical pathways associated with the onset and progression of sarcopenia. We subsequently describe the effects of exercise on relevant signaling pathways involved in sarcopenia pathophysiology.","author":[{"dropping-particle":"","family":"Ziaaldini","given":"Mohammad Mosaferi","non-dropping-particle":"","parse-names":false,"suffix":""},{"dropping-particle":"","family":"Marzetti","given":"Emanuele","non-dropping-particle":"","parse-names":false,"suffix":""},{"dropping-particle":"","family":"Picca","given":"Anna","non-dropping-particle":"","parse-names":false,"suffix":""},{"dropping-particle":"","family":"Murlasits","given":"Zsolt","non-dropping-particle":"","parse-names":false,"suffix":""}],"container-title":"Frontiers in Medicine","id":"ITEM-1","issue":"OCT","issued":{"date-parts":[["2017"]]},"page":"167","publisher":"Frontiers Media SA","title":"Biochemical Pathways of Sarcopenia and Their Modulation by Physical Exercise: A Narrative Review","type":"article-journal","volume":"4"},"uris":["http://www.mendeley.com/documents/?uuid=a262d552-3e2a-3cae-b124-cc0e2ffdec49"]}],"mendeley":{"formattedCitation":"(81)","plainTextFormattedCitation":"(81)","previouslyFormattedCitation":"(81)"},"properties":{"noteIndex":0},"schema":"https://github.com/citation-style-language/schema/raw/master/csl-citation.json"}</w:instrText>
      </w:r>
      <w:r w:rsidR="001A58DC" w:rsidRPr="00F56683">
        <w:rPr>
          <w:rFonts w:cstheme="minorHAnsi"/>
          <w:color w:val="000000" w:themeColor="text1"/>
        </w:rPr>
        <w:fldChar w:fldCharType="separate"/>
      </w:r>
      <w:r w:rsidR="00057AE3" w:rsidRPr="00057AE3">
        <w:rPr>
          <w:rFonts w:cstheme="minorHAnsi"/>
          <w:noProof/>
          <w:color w:val="000000" w:themeColor="text1"/>
        </w:rPr>
        <w:t>(81)</w:t>
      </w:r>
      <w:r w:rsidR="001A58DC" w:rsidRPr="00F56683">
        <w:rPr>
          <w:rFonts w:cstheme="minorHAnsi"/>
          <w:color w:val="000000" w:themeColor="text1"/>
        </w:rPr>
        <w:fldChar w:fldCharType="end"/>
      </w:r>
      <w:r w:rsidR="001A58DC" w:rsidRPr="00F56683">
        <w:rPr>
          <w:rFonts w:cstheme="minorHAnsi"/>
          <w:color w:val="000000" w:themeColor="text1"/>
        </w:rPr>
        <w:t xml:space="preserve"> with permission.</w:t>
      </w:r>
      <w:bookmarkEnd w:id="47"/>
      <w:bookmarkEnd w:id="48"/>
    </w:p>
    <w:p w14:paraId="41B141F7" w14:textId="77777777" w:rsidR="00BD2BA6" w:rsidRPr="00F56683" w:rsidRDefault="00BD2BA6" w:rsidP="00F42CB9">
      <w:pPr>
        <w:spacing w:line="360" w:lineRule="auto"/>
        <w:rPr>
          <w:rFonts w:cstheme="minorHAnsi"/>
          <w:color w:val="000000" w:themeColor="text1"/>
        </w:rPr>
      </w:pPr>
    </w:p>
    <w:p w14:paraId="74E27ED3" w14:textId="47411761"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49" w:name="_Toc135384247"/>
      <w:r w:rsidRPr="00F56683">
        <w:rPr>
          <w:rFonts w:asciiTheme="minorHAnsi" w:hAnsiTheme="minorHAnsi" w:cstheme="minorHAnsi"/>
          <w:b/>
          <w:bCs/>
          <w:color w:val="000000" w:themeColor="text1"/>
          <w:sz w:val="24"/>
          <w:szCs w:val="24"/>
        </w:rPr>
        <w:t>1.3  Protein and muscle</w:t>
      </w:r>
      <w:bookmarkEnd w:id="49"/>
    </w:p>
    <w:p w14:paraId="30284802" w14:textId="565A868E"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Human muscle is synthesised in the body from proteins; which</w:t>
      </w:r>
      <w:r w:rsidRPr="00F56683">
        <w:rPr>
          <w:rFonts w:cstheme="minorHAnsi"/>
          <w:color w:val="000000" w:themeColor="text1"/>
          <w:shd w:val="clear" w:color="auto" w:fill="FFFFFF"/>
        </w:rPr>
        <w:t xml:space="preserve"> are built from polymers of alpha-amino acids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{"citationItems":[{"id":"ITEM-1","itemData":{"PMID":"32496725","abstract":"Essential amino acids, also known as indispensable amino acids, are a group of amino acids that humans and other vertebrates cannot synthesize from metabolic intermediates. These amino acids must be supplied from an exogenous diet because the human body lacks the metabolic pathways required to synthesize these amino acids.[1][2] In nutrition, amino acids classify as either essential or non-essential. These classifications were a result of early studies on human nutrition, which showed that specific amino acids were required for growth or nitrogen balance even when there is an adequate amount of alternative amino acids.[3] Although variations are possible depending on the metabolic state of an individual, the general held thought is that there are nine essential amino acids, including phenylalanine, valine, tryptophan, threonine, isoleucine, methionine, histidine, leucine, and lysine. The mnemonic PVT TIM HaLL (\"private Tim Hall\") is a commonly used device to remember these amino acids as it includes the first letter of all the essential amino acids. In terms of nutrition, the nine essential amino acids are obtainable by a single complete protein. A complete protein, by definition, contains all the essential amino acids. Complete proteins usually derive from animal-based sources of nutrition, except for soy.[4][5] The essential amino acids are also available from a combination of incomplete proteins, which are usually plant-based foods. The term \"limiting amino acid\" is used to describe the essential amino acid that is present in the lowest quantity in a food protein relative to a reference food protein like egg whites. The term \"limiting amino acid\" may also refer to an essential amino acid that does not meet the minimal requirements for humans.[6]","author":[{"dropping-particle":"","family":"Lopez","given":"Michael J.","non-dropping-particle":"","parse-names":false,"suffix":""},{"dropping-particle":"","family":"Mohiuddin","given":"Shamim S.","non-dropping-particle":"","parse-names":false,"suffix":""}],"container-title":"StatPearls","id":"ITEM-1","issued":{"date-parts":[["2022","3","18"]]},"publisher":"StatPearls Publishing","title":"Biochemistry, Essential Amino Acids","type":"article-journal"},"uris":["http://www.mendeley.com/documents/?uuid=446017c2-7911-3ecd-948e-869eae90066e"]}],"mendeley":{"formattedCitation":"(82)","plainTextFormattedCitation":"(82)","previouslyFormattedCitation":"(82)"},"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(82)</w:t>
      </w:r>
      <w:r w:rsidRPr="00F56683">
        <w:rPr>
          <w:rFonts w:cstheme="minorHAnsi"/>
          <w:color w:val="000000" w:themeColor="text1"/>
          <w:shd w:val="clear" w:color="auto" w:fill="FFFFFF"/>
        </w:rPr>
        <w:fldChar w:fldCharType="end"/>
      </w:r>
      <w:r w:rsidRPr="00F56683">
        <w:rPr>
          <w:rFonts w:cstheme="minorHAnsi"/>
          <w:color w:val="000000" w:themeColor="text1"/>
        </w:rPr>
        <w:t xml:space="preserve">. Amino acids can be classified as either non-essential or essential (indispensable)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{"citationItems":[{"id":"ITEM-1","itemData":{"DOI":"10.1093/JN/130.7.1835S","ISSN":"0022-3166","PMID":"10867060","abstract":"Here, we compared the traditional nutritional definition of the dispensable and indispensable amino acids for humans with categorizations based on amino acid metabolism and function. The three views lead to somewhat different interpretations. From a nutritional perspective, it is quite clear that some amino acids are absolute dietary necessities if normal growth is to be maintained. Even so, growth responses to deficiencies of dispensable amino acids can be found in the literature. From a strictly metabolic perspective, there are only three indispensable amino acids (lysine, threonine and tryptophan) and two dispensable amino acids (glutamate and serine). In addition, a consideration of in vivo amino acid metabolism lead to the definition of a third class of amino acids, termed conditionally essential, whose synthesis can be carried out by mammals but can be limited by a variety of factors. These factors include the dietary supply of the appropriate precursors and the maturity and health of the individual. From a functional perspective, all amino acids are essential, and an argument in favor of the idea of the critical importance of nonessential and conditionally essential amino acids to physiological function is developed.","author":[{"dropping-particle":"","family":"Reeds","given":"P. J.","non-dropping-particle":"","parse-names":false,"suffix":""}],"container-title":"The Journal of nutrition","id":"ITEM-1","issue":"7","issued":{"date-parts":[["2000"]]},"publisher":"J Nutr","title":"Dispensable and indispensable amino acids for humans","type":"article-journal","volume":"130"},"uris":["http://www.mendeley.com/documents/?uuid=4baf7fc7-6097-3cbf-9d12-89b2dbf3d836"]}],"mendeley":{"formattedCitation":"(83)","plainTextFormattedCitation":"(83)","previouslyFormattedCitation":"(83)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(83)</w:t>
      </w:r>
      <w:r w:rsidRPr="00F56683">
        <w:rPr>
          <w:rFonts w:cstheme="minorHAnsi"/>
          <w:color w:val="000000" w:themeColor="text1"/>
        </w:rPr>
        <w:fldChar w:fldCharType="end"/>
      </w:r>
      <w:r w:rsidRPr="00F56683">
        <w:rPr>
          <w:rFonts w:cstheme="minorHAnsi"/>
          <w:color w:val="000000" w:themeColor="text1"/>
        </w:rPr>
        <w:t xml:space="preserve"> based on if the body can or cannot synthesise them, respectively. The theory behind increasing protein intake for muscle loss prevention is that </w:t>
      </w:r>
      <w:r w:rsidR="00D62B20" w:rsidRPr="00F56683">
        <w:rPr>
          <w:rFonts w:cstheme="minorHAnsi"/>
          <w:color w:val="000000" w:themeColor="text1"/>
        </w:rPr>
        <w:t>providing</w:t>
      </w:r>
      <w:r w:rsidRPr="00F56683">
        <w:rPr>
          <w:rFonts w:cstheme="minorHAnsi"/>
          <w:color w:val="000000" w:themeColor="text1"/>
        </w:rPr>
        <w:t xml:space="preserve"> additional amino acids may promote greater levels of MPS. If an amino acid is lacking, protein cannot be synthesised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{"citationItems":[{"id":"ITEM-1","itemData":{"DOI":"10.1093/JN/130.7.1835S","ISSN":"0022-3166","PMID":"10867060","abstract":"Here, we compared the traditional nutritional definition of the dispensable and indispensable amino acids for humans with categorizations based on amino acid metabolism and function. The three views lead to somewhat different interpretations. From a nutritional perspective, it is quite clear that some amino acids are absolute dietary necessities if normal growth is to be maintained. Even so, growth responses to deficiencies of dispensable amino acids can be found in the literature. From a strictly metabolic perspective, there are only three indispensable amino acids (lysine, threonine and tryptophan) and two dispensable amino acids (glutamate and serine). In addition, a consideration of in vivo amino acid metabolism lead to the definition of a third class of amino acids, termed conditionally essential, whose synthesis can be carried out by mammals but can be limited by a variety of factors. These factors include the dietary supply of the appropriate precursors and the maturity and health of the individual. From a functional perspective, all amino acids are essential, and an argument in favor of the idea of the critical importance of nonessential and conditionally essential amino acids to physiological function is developed.","author":[{"dropping-particle":"","family":"Reeds","given":"P. J.","non-dropping-particle":"","parse-names":false,"suffix":""}],"container-title":"The Journal of nutrition","id":"ITEM-1","issue":"7","issued":{"date-parts":[["2000"]]},"publisher":"J Nutr","title":"Dispensable and indispensable amino acids for humans","type":"article-journal","volume":"130"},"uris":["http://www.mendeley.com/documents/?uuid=4baf7fc7-6097-3cbf-9d12-89b2dbf3d836"]}],"mendeley":{"formattedCitation":"(83)","plainTextFormattedCitation":"(83)","previouslyFormattedCitation":"(83)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(83)</w:t>
      </w:r>
      <w:r w:rsidRPr="00F56683">
        <w:rPr>
          <w:rFonts w:cstheme="minorHAnsi"/>
          <w:color w:val="000000" w:themeColor="text1"/>
        </w:rPr>
        <w:fldChar w:fldCharType="end"/>
      </w:r>
      <w:r w:rsidRPr="00F56683">
        <w:rPr>
          <w:rFonts w:cstheme="minorHAnsi"/>
          <w:color w:val="000000" w:themeColor="text1"/>
        </w:rPr>
        <w:t xml:space="preserve">.  </w:t>
      </w:r>
      <w:r w:rsidRPr="00F56683">
        <w:rPr>
          <w:rFonts w:cstheme="minorHAnsi"/>
          <w:color w:val="000000" w:themeColor="text1"/>
          <w:shd w:val="clear" w:color="auto" w:fill="FFFFFF"/>
        </w:rPr>
        <w:t>A</w:t>
      </w:r>
      <w:r w:rsidRPr="00F56683">
        <w:rPr>
          <w:rFonts w:cstheme="minorHAnsi"/>
          <w:color w:val="000000" w:themeColor="text1"/>
        </w:rPr>
        <w:t xml:space="preserve">side from their essential role in protein </w:t>
      </w:r>
      <w:r w:rsidRPr="00F56683">
        <w:rPr>
          <w:rFonts w:cstheme="minorHAnsi"/>
          <w:color w:val="000000" w:themeColor="text1"/>
        </w:rPr>
        <w:lastRenderedPageBreak/>
        <w:t xml:space="preserve">synthesis, amino acids act as important regulators of key metabolic pathways </w:t>
      </w:r>
      <w:r w:rsidRPr="00F56683">
        <w:rPr>
          <w:rFonts w:cstheme="minorHAnsi"/>
          <w:color w:val="000000" w:themeColor="text1"/>
          <w:shd w:val="clear" w:color="auto" w:fill="FFFFFF"/>
        </w:rPr>
        <w:t>necessary for maintenance, growth, reproduction and immunity</w:t>
      </w:r>
      <w:r w:rsidR="003E5B8F">
        <w:rPr>
          <w:rFonts w:cstheme="minorHAnsi"/>
          <w:color w:val="000000" w:themeColor="text1"/>
          <w:shd w:val="clear" w:color="auto" w:fill="FFFFFF"/>
        </w:rPr>
        <w:t xml:space="preserve">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{"citationItems":[{"id":"ITEM-1","itemData":{"DOI":"10.1007/S00726-009-0269-0","ISSN":"1438-2199","PMID":"19301095","abstract":"Recent years have witnessed the discovery that amino acids (AA) are not only cell signaling molecules but are also regulators of gene expression and the protein phosphorylation cascade. Additionally, AA are key precursors for syntheses of hormones and low-molecular weight nitrogenous substances with each having enormous biological importance. Physiological concentrations of AA and their metabolites (e.g., nitric oxide, polyamines, glutathione, taurine, thyroid hormones, and serotonin) are required for the functions. However, elevated levels of AA and their products (e.g., ammonia, homocysteine, and asymmetric dimethylarginine) are pathogenic factors for neurological disorders, oxidative stress, and cardiovascular disease. Thus, an optimal balance among AA in the diet and circulation is crucial for whole body homeostasis. There is growing recognition that besides their role as building blocks of proteins and polypeptides, some AA regulate key metabolic pathways that are necessary for maintenance, growth, reproduction, and immunity. They are called functional AA, which include arginine, cysteine, glutamine, leucine, proline, and tryptophan. Dietary supplementation with one or a mixture of these AA may be beneficial for (1) ameliorating health problems at various stages of the life cycle (e.g., fetal growth restriction, neonatal morbidity and mortality, weaning-associated intestinal dysfunction and wasting syndrome, obesity, diabetes, cardiovascular disease, the metabolic syndrome, and infertility); (2) optimizing efficiency of metabolic transformations to enhance muscle growth, milk production, egg and meat quality and athletic performance, while preventing excess fat deposition and reducing adiposity. Thus, AA have important functions in both nutrition and health. © 2009 Springer-Verlag.","author":[{"dropping-particle":"","family":"Wu","given":"Guoyao","non-dropping-particle":"","parse-names":false,"suffix":""}],"container-title":"Amino acids","id":"ITEM-1","issue":"1","issued":{"date-parts":[["2009","5"]]},"page":"1-17","publisher":"Amino Acids","title":"Amino acids: metabolism, functions, and nutrition","type":"article-journal","volume":"37"},"uris":["http://www.mendeley.com/documents/?uuid=268408ac-1338-3da0-b97a-41b3bac81ddc"]}],"mendeley":{"formattedCitation":"(84)","plainTextFormattedCitation":"(84)","previouslyFormattedCitation":"(84)"},"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(84)</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w:t>
      </w:r>
    </w:p>
    <w:p w14:paraId="145F492C" w14:textId="04462711"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The Word Health Organisation (WHO) have set recommended daily allowance (RDA) values for protein of 0.8g per kilogram body mass (g/kg BM/d)</w:t>
      </w:r>
      <w:r w:rsidR="00BD2BA6" w:rsidRPr="00F56683">
        <w:rPr>
          <w:rFonts w:cstheme="minorHAnsi"/>
          <w:color w:val="000000" w:themeColor="text1"/>
        </w:rPr>
        <w:t xml:space="preserve">. </w:t>
      </w:r>
      <w:r w:rsidRPr="00F56683">
        <w:rPr>
          <w:rFonts w:cstheme="minorHAnsi"/>
          <w:color w:val="000000" w:themeColor="text1"/>
        </w:rPr>
        <w:t>UK reference nutrient intakes (RNI) are marginally lower at 0.75g/kg BM/d. The main purpose behind RDA guidelines is to meet the basic nutritional requirements and avoid deficiencies in approximately 95% (but not all) of the population</w:t>
      </w:r>
      <w:r w:rsidR="001670F9" w:rsidRPr="00F56683">
        <w:rPr>
          <w:rFonts w:cstheme="minorHAnsi"/>
          <w:color w:val="000000" w:themeColor="text1"/>
        </w:rPr>
        <w:t xml:space="preserve"> and</w:t>
      </w:r>
      <w:r w:rsidRPr="00F56683">
        <w:rPr>
          <w:rFonts w:cstheme="minorHAnsi"/>
          <w:color w:val="000000" w:themeColor="text1"/>
        </w:rPr>
        <w:t xml:space="preserve"> is not necessarily a reflection of optimal intakes. It has been suggested that protein guidelines are outdated (originally proposed in 1991 in the UK and have not been updated since) and insufficient, particularly for older adults as only one of the original studies was performed in older adults. A meta-analysis conducted in 2003, undertaken for estimating protein requirements in healthy adults through the inclusion of nitrogen balance studies, suggested RDA recommendations of 0.83g/kg BM w</w:t>
      </w:r>
      <w:r w:rsidR="00D62B20" w:rsidRPr="00F56683">
        <w:rPr>
          <w:rFonts w:cstheme="minorHAnsi"/>
          <w:color w:val="000000" w:themeColor="text1"/>
        </w:rPr>
        <w:t>ere</w:t>
      </w:r>
      <w:r w:rsidRPr="00F56683">
        <w:rPr>
          <w:rFonts w:cstheme="minorHAnsi"/>
          <w:color w:val="000000" w:themeColor="text1"/>
        </w:rPr>
        <w:t xml:space="preserve"> viable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{"citationItems":[{"id":"ITEM-1","itemData":{"DOI":"10.1093/AJCN/77.1.109","ISSN":"0002-9165","PMID":"12499330","abstract":"Background: The most recent international dietary protein recommendations for healthy adults are those developed and proposed by the 1985 FAO/WHO/UNU Joint Expert Consultation. Objective: The objective was to analyze available nitrogen balance data to establish new recommendations for the protein required by healthy adults. Design: Data were gathered from published nitrogen balance studies that had as their primary objective either the estimation of basal or maintenance requirements or the testing of the adequacy of specific nitrogen intakes in healthy adults. These data were synthesized to characterize the distribution of individual protein requirements; the effects of climate of the study site, adult age, sex, and dietary protein source on individual requirements; and the midpoint of and the variability between the protein requirements of healthy persons. Results: Data for 235 individual subjects, each studied at ≥ 3 test protein intakes, were gathered from 19 studies. The median estimated average requirement (EAR) of nitrogen from these data was 105 mg N · kg-1 · d-1. Individual requirements were found to fit a log-normal distribution. The median EAR was estimated as the median of this distribution, 105 mg N · kg-1 · d-, whereas the 97.5th percentile (the recommended dietary allowance; RDA) was estimated from the distribution of the log of the requirement (after correction of the total observed variability to remove within-individual variability) as 132 mg N · kg-1 · d-1. No significant differences between the climate of the study site, adult age class, sex, or source of dietary protein were observed, although there was an indication that women might have a lower requirement than do men. Conclusion: This meta-analysis provides new recommendations for dietary reference values, ie, an EAR (median) and RDA (97.5th percentile) for healthy adults of 105 and 132 mg N · kg-1 · d-1 (0.65 and 0.83 g good-quality protein · kg-1 · d-1), respectively.","author":[{"dropping-particle":"","family":"Rand","given":"William M.","non-dropping-particle":"","parse-names":false,"suffix":""},{"dropping-particle":"","family":"Pellett","given":"Peter L.","non-dropping-particle":"","parse-names":false,"suffix":""},{"dropping-particle":"","family":"Young","given":"Vernon R.","non-dropping-particle":"","parse-names":false,"suffix":""}],"container-title":"The American Journal of Clinical Nutrition","id":"ITEM-1","issue":"1","issued":{"date-parts":[["2003","1","1"]]},"page":"109-127","publisher":"Oxford Academic","title":"Meta-analysis of nitrogen balance studies for estimating protein requirements in healthy adults","type":"article-journal","volume":"77"},"uris":["http://www.mendeley.com/documents/?uuid=251c62ea-582c-39e9-a62b-87c0c546b7f3"]}],"mendeley":{"formattedCitation":"(85)","plainTextFormattedCitation":"(85)","previouslyFormattedCitation":"(85)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(85)</w:t>
      </w:r>
      <w:r w:rsidRPr="00F56683">
        <w:rPr>
          <w:rFonts w:cstheme="minorHAnsi"/>
          <w:color w:val="000000" w:themeColor="text1"/>
        </w:rPr>
        <w:fldChar w:fldCharType="end"/>
      </w:r>
      <w:r w:rsidRPr="00F56683">
        <w:rPr>
          <w:rFonts w:cstheme="minorHAnsi"/>
          <w:color w:val="000000" w:themeColor="text1"/>
        </w:rPr>
        <w:t xml:space="preserve">. In the last 20 years, a wealth of research has been published to dispute these guidelines and suggest that nitrogen balance is not a good technique for making recommendations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{"citationItems":[{"id":"ITEM-1","itemData":{"DOI":"10.1097/MCO.0B013E3282FBA5D7","ISSN":"13631950","PMID":"18403920","abstract":"PURPOSE OF REVIEW: Objective and subjective methods are used to assess nutritional status. They are used as diagnostic, prognostic and response tools. It is still controversial which of them is more suitable for each situation and what they are really assessing. The most recent findings about these methods will be discussed in this review. RECENT FINDINGS: Malnutrition still has a high prevalence all over the world. Anthropometric measurements are best useful to assess chronic malnutrition, and albumin and other visceral protein should no longer be considered as nutritional markers, but inflammatory response markers. Subjective global assessment enables comparison among different populations, and its scored version may be useful in other clinical situations besides cancer. Functional methods and bioelectrical impedance analysis may become possible to identify malnutrition in an early stage. Nitrogen balance seems to be the only way to assess the response to nutritional interventions. SUMMARY: Malnutrition should be understood as a continuum. Nutritional assessment should not be an expensive and time-consuming process, and simple methods such as subjective global assessment may be enough to identify those patients who need nutritional intervention. Future studies may show which method is more suitable to evaluate the response to this treatment. © 2008 Lippincott Williams &amp; Wilkins, Inc.","author":[{"dropping-particle":"","family":"Barbosa-Silva","given":"M. Cristina G.","non-dropping-particle":"","parse-names":false,"suffix":""}],"container-title":"Current Opinion in Clinical Nutrition and Metabolic Care","id":"ITEM-1","issue":"3","issued":{"date-parts":[["2008","5"]]},"page":"248-254","title":"Subjective and objective nutritional assessment methods: What do they really assess?","type":"article-journal","volume":"11"},"uris":["http://www.mendeley.com/documents/?uuid=313cdec8-e310-37f2-91b7-0f5e6254fe82"]}],"mendeley":{"formattedCitation":"(86)","plainTextFormattedCitation":"(86)","previouslyFormattedCitation":"(86)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(86)</w:t>
      </w:r>
      <w:r w:rsidRPr="00F56683">
        <w:rPr>
          <w:rFonts w:cstheme="minorHAnsi"/>
          <w:color w:val="000000" w:themeColor="text1"/>
        </w:rPr>
        <w:fldChar w:fldCharType="end"/>
      </w:r>
      <w:r w:rsidRPr="00F56683">
        <w:rPr>
          <w:rFonts w:cstheme="minorHAnsi"/>
          <w:color w:val="000000" w:themeColor="text1"/>
        </w:rPr>
        <w:t>. To emphasise this, n</w:t>
      </w:r>
      <w:r w:rsidRPr="00F56683">
        <w:rPr>
          <w:rFonts w:cstheme="minorHAnsi"/>
          <w:color w:val="000000" w:themeColor="text1"/>
          <w:shd w:val="clear" w:color="auto" w:fill="FFFFFF"/>
        </w:rPr>
        <w:t xml:space="preserve">itrogen balance only provides information about the net result of nitrogen exchange and does not give insight into protein dynamics, catabolism or changes in protein redistribution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{"citationItems":[{"id":"ITEM-1","itemData":{"DOI":"10.3390/NU8040226","ISSN":"20726643","PMID":"27096868","abstract":"Critically ill older patients with sarcopenia experience greater morbidity and mortality than younger patients. It is anticipated that unabated protein catabolism would be detrimental for the critically ill older patient. Healthy older subjects experience a diminished response to protein supplementation when compared to their younger counterparts, but this anabolic resistance can be overcome by increasing protein intake. Preliminary evidence suggests that older patients may respond differently to protein intake than younger patients during critical illness as well. If sufficient protein intake is given, older patients can achieve a similar nitrogen accretion response as younger patients even during critical illness. However, there is concern among some clinicians that increasing protein intake in older patients during critical illness may lead to azotemia due to decreased renal functional reserve which may augment the propensity towards worsened renal function and worsened clinical outcomes. Current evidence regarding protein requirements, nitrogen balance, ureagenesis, and clinical outcomes during nutritional therapy for critically ill older patients is reviewed.","author":[{"dropping-particle":"","family":"Dickerson","given":"Roland N.","non-dropping-particle":"","parse-names":false,"suffix":""}],"container-title":"Nutrients","id":"ITEM-1","issue":"4","issued":{"date-parts":[["2016","4","18"]]},"publisher":"Multidisciplinary Digital Publishing Institute  (MDPI)","title":"Nitrogen Balance and Protein Requirements for Critically Ill Older Patients","type":"article-journal","volume":"8"},"uris":["http://www.mendeley.com/documents/?uuid=9e2b09f8-7262-3129-8370-fef113cd6517"]}],"mendeley":{"formattedCitation":"(87)","plainTextFormattedCitation":"(87)","previouslyFormattedCitation":"(87)"},"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(87)</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 xml:space="preserve">. </w:t>
      </w:r>
      <w:r w:rsidRPr="00F56683">
        <w:rPr>
          <w:rFonts w:cstheme="minorHAnsi"/>
          <w:color w:val="000000" w:themeColor="text1"/>
        </w:rPr>
        <w:t xml:space="preserve"> </w:t>
      </w:r>
    </w:p>
    <w:p w14:paraId="2686EBA9" w14:textId="4B98F6B2" w:rsidR="004F4AF8" w:rsidRPr="00F56683" w:rsidRDefault="004F2F1A" w:rsidP="00F42CB9">
      <w:pPr>
        <w:spacing w:line="360" w:lineRule="auto"/>
        <w:rPr>
          <w:rFonts w:cstheme="minorHAnsi"/>
          <w:color w:val="000000" w:themeColor="text1"/>
        </w:rPr>
      </w:pPr>
      <w:r w:rsidRPr="00F56683">
        <w:rPr>
          <w:rFonts w:cstheme="minorHAnsi"/>
          <w:color w:val="000000" w:themeColor="text1"/>
        </w:rPr>
        <w:t>T</w:t>
      </w:r>
      <w:r w:rsidR="004F4AF8" w:rsidRPr="00F56683">
        <w:rPr>
          <w:rFonts w:cstheme="minorHAnsi"/>
          <w:color w:val="000000" w:themeColor="text1"/>
        </w:rPr>
        <w:t>he indicator amino acid oxidation method</w:t>
      </w:r>
      <w:r w:rsidRPr="00F56683">
        <w:rPr>
          <w:rFonts w:cstheme="minorHAnsi"/>
          <w:color w:val="000000" w:themeColor="text1"/>
        </w:rPr>
        <w:t xml:space="preserve"> is now favoured over</w:t>
      </w:r>
      <w:r w:rsidR="00D62B20" w:rsidRPr="00F56683">
        <w:rPr>
          <w:rFonts w:cstheme="minorHAnsi"/>
          <w:color w:val="000000" w:themeColor="text1"/>
        </w:rPr>
        <w:t xml:space="preserve"> the</w:t>
      </w:r>
      <w:r w:rsidRPr="00F56683">
        <w:rPr>
          <w:rFonts w:cstheme="minorHAnsi"/>
          <w:color w:val="000000" w:themeColor="text1"/>
        </w:rPr>
        <w:t xml:space="preserve"> nitrogen balance methodology</w:t>
      </w:r>
      <w:r w:rsidR="004F4AF8" w:rsidRPr="00F56683">
        <w:rPr>
          <w:rFonts w:cstheme="minorHAnsi"/>
          <w:color w:val="000000" w:themeColor="text1"/>
        </w:rPr>
        <w:t xml:space="preserve">. Experiments that used this technique in older adults (&gt;65 years), resulted in higher RDAs – 1.29g/kg BM for women and 1.24g/kg BM </w:t>
      </w:r>
      <w:r w:rsidR="00D62B20" w:rsidRPr="00F56683">
        <w:rPr>
          <w:rFonts w:cstheme="minorHAnsi"/>
          <w:color w:val="000000" w:themeColor="text1"/>
        </w:rPr>
        <w:t>for</w:t>
      </w:r>
      <w:r w:rsidR="004F4AF8" w:rsidRPr="00F56683">
        <w:rPr>
          <w:rFonts w:cstheme="minorHAnsi"/>
          <w:color w:val="000000" w:themeColor="text1"/>
        </w:rPr>
        <w:t xml:space="preserve"> men. These findings support those of Wolfe, Miller and Miller (46) who suggested that more appropriate protein recommendations for older adults should be at least 1.2-1.5g per kg body mass per day. A position statement was published by PROT-AGE; a group appointed to review dietary protein need with ageing. They determined that to help people over 65</w:t>
      </w:r>
      <w:r w:rsidR="00D62B20" w:rsidRPr="00F56683">
        <w:rPr>
          <w:rFonts w:cstheme="minorHAnsi"/>
          <w:color w:val="000000" w:themeColor="text1"/>
        </w:rPr>
        <w:t xml:space="preserve"> </w:t>
      </w:r>
      <w:r w:rsidR="004F4AF8" w:rsidRPr="00F56683">
        <w:rPr>
          <w:rFonts w:cstheme="minorHAnsi"/>
          <w:color w:val="000000" w:themeColor="text1"/>
        </w:rPr>
        <w:t>years old maintain and regain muscle, average daily intakes should be at least in the range of 1-1.2g/kg BM/d. Furthermore, the European Society for Clinical Nutrition and Metabolism (ESPEN) stated that healthy older adults should aim to consume 1-1.2g of protein/kg body weight/day. Older adults who are malnourished</w:t>
      </w:r>
      <w:r w:rsidR="00F52127" w:rsidRPr="00F56683">
        <w:rPr>
          <w:rFonts w:cstheme="minorHAnsi"/>
          <w:color w:val="000000" w:themeColor="text1"/>
        </w:rPr>
        <w:t>,</w:t>
      </w:r>
      <w:r w:rsidR="004F4AF8" w:rsidRPr="00F56683">
        <w:rPr>
          <w:rFonts w:cstheme="minorHAnsi"/>
          <w:color w:val="000000" w:themeColor="text1"/>
        </w:rPr>
        <w:t xml:space="preserve"> or at risk of malnutrition because they have acute or chronic illness</w:t>
      </w:r>
      <w:r w:rsidR="00F52127" w:rsidRPr="00F56683">
        <w:rPr>
          <w:rFonts w:cstheme="minorHAnsi"/>
          <w:color w:val="000000" w:themeColor="text1"/>
        </w:rPr>
        <w:t>,</w:t>
      </w:r>
      <w:r w:rsidR="004F4AF8" w:rsidRPr="00F56683">
        <w:rPr>
          <w:rFonts w:cstheme="minorHAnsi"/>
          <w:color w:val="000000" w:themeColor="text1"/>
        </w:rPr>
        <w:t xml:space="preserve"> should consume 1.2-1.5 g/kg BM/d and protein intakes should be even higher in individuals with severe illness or injury. In the “oldest old” and those that are frail or experience episodes of muscle disuse, due to disease and/or extended periods of bedrest, protein intakes recommendations are in the region of &gt;1.6g/kg BM/d to try to </w:t>
      </w:r>
      <w:r w:rsidR="004F4AF8" w:rsidRPr="00F56683">
        <w:rPr>
          <w:rFonts w:cstheme="minorHAnsi"/>
          <w:color w:val="000000" w:themeColor="text1"/>
        </w:rPr>
        <w:lastRenderedPageBreak/>
        <w:t xml:space="preserve">combat inactivity-induced muscle mass declines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{"citationItems":[{"id":"ITEM-1","itemData":{"DOI":"10.1016/j.clnu.2014.04.007","ISSN":"15321983","abstract":"The aging process is associated with gradual and progressive loss of muscle mass along with lowered strength and physical endurance. This condition, sarcopenia, has been widely observed with aging in sedentary adults. Regular aerobic and resistance exercise programs have been shown to counteract most aspects of sarcopenia. In addition, good nutrition, especially adequate protein and energy intake, can help limit and treat age-related declines in muscle mass, strength, and functional abilities. Protein nutrition in combination with exercise is considered optimal for maintaining muscle function. With the goal of providing recommendations for health care professionals to help older adults sustain muscle strength and function into older age, the European Society for Clinical Nutrition and Metabolism (ESPEN) hosted a Workshop on Protein Requirements in the Elderly, held in Dubrovnik on November 24 and 25, 2013. Based on the evidence presented and discussed, the following recommendations are made (a) for healthy older people, the diet should provide at least 1.0-1.2g protein/kg body weight/day, (b) for older people who are malnourished or at risk of malnutrition because they have acute or chronic illness, the diet should provide 1.2-1.5g protein/kg body weight/day, with even higher intake for individuals with severe illness or injury, and (c) daily physical activity or exercise (resistance training, aerobic exercise) should be undertaken by all older people, for as long as possible.","author":[{"dropping-particle":"","family":"Deutz","given":"Nicolaas E.P.","non-dropping-particle":"","parse-names":false,"suffix":""},{"dropping-particle":"","family":"Bauer","given":"Jürgen M.","non-dropping-particle":"","parse-names":false,"suffix":""},{"dropping-particle":"","family":"Barazzoni","given":"Rocco","non-dropping-particle":"","parse-names":false,"suffix":""},{"dropping-particle":"","family":"Biolo","given":"Gianni","non-dropping-particle":"","parse-names":false,"suffix":""},{"dropping-particle":"","family":"Boirie","given":"Yves","non-dropping-particle":"","parse-names":false,"suffix":""},{"dropping-particle":"","family":"Bosy-Westphal","given":"Anja","non-dropping-particle":"","parse-names":false,"suffix":""},{"dropping-particle":"","family":"Cederholm","given":"Tommy","non-dropping-particle":"","parse-names":false,"suffix":""},{"dropping-particle":"","family":"Cruz-Jentoft","given":"Alfonso","non-dropping-particle":"","parse-names":false,"suffix":""},{"dropping-particle":"","family":"Krznariç","given":"Zeljko","non-dropping-particle":"","parse-names":false,"suffix":""},{"dropping-particle":"","family":"Nair","given":"K. Sreekumaran","non-dropping-particle":"","parse-names":false,"suffix":""},{"dropping-particle":"","family":"Singer","given":"Pierre","non-dropping-particle":"","parse-names":false,"suffix":""},{"dropping-particle":"","family":"Teta","given":"Daniel","non-dropping-particle":"","parse-names":false,"suffix":""},{"dropping-particle":"","family":"Tipton","given":"Kevin","non-dropping-particle":"","parse-names":false,"suffix":""},{"dropping-particle":"","family":"Calder","given":"Philip C.","non-dropping-particle":"","parse-names":false,"suffix":""}],"container-title":"Clinical Nutrition","id":"ITEM-1","issued":{"date-parts":[["2014"]]},"title":"Protein intake and exercise for optimal muscle function with aging: Recommendations from the ESPEN Expert Group","type":"article-journal"},"uris":["http://www.mendeley.com/documents/?uuid=73b791c1-3d5a-31ed-b150-70a06082da9b"]}],"mendeley":{"formattedCitation":"(88)","plainTextFormattedCitation":"(88)","previouslyFormattedCitation":"(88)"},"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(88)</w:t>
      </w:r>
      <w:r w:rsidR="004F4AF8" w:rsidRPr="00F56683">
        <w:rPr>
          <w:rFonts w:cstheme="minorHAnsi"/>
          <w:color w:val="000000" w:themeColor="text1"/>
        </w:rPr>
        <w:fldChar w:fldCharType="end"/>
      </w:r>
      <w:r w:rsidR="004F4AF8" w:rsidRPr="00F56683">
        <w:rPr>
          <w:rFonts w:cstheme="minorHAnsi"/>
          <w:color w:val="000000" w:themeColor="text1"/>
        </w:rPr>
        <w:t xml:space="preserve">. When comparisons have been made in long-term studies between older individuals who consumed the RDA levels of protein against those that consume &gt;1.2 g protein/day, declines in muscle are more apparent in those eating less protein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{"citationItems":[{"id":"ITEM-1","itemData":{"DOI":"10.1093/ajcn/87.1.150","ISSN":"0002-9165","PMID":"18175749","abstract":"BACKGROUND Dietary surveys suggest that many older, community-dwelling adults consume insufficient dietary protein, which may contribute to the age-related loss of lean mass (LM). OBJECTIVE The objective of the study was to determine the association between dietary protein and changes in total LM and nonbone appendicular LM (aLM) in older, community-dwelling men and women. DESIGN Dietary protein intake was assessed by using an interviewer-administered 108-item food-frequency questionnaire in men and women aged 70-79 y who were participating in the Health, Aging, and Body Composition study (n=2066). Changes in LM and aLM over 3 y were measured by using dual-energy X-ray absorptiometry. The association between protein intake and 3-y changes in LM and aLM was examined by using multiple linear regression analysis adjusted for potential confounders. RESULTS After adjustment for potential confounders, energy-adjusted protein intake was associated with 3-y changes in LM [beta (SE): 8.76 (3.00), P=0.004] and aLM [beta (SE): 5.31 (1.64), P=0.001]. Participants in the highest quintile of protein intake lost approximately 40% less LM and aLM than did those in the lowest quintile of protein intake (x+/-SE: -0.501+/-0.106 kg compared with -0.883+/-0.104 kg for LM; -0.400+/-0.058 kg compared with -0.661+/-0.057 kg for aLM; P for trend&lt;0.01). The associations were attenuated slightly after adjustment for change in fat mass, but the results remained significant. CONCLUSION Dietary protein may be a modifiable risk factor for sarcopenia in older adults and should be studied further to determine its effects on preserving LM in this population.","author":[{"dropping-particle":"","family":"Houston","given":"Denise K","non-dropping-particle":"","parse-names":false,"suffix":""},{"dropping-particle":"","family":"Nicklas","given":"Barbara J","non-dropping-particle":"","parse-names":false,"suffix":""},{"dropping-particle":"","family":"Ding","given":"Jingzhong","non-dropping-particle":"","parse-names":false,"suffix":""},{"dropping-particle":"","family":"Harris","given":"Tamara B","non-dropping-particle":"","parse-names":false,"suffix":""},{"dropping-particle":"","family":"Tylavsky","given":"Frances A","non-dropping-particle":"","parse-names":false,"suffix":""},{"dropping-particle":"","family":"Newman","given":"Anne B","non-dropping-particle":"","parse-names":false,"suffix":""},{"dropping-particle":"","family":"Lee","given":"Jung Sun","non-dropping-particle":"","parse-names":false,"suffix":""},{"dropping-particle":"","family":"Sahyoun","given":"Nadine R","non-dropping-particle":"","parse-names":false,"suffix":""},{"dropping-particle":"","family":"Visser","given":"Marjolein","non-dropping-particle":"","parse-names":false,"suffix":""},{"dropping-particle":"","family":"Kritchevsky","given":"Stephen B","non-dropping-particle":"","parse-names":false,"suffix":""},{"dropping-particle":"","family":"Health ABC Study","given":"","non-dropping-particle":"","parse-names":false,"suffix":""}],"container-title":"The American Journal of Clinical Nutrition","id":"ITEM-1","issue":"1","issued":{"date-parts":[["2008","1","1"]]},"page":"150-155","title":"Dietary protein intake is associated with lean mass change in older, community-dwelling adults: the Health, Aging, and Body Composition (Health ABC) Study","type":"article-journal","volume":"87"},"uris":["http://www.mendeley.com/documents/?uuid=77a3aa07-8197-38bc-b4be-102b8b77497b"]}],"mendeley":{"formattedCitation":"(89)","plainTextFormattedCitation":"(89)","previouslyFormattedCitation":"(89)"},"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(89)</w:t>
      </w:r>
      <w:r w:rsidR="004F4AF8" w:rsidRPr="00F56683">
        <w:rPr>
          <w:rFonts w:cstheme="minorHAnsi"/>
          <w:color w:val="000000" w:themeColor="text1"/>
        </w:rPr>
        <w:fldChar w:fldCharType="end"/>
      </w:r>
      <w:r w:rsidR="004F4AF8" w:rsidRPr="00F56683">
        <w:rPr>
          <w:rFonts w:cstheme="minorHAnsi"/>
          <w:color w:val="000000" w:themeColor="text1"/>
        </w:rPr>
        <w:t xml:space="preserve">. Consuming adequate protein throughout the life course is warranted and has been linked to clinical and mortality outcomes, including metabolic syndrome and cardiovascular disease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{"citationItems":[{"id":"ITEM-1","itemData":{"DOI":"10.1136/JECH-2019-212268","ISSN":"1470-2738","PMID":"31712252","abstract":"Background Skeletal muscle mass (SMM) is inversely associated with cardiometabolic health and the ageing process. The aim of the present work was to evaluate the relation between SMM and 10 year cardiovascular disease (CVD) incidence, among CVD-free adults 45+ years old. Methods ATTICA is a prospective, population-based study that recruited 3042 adults without pre-existing CVD from the Greek general population (Caucasians; age ≥18 years; 1514 men). The 10 year study follow-up (2011-2012) captured the fatal/non-fatal CVD incidence in 2020 participants (50% men). The working sample consisted of 1019 participants, 45+ years old (men: n=534; women: n=485). A skeletal muscle mass index (SMI) was created to reflect SMM, using appendicular skeletal muscle mass (ASM) standardised by body mass index (BMI). ASM and SMI were calculated with specific indirect population formulas. Results The 10 year CVD incidence increased significantly across the baseline SMI tertiles (p&lt;0.001). Baseline SMM showed a significant inverse association with the 10 year CVD incidence (HR 0.06, 95% CI 0.005 to 0.78), even after adjusting for various confounders. Additionally, participants in the highest SMM tertile had 81% (95% CI 0.04 to 0.85) lower risk for a CVD event as compared with those in the lowest SMM tertile. Conclusions The presented findings support the importance of SMM evaluation in the prediction of long-term CVD risk among adults 45+ years old without pre-existing CVD. Preservation of SMM may contribute to CVD health.","author":[{"dropping-particle":"","family":"Tyrovolas","given":"Stefanos","non-dropping-particle":"","parse-names":false,"suffix":""},{"dropping-particle":"","family":"Panagiotakos","given":"Demosthenes","non-dropping-particle":"","parse-names":false,"suffix":""},{"dropping-particle":"","family":"Georgousopoulou","given":"Ekavi","non-dropping-particle":"","parse-names":false,"suffix":""},{"dropping-particle":"","family":"Chrysohoou","given":"Christina","non-dropping-particle":"","parse-names":false,"suffix":""},{"dropping-particle":"","family":"Tousoulis","given":"Dimitrios","non-dropping-particle":"","parse-names":false,"suffix":""},{"dropping-particle":"","family":"Haro","given":"Josep Maria","non-dropping-particle":"","parse-names":false,"suffix":""},{"dropping-particle":"","family":"Pitsavos","given":"Christos","non-dropping-particle":"","parse-names":false,"suffix":""}],"container-title":"Journal of epidemiology and community health","id":"ITEM-1","issue":"1","issued":{"date-parts":[["2020","1","1"]]},"page":"26-31","publisher":"J Epidemiol Community Health","title":"Skeletal muscle mass in relation to 10 year cardiovascular disease incidence among middle aged and older adults: the ATTICA study","type":"article-journal","volume":"74"},"uris":["http://www.mendeley.com/documents/?uuid=035a68cd-b702-389e-9ff7-a8590dba0a17"]}],"mendeley":{"formattedCitation":"(90)","plainTextFormattedCitation":"(90)","previouslyFormattedCitation":"(90)"},"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(90)</w:t>
      </w:r>
      <w:r w:rsidR="004F4AF8" w:rsidRPr="00F56683">
        <w:rPr>
          <w:rFonts w:cstheme="minorHAnsi"/>
          <w:color w:val="000000" w:themeColor="text1"/>
        </w:rPr>
        <w:fldChar w:fldCharType="end"/>
      </w:r>
      <w:r w:rsidR="004F4AF8" w:rsidRPr="00F56683">
        <w:rPr>
          <w:rFonts w:cstheme="minorHAnsi"/>
          <w:color w:val="000000" w:themeColor="text1"/>
        </w:rPr>
        <w:t xml:space="preserve">. In terms of </w:t>
      </w:r>
      <w:r w:rsidR="001670F9" w:rsidRPr="00F56683">
        <w:rPr>
          <w:rFonts w:cstheme="minorHAnsi"/>
          <w:color w:val="000000" w:themeColor="text1"/>
        </w:rPr>
        <w:t>s</w:t>
      </w:r>
      <w:r w:rsidR="004F4AF8" w:rsidRPr="00F56683">
        <w:rPr>
          <w:rFonts w:cstheme="minorHAnsi"/>
          <w:color w:val="000000" w:themeColor="text1"/>
        </w:rPr>
        <w:t>arcopenia, if protein is not consumed in sufficient quantities, protein synthesis rates may not outweigh protein breakdown rate</w:t>
      </w:r>
      <w:r w:rsidRPr="00F56683">
        <w:rPr>
          <w:rFonts w:cstheme="minorHAnsi"/>
          <w:color w:val="000000" w:themeColor="text1"/>
        </w:rPr>
        <w:t>s</w:t>
      </w:r>
      <w:r w:rsidR="004F4AF8" w:rsidRPr="00F56683">
        <w:rPr>
          <w:rFonts w:cstheme="minorHAnsi"/>
          <w:color w:val="000000" w:themeColor="text1"/>
        </w:rPr>
        <w:t xml:space="preserve">, ultimately leading to skeletal muscle losses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{"citationItems":[{"id":"ITEM-1","itemData":{"DOI":"10.1097/MCO.0b013e32831cef8b","ISSN":"13631950","abstract":"PURPOSE OF REVIEW To draw attention to recent work on the role of protein and the amount of protein needed with each meal to preserve skeletal muscle mass in ageing. RECENT FINDINGS Ageing does not inevitably reduce the anabolic response to a high-quality protein meal. Ingestion of approximately 25-30 g of protein per meal maximally stimulates muscle protein synthesis in both young and older individuals. However, muscle protein synthesis is blunted in elderly when protein and carbohydrate are coingested or when the quantity of protein is less than approximately 20 g per meal. Supplementing regular mixed-nutrient meals with leucine may also enhance the muscle protein synthetic response in elders. SUMMARY On the basis of recent work, we propose a novel and specific dietary approach to prevent or slow down muscle loss with ageing. Rather than recommending a large, global increase in the recommended dietary allowance (RDA) for protein for all elderly individuals, clinicians should stress the importance of ingesting a sufficient amount of protein with each meal. To maximize muscle protein synthesis while being cognizant of total energy intake, we propose a dietary plan that includes 25-30 g of high quality protein per meal.","author":[{"dropping-particle":"","family":"Paddon-Jones","given":"Douglas","non-dropping-particle":"","parse-names":false,"suffix":""},{"dropping-particle":"","family":"Rasmussen","given":"Blake B.","non-dropping-particle":"","parse-names":false,"suffix":""}],"container-title":"Current Opinion in Clinical Nutrition and Metabolic Care","id":"ITEM-1","issued":{"date-parts":[["2009"]]},"title":"Dietary protein recommendations and the prevention of sarcopenia","type":"article"},"uris":["http://www.mendeley.com/documents/?uuid=f5a88f4d-519a-356d-a370-cf9af0ab8b32"]}],"mendeley":{"formattedCitation":"(91)","plainTextFormattedCitation":"(91)","previouslyFormattedCitation":"(91)"},"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(91)</w:t>
      </w:r>
      <w:r w:rsidR="004F4AF8" w:rsidRPr="00F56683">
        <w:rPr>
          <w:rFonts w:cstheme="minorHAnsi"/>
          <w:color w:val="000000" w:themeColor="text1"/>
        </w:rPr>
        <w:fldChar w:fldCharType="end"/>
      </w:r>
      <w:r w:rsidR="004F4AF8" w:rsidRPr="00F56683">
        <w:rPr>
          <w:rFonts w:cstheme="minorHAnsi"/>
          <w:color w:val="000000" w:themeColor="text1"/>
        </w:rPr>
        <w:t xml:space="preserve">.  </w:t>
      </w:r>
    </w:p>
    <w:p w14:paraId="210B8199" w14:textId="77777777" w:rsidR="004F4AF8" w:rsidRPr="00F56683" w:rsidRDefault="004F4AF8" w:rsidP="00F42CB9">
      <w:pPr>
        <w:spacing w:line="360" w:lineRule="auto"/>
        <w:rPr>
          <w:rFonts w:cstheme="minorHAnsi"/>
          <w:color w:val="000000" w:themeColor="text1"/>
        </w:rPr>
      </w:pPr>
    </w:p>
    <w:p w14:paraId="51777DD5" w14:textId="57C28989" w:rsidR="004F4AF8" w:rsidRPr="00F56683" w:rsidRDefault="004F4AF8" w:rsidP="00F42CB9">
      <w:pPr>
        <w:spacing w:line="360" w:lineRule="auto"/>
        <w:rPr>
          <w:rFonts w:cstheme="minorHAnsi"/>
          <w:color w:val="000000" w:themeColor="text1"/>
          <w:shd w:val="clear" w:color="auto" w:fill="FFFFFF"/>
        </w:rPr>
      </w:pPr>
      <w:r w:rsidRPr="00F56683">
        <w:rPr>
          <w:rFonts w:cstheme="minorHAnsi"/>
          <w:color w:val="000000" w:themeColor="text1"/>
        </w:rPr>
        <w:t>Based on benefits that have been linked to protein intake, it is often now promoted as a ‘health food’ product. Despite the need for protein intakes to be sufficient throughout the lifespan, protein products are often targeted at</w:t>
      </w:r>
      <w:r w:rsidR="00F52127" w:rsidRPr="00F56683">
        <w:rPr>
          <w:rFonts w:cstheme="minorHAnsi"/>
          <w:color w:val="000000" w:themeColor="text1"/>
        </w:rPr>
        <w:t xml:space="preserve"> younger-aged</w:t>
      </w:r>
      <w:r w:rsidRPr="00F56683">
        <w:rPr>
          <w:rFonts w:cstheme="minorHAnsi"/>
          <w:color w:val="000000" w:themeColor="text1"/>
        </w:rPr>
        <w:t xml:space="preserve"> gym</w:t>
      </w:r>
      <w:r w:rsidR="00306CB0" w:rsidRPr="00F56683">
        <w:rPr>
          <w:rFonts w:cstheme="minorHAnsi"/>
          <w:color w:val="000000" w:themeColor="text1"/>
        </w:rPr>
        <w:t xml:space="preserve"> </w:t>
      </w:r>
      <w:r w:rsidRPr="00F56683">
        <w:rPr>
          <w:rFonts w:cstheme="minorHAnsi"/>
          <w:color w:val="000000" w:themeColor="text1"/>
        </w:rPr>
        <w:t>users or athletes</w:t>
      </w:r>
      <w:r w:rsidR="00F52127" w:rsidRPr="00F56683">
        <w:rPr>
          <w:rFonts w:cstheme="minorHAnsi"/>
          <w:color w:val="000000" w:themeColor="text1"/>
        </w:rPr>
        <w:t>.</w:t>
      </w:r>
      <w:r w:rsidRPr="00F56683">
        <w:rPr>
          <w:rFonts w:cstheme="minorHAnsi"/>
          <w:color w:val="000000" w:themeColor="text1"/>
        </w:rPr>
        <w:t xml:space="preserve"> As a reflection of this, research in this field has tended to prioritise this demographic. Protein supplement use prevalence data has largely been undertaken in these populations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{"citationItems":[{"id":"ITEM-1","itemData":{"DOI":"10.1155/2022/4150620","ISSN":"20900732","PMID":"35223095","abstract":"The aims of this study were first to evaluate the nutritional knowledge, perception, and source of nutrition information among resistance-trained individuals consuming protein supplements (PS), to determine whether a correlation exists between nutrition-related knowledge and the use of PS, and finally to compare the impact of PS use among participants classified as nonprotein supplement users (NPSUs) and protein supplement users (PSUs). A cross-sectional study was conducted among a highly selected group of resistance-specialized trainees (RSTs). Among the 100 RST participants recruited, the Internet and coaches were the most common source of nutritional information. About one-third of participants believed that there were no health risks after consuming PS. Both NPSU and PSU exhibit performance improvement that was significantly lessened in PSU compared to NPSU. This study demonstrated that RST may have misconceptions regarding the benefits of PS usage to increase strength. Our data also suggest a shortage of knowledge about PS and confirm that PSUs lack proper professional guidance. These findings highlight the need for proper monitoring to ensure adequate perception, awareness, and safety in the Lebanese sports sector.","author":[{"dropping-particle":"","family":"Saleh","given":"Khadije K.","non-dropping-particle":"","parse-names":false,"suffix":""},{"dropping-particle":"","family":"Julien","given":"Sofi G.","non-dropping-particle":"","parse-names":false,"suffix":""}],"container-title":"Journal of Nutrition and Metabolism","id":"ITEM-1","issued":{"date-parts":[["2022"]]},"publisher":"Hindawi Limited","title":"Protein Supplement Perceptions, Use, and Associated Performance in Young Lebanese Resistance-Training Athletes","type":"article-journal","volume":"2022"},"uris":["http://www.mendeley.com/documents/?uuid=137d215b-a966-359e-b03e-324c1e7aab42"]},{"id":"ITEM-2","itemData":{"DOI":"10.1590/S0212-16112011000500037","ISBN":"1699-5198","ISSN":"1699-5198","PMID":"22072369","abstract":"At the present time, the abuse of all class of sport nutritional supplements (NS) has extended the people who go regularly to gymnasiums. Between these substances there are the Protein Powder Supplements (PPS). The purpose of this study is to examine the consumption of PPS in 415 individuals from Seville fitness centers. All individuals were evaluated with anthropometric measurements and completed a questionnaire previously reviewed, evaluating the validity of the content, application, structure and presentation. 28% of the individuals were using or used PPS. Of the total, 42.7% of male individuals compared to 3.2% of the females. The use of PPS was higher than what has been reported in previous studies about supplement use in fitness center, 28% vs 10-14% aprox. The SPP use is associated with sex, age, and time of sport practiced. More than a 25% of the total individuals that attend a gym use PPS. The total individuals that attend a gym and use PPS far exceed the RDA of protein for general population and/or athletes, being able to cause problems of health.","author":[{"dropping-particle":"","family":"Sánchez Oliver","given":"a","non-dropping-particle":"","parse-names":false,"suffix":""},{"dropping-particle":"","family":"Miranda León","given":"Ma T","non-dropping-particle":"","parse-names":false,"suffix":""},{"dropping-particle":"","family":"Guerra-Hernández","given":"E","non-dropping-particle":"","parse-names":false,"suffix":""}],"container-title":"Nutricion hospitalaria","id":"ITEM-2","issue":"5","issued":{"date-parts":[["2011"]]},"page":"1168-74","publisher":"Nutr Hosp","title":"Prevalence of protein supplement use at gyms","type":"article-journal","volume":"26"},"uris":["http://www.mendeley.com/documents/?uuid=78ae5de8-a528-3da8-8a0e-122204602ae9"]},{"id":"ITEM-3","itemData":{"DOI":"10.1186/S12970-019-0294-7/FIGURES/4","ISSN":"15502783","PMID":"31272457","abstract":"Background: The aim of this international study was to investigate the prevalence of the use of sports supplements among young athletes, as well as their knowledge and attitudes towards sports supplementation. Methods: Organized survey study testing the level of knowledge, attitudes, beliefs and practices concerning the use of sports supplements was administered to 348 athletes, 15-18 year olds from 4 countries competing in 18 sports at the international level. Results: The prevalence rate of the intake of sports supplements was 82.2%, with the protein supplements being predominant (54.5%). Coaches were identified as the primary source of information regarding supplementation (41.4%). The enhancement of athletic performance (35.4%) was the major motivation for the supplements intake. The majority of athletes (72.1%) were aware of associated health risks. The young athletes possess varying levels of knowledge regarding their own supplementation. The obtained data about the level of knowledge were statistically analyzed using the correspondence analysis. Less than 40% of athletes had the knowledge about the proper and intended use of protein, creatine, amino acids, beta alanine and glutamine, while they had greater understanding about vitamins and minerals, sports drinks and caffeine. The athletes in developed countries had greater access and utilization of professional resources such as dieticians. Young athletes are still unfamiliar with WADA regulations (55.5%), and the misuse of sports supplements represents an ethical dilemma for some. Conclusion: These findings indicate the necessity of a comprehensive education of all team members about sports supplements and careful supervision of the athletic development of young athletes.","author":[{"dropping-particle":"","family":"Jovanov","given":"Pavle","non-dropping-particle":"","parse-names":false,"suffix":""},{"dropping-particle":"","family":"Đorđić","given":"Višnja","non-dropping-particle":"","parse-names":false,"suffix":""},{"dropping-particle":"","family":"Obradović","given":"Borislav","non-dropping-particle":"","parse-names":false,"suffix":""},{"dropping-particle":"","family":"Barak","given":"Otto","non-dropping-particle":"","parse-names":false,"suffix":""},{"dropping-particle":"","family":"Pezo","given":"Lato","non-dropping-particle":"","parse-names":false,"suffix":""},{"dropping-particle":"","family":"Marić","given":"Aleksandar","non-dropping-particle":"","parse-names":false,"suffix":""},{"dropping-particle":"","family":"Sakač","given":"Marijana","non-dropping-particle":"","parse-names":false,"suffix":""}],"container-title":"Journal of the International Society of Sports Nutrition","id":"ITEM-3","issue":"1","issued":{"date-parts":[["2019","7","4"]]},"page":"1-9","publisher":"BioMed Central Ltd.","title":"Prevalence, knowledge and attitudes towards using sports supplements among young athletes","type":"article-journal","volume":"16"},"uris":["http://www.mendeley.com/documents/?uuid=74e421de-4ca4-32f4-b948-650408552e62"]},{"id":"ITEM-4","itemData":{"DOI":"10.1186/S12970-020-00342-Z/FIGURES/3","ISSN":"15502783","PMID":"32093724","abstract":"Background: Although there seems to be an increasing interest in the use of dietary supplements in those who exercise recreationally and want to improve body composition, there is little published data regarding gym users and dietary supplement use. Methods: This cross-sectional study describes the prevalence and type of supplements used by gyms members, the reasons for using them and the information source using a self-administered online questionnaire. Results: Of the 459 participants (301 females) who answered the survey, 43.8% reported using dietary supplements. Users were more likely men (62.7% vs. 33.9%, p &lt; 0.05), younger (32 ± 9 vs. 34 ± 11 years, p &lt; 0.05) and trained more hours per week (6 ± 3 vs 4 ± 3 h, p &lt; 0.05) than non-users. The most consumed supplements were proteins (80.1%), multivitamins and/or minerals (38.3%), sport bars (37.3%), branched-chain amino acids (BCAA's) (36.8%) and n-3 fatty acids (35.5%). Men consumed more arginine, BCAA's, creatine, glutamine, β-hydroxy-β-methylbutyrate (HMB), proteins, β-alanine, taurine, multivitamin/minerals, and carbohydrate supplements (p &lt; 0.05). The most commonly cited reasons for the use of supplements were gaining muscle (55.7%), accelerating recovery (52.7%) and improving performance (47.3%). Men have more often referred increase strength, increase resistance, gain muscle mass, accelerate recovery and improve performance as reasons to use supplements than women (p &lt; 0.05). Those who mentioned muscle gain as a reason were younger than those who did not (30.4 years vs. 33.7 years, p &lt; 0.05). The sources of information most mentioned were registered dietitians (23.1%), internet (22.2%) and him/herself (16.6%). The majority (&gt; 70%) of participants declared being well or very well informed about supplements, while only a minority (4%) felt very poorly or poorly informed. Most individuals purchased dietary supplements from the internet (56.2%) and supplement/health food stores (43.4%). Conclusion: This study concluded that gyms users are large consumers of dietary supplements, and are more likely to be men, young, use protein powders, aiming to increase muscle mass, obtain information from registered dietitians, consider themselves well informed and buy supplements online.","author":[{"dropping-particle":"","family":"Ruano","given":"Joaõ","non-dropping-particle":"","parse-names":false,"suffix":""},{"dropping-particle":"","family":"Teixeira","given":"Vitor Hugo","non-dropping-particle":"","parse-names":false,"suffix":""}],"container-title":"Journal of the International Society of Sports Nutrition","id":"ITEM-4","issue":"1","issued":{"date-parts":[["2020","2","24"]]},"page":"1-8","publisher":"BioMed Central Ltd.","title":"Prevalence of dietary supplement use by gym members in Portugal and associated factors","type":"article-journal","volume":"17"},"uris":["http://www.mendeley.com/documents/?uuid=3d0751e3-6768-3b8b-b002-50d55025899f"]}],"mendeley":{"formattedCitation":"(92–95)","plainTextFormattedCitation":"(92–95)","previouslyFormattedCitation":"(92–95)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(92–95)</w:t>
      </w:r>
      <w:r w:rsidRPr="00F56683">
        <w:rPr>
          <w:rFonts w:cstheme="minorHAnsi"/>
          <w:color w:val="000000" w:themeColor="text1"/>
        </w:rPr>
        <w:fldChar w:fldCharType="end"/>
      </w:r>
      <w:r w:rsidRPr="00F56683">
        <w:rPr>
          <w:rFonts w:cstheme="minorHAnsi"/>
          <w:color w:val="000000" w:themeColor="text1"/>
        </w:rPr>
        <w:t xml:space="preserve">. Similar populations are used to understand the drivers of supplement usage. A cross-sectional study conducted in Portugal </w:t>
      </w:r>
      <w:r w:rsidR="00F52127" w:rsidRPr="00F56683">
        <w:rPr>
          <w:rFonts w:cstheme="minorHAnsi"/>
          <w:color w:val="000000" w:themeColor="text1"/>
        </w:rPr>
        <w:t>looking</w:t>
      </w:r>
      <w:r w:rsidRPr="00F56683">
        <w:rPr>
          <w:rFonts w:cstheme="minorHAnsi"/>
          <w:color w:val="000000" w:themeColor="text1"/>
        </w:rPr>
        <w:t xml:space="preserve"> at the use of supplements amongst gym members found that the most commonly cited reasons for supplement use w</w:t>
      </w:r>
      <w:r w:rsidR="00306CB0" w:rsidRPr="00F56683">
        <w:rPr>
          <w:rFonts w:cstheme="minorHAnsi"/>
          <w:color w:val="000000" w:themeColor="text1"/>
        </w:rPr>
        <w:t>ere</w:t>
      </w:r>
      <w:r w:rsidRPr="00F56683">
        <w:rPr>
          <w:rFonts w:cstheme="minorHAnsi"/>
          <w:color w:val="000000" w:themeColor="text1"/>
        </w:rPr>
        <w:t xml:space="preserve"> </w:t>
      </w:r>
      <w:r w:rsidRPr="00F56683">
        <w:rPr>
          <w:rFonts w:cstheme="minorHAnsi"/>
          <w:color w:val="000000" w:themeColor="text1"/>
          <w:shd w:val="clear" w:color="auto" w:fill="FFFFFF"/>
        </w:rPr>
        <w:t xml:space="preserve">for gaining muscle (55.7%), accelerating recovery (52.7%) and improving performance (47.3%)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{"citationItems":[{"id":"ITEM-1","itemData":{"DOI":"10.1186/S12970-020-00342-Z/FIGURES/3","ISSN":"15502783","PMID":"32093724","abstract":"Background: Although there seems to be an increasing interest in the use of dietary supplements in those who exercise recreationally and want to improve body composition, there is little published data regarding gym users and dietary supplement use. Methods: This cross-sectional study describes the prevalence and type of supplements used by gyms members, the reasons for using them and the information source using a self-administered online questionnaire. Results: Of the 459 participants (301 females) who answered the survey, 43.8% reported using dietary supplements. Users were more likely men (62.7% vs. 33.9%, p &lt; 0.05), younger (32 ± 9 vs. 34 ± 11 years, p &lt; 0.05) and trained more hours per week (6 ± 3 vs 4 ± 3 h, p &lt; 0.05) than non-users. The most consumed supplements were proteins (80.1%), multivitamins and/or minerals (38.3%), sport bars (37.3%), branched-chain amino acids (BCAA's) (36.8%) and n-3 fatty acids (35.5%). Men consumed more arginine, BCAA's, creatine, glutamine, β-hydroxy-β-methylbutyrate (HMB), proteins, β-alanine, taurine, multivitamin/minerals, and carbohydrate supplements (p &lt; 0.05). The most commonly cited reasons for the use of supplements were gaining muscle (55.7%), accelerating recovery (52.7%) and improving performance (47.3%). Men have more often referred increase strength, increase resistance, gain muscle mass, accelerate recovery and improve performance as reasons to use supplements than women (p &lt; 0.05). Those who mentioned muscle gain as a reason were younger than those who did not (30.4 years vs. 33.7 years, p &lt; 0.05). The sources of information most mentioned were registered dietitians (23.1%), internet (22.2%) and him/herself (16.6%). The majority (&gt; 70%) of participants declared being well or very well informed about supplements, while only a minority (4%) felt very poorly or poorly informed. Most individuals purchased dietary supplements from the internet (56.2%) and supplement/health food stores (43.4%). Conclusion: This study concluded that gyms users are large consumers of dietary supplements, and are more likely to be men, young, use protein powders, aiming to increase muscle mass, obtain information from registered dietitians, consider themselves well informed and buy supplements online.","author":[{"dropping-particle":"","family":"Ruano","given":"Joaõ","non-dropping-particle":"","parse-names":false,"suffix":""},{"dropping-particle":"","family":"Teixeira","given":"Vitor Hugo","non-dropping-particle":"","parse-names":false,"suffix":""}],"container-title":"Journal of the International Society of Sports Nutrition","id":"ITEM-1","issue":"1","issued":{"date-parts":[["2020","2","24"]]},"page":"1-8","publisher":"BioMed Central Ltd.","title":"Prevalence of dietary supplement use by gym members in Portugal and associated factors","type":"article-journal","volume":"17"},"uris":["http://www.mendeley.com/documents/?uuid=3d0751e3-6768-3b8b-b002-50d55025899f"]}],"mendeley":{"formattedCitation":"(95)","plainTextFormattedCitation":"(95)","previouslyFormattedCitation":"(95)"},"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(95)</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 xml:space="preserve">. In this cohort, only 12.5% of reported reasons for supplement use were to prevent or treat disease/injuries.  </w:t>
      </w:r>
    </w:p>
    <w:p w14:paraId="70233782" w14:textId="77777777" w:rsidR="004F4AF8" w:rsidRPr="00F56683" w:rsidRDefault="004F4AF8" w:rsidP="00F42CB9">
      <w:pPr>
        <w:spacing w:line="360" w:lineRule="auto"/>
        <w:rPr>
          <w:rFonts w:cstheme="minorHAnsi"/>
          <w:color w:val="000000" w:themeColor="text1"/>
          <w:shd w:val="clear" w:color="auto" w:fill="FFFFFF"/>
        </w:rPr>
      </w:pPr>
    </w:p>
    <w:p w14:paraId="12155BFB" w14:textId="03FC3F00" w:rsidR="004F4AF8" w:rsidRPr="00F56683" w:rsidRDefault="004F4AF8" w:rsidP="00F42CB9">
      <w:pPr>
        <w:pStyle w:val="Heading3"/>
        <w:spacing w:line="360" w:lineRule="auto"/>
        <w:rPr>
          <w:rFonts w:asciiTheme="minorHAnsi" w:hAnsiTheme="minorHAnsi" w:cstheme="minorHAnsi"/>
          <w:color w:val="000000" w:themeColor="text1"/>
        </w:rPr>
      </w:pPr>
      <w:bookmarkStart w:id="50" w:name="_Toc135384248"/>
      <w:r w:rsidRPr="00F56683">
        <w:rPr>
          <w:rFonts w:asciiTheme="minorHAnsi" w:hAnsiTheme="minorHAnsi" w:cstheme="minorHAnsi"/>
          <w:color w:val="000000" w:themeColor="text1"/>
        </w:rPr>
        <w:t>1.3.1 Protein Interventions on muscle</w:t>
      </w:r>
      <w:bookmarkEnd w:id="50"/>
    </w:p>
    <w:p w14:paraId="5876796F" w14:textId="2510053E" w:rsidR="004F4AF8" w:rsidRPr="00F56683" w:rsidRDefault="004F2F1A" w:rsidP="00F42CB9">
      <w:pPr>
        <w:spacing w:line="360" w:lineRule="auto"/>
        <w:rPr>
          <w:rFonts w:cstheme="minorHAnsi"/>
          <w:color w:val="000000" w:themeColor="text1"/>
        </w:rPr>
      </w:pPr>
      <w:r w:rsidRPr="00F56683">
        <w:rPr>
          <w:rFonts w:cstheme="minorHAnsi"/>
          <w:color w:val="000000" w:themeColor="text1"/>
        </w:rPr>
        <w:t>R</w:t>
      </w:r>
      <w:r w:rsidR="004F4AF8" w:rsidRPr="00F56683">
        <w:rPr>
          <w:rFonts w:cstheme="minorHAnsi"/>
          <w:color w:val="000000" w:themeColor="text1"/>
        </w:rPr>
        <w:t>andomised controlled trials, solely focusing o</w:t>
      </w:r>
      <w:r w:rsidR="00306CB0" w:rsidRPr="00F56683">
        <w:rPr>
          <w:rFonts w:cstheme="minorHAnsi"/>
          <w:color w:val="000000" w:themeColor="text1"/>
        </w:rPr>
        <w:t>n</w:t>
      </w:r>
      <w:r w:rsidR="004F4AF8" w:rsidRPr="00F56683">
        <w:rPr>
          <w:rFonts w:cstheme="minorHAnsi"/>
          <w:color w:val="000000" w:themeColor="text1"/>
        </w:rPr>
        <w:t xml:space="preserve"> protein supplementation interventions for sarcopenia prevention have </w:t>
      </w:r>
      <w:r w:rsidR="00F52127" w:rsidRPr="00F56683">
        <w:rPr>
          <w:rFonts w:cstheme="minorHAnsi"/>
          <w:color w:val="000000" w:themeColor="text1"/>
        </w:rPr>
        <w:t>found</w:t>
      </w:r>
      <w:r w:rsidR="001670F9" w:rsidRPr="00F56683">
        <w:rPr>
          <w:rFonts w:cstheme="minorHAnsi"/>
          <w:color w:val="000000" w:themeColor="text1"/>
        </w:rPr>
        <w:t xml:space="preserve"> </w:t>
      </w:r>
      <w:r w:rsidR="004F4AF8" w:rsidRPr="00F56683">
        <w:rPr>
          <w:rFonts w:cstheme="minorHAnsi"/>
          <w:color w:val="000000" w:themeColor="text1"/>
        </w:rPr>
        <w:t xml:space="preserve">equivocal results relating to muscle changes (mass/strength/function.) </w:t>
      </w:r>
      <w:r w:rsidR="003158E8">
        <w:rPr>
          <w:rFonts w:cstheme="minorHAnsi"/>
          <w:color w:val="000000" w:themeColor="text1"/>
        </w:rPr>
        <w:t>Ten H</w:t>
      </w:r>
      <w:r w:rsidR="004F4AF8" w:rsidRPr="00F56683">
        <w:rPr>
          <w:rFonts w:cstheme="minorHAnsi"/>
          <w:color w:val="000000" w:themeColor="text1"/>
        </w:rPr>
        <w:t>aaf et al</w:t>
      </w:r>
      <w:r w:rsidR="00D30D52">
        <w:rPr>
          <w:rFonts w:cstheme="minorHAnsi"/>
          <w:color w:val="000000" w:themeColor="text1"/>
        </w:rPr>
        <w:t>.</w:t>
      </w:r>
      <w:r w:rsidR="004F4AF8" w:rsidRPr="00F56683">
        <w:rPr>
          <w:rFonts w:cstheme="minorHAnsi"/>
          <w:color w:val="000000" w:themeColor="text1"/>
        </w:rPr>
        <w:t xml:space="preserve">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{"citationItems":[{"id":"ITEM-1","itemData":{"DOI":"10.1093/ajcn/nqy192 LK  - http://ze6dt7rj9y.search.serialssolutions.com?sid=EMBASE&amp;issn=19383207&amp;id=doi:10.1093%2Fajcn%2Fnqy192&amp;atitle=Effects+of+protein+supplementation+on+lean+body+mass%2C+muscle+strength%2C+and+physical+performance+in+nonfrail+community-dwelling+older+adults%3A+A+systematic+review+and+meta-analysis&amp;stitle=Am.+J.+Clin.+Nutr.&amp;title=American+Journal+of+Clinical+Nutrition&amp;volume=108&amp;issue=5&amp;spage=1043&amp;epage=1059&amp;aulast=Ten+Haaf&amp;aufirst=Dominique+S.M.&amp;auinit=D.S.M.&amp;aufull=Ten+Haaf","ISSN":"1938-3207","PMID":"30475963","abstract":"Background: Increasing protein intake has been suggested as an effective strategy to ameliorate age-related loss of muscle mass and strength. Current reviews assessing the effect of protein supplementation are strongly influenced by the inclusion of studies with frail older adults. Objectives: We assessed the effect of protein supplementation on lean body mass, muscle strength, and physical performance in exclusively nonfrail community-dwelling older adults. Moreover, we assessed the superior effects of protein supplementation during concomitant resistance exercise training on muscle characteristics. Design: A systematic literature search was conducted on PubMed, Embase, and Web of Science up to 15 May 2018. We included randomized controlled trials that assessed the effect of protein supplementation on lean body mass, muscle thigh cross-sectional area, muscle strength, gait speed, and chair-rise ability and performed random-effects meta-analyses. Results: Data from 36 studies with 1682 participants showed no significant effects of protein supplementation on changes in lean body mass [standardized mean difference (SMD): 0.11; 95% CI: −0.06, 0.28], handgrip strength (SMD: 0.58; 95% CI: −0.08, 1.24), lower extremity muscle strength (SMD: 0.03; 95% CI: −0.20, 0.27), gait speed (SMD: 0.41; 95% CI: −0.04, 0.85), or chair-rise ability (SMD: 0.10; 95%: CI −0.08, 0.28) compared with a control condition in nonfrail community-dwelling older adults. Moreover, no superior effects of protein supplementation were found during concomitant resistance exercise training on muscle characteristics. Conclusions: Protein supplementation in nonfrail community-dwelling older adults does not lead to increases in lean body mass, muscle cross-sectional area, muscle strength, or physical performance compared with control conditions; nor does it exert superior effects when added to resistance exercise training. Habitual protein intakes of most study participants were already sufficient, and protein interventions differed in terms of type of protein, amount, and timing. Future research should clarify what specific protein supplementation protocol is beneficial for nonfrail community-dwelling older adults with low habitual protein intake.","author":[{"dropping-particle":"","family":"D.S.M.","given":"Ten Haaf","non-dropping-particle":"","parse-names":false,"suffix":""},{"dropping-particle":"","family":"M.A.H.","given":"Nuijten","non-dropping-particle":"","parse-names":false,"suffix":""},{"dropping-particle":"","family":"M.F.H.","given":"Maessen","non-dropping-particle":"","parse-names":false,"suffix":""},{"dropping-particle":"","family":"A.M.H.","given":"Horstman","non-dropping-particle":"","parse-names":false,"suffix":""},{"dropping-particle":"","family":"T.M.H.","given":"Eijsvogels","non-dropping-particle":"","parse-names":false,"suffix":""},{"dropping-particle":"","family":"M.T.E.","given":"Hopman","non-dropping-particle":"","parse-names":false,"suffix":""},{"dropping-particle":"","family":"Haaf","given":"Dominique S M","non-dropping-particle":"Ten","parse-names":false,"suffix":""},{"dropping-particle":"","family":"Nuijten","given":"Malou A H","non-dropping-particle":"","parse-names":false,"suffix":""},{"dropping-particle":"","family":"Maessen","given":"Martijn F H","non-dropping-particle":"","parse-names":false,"suffix":""},{"dropping-particle":"","family":"Horstman","given":"Astrid M H","non-dropping-particle":"","parse-names":false,"suffix":""},{"dropping-particle":"","family":"Eijsvogels","given":"Thijs M H","non-dropping-particle":"","parse-names":false,"suffix":""},{"dropping-particle":"","family":"Hopman","given":"Maria T E","non-dropping-particle":"","parse-names":false,"suffix":""}],"container-title":"American Journal of Clinical Nutrition","id":"ITEM-1","issue":"5","issued":{"date-parts":[["2018"]]},"page":"1043-1059","title":"Effects of protein supplementation on lean body mass, muscle strength, and physical performance in nonfrail community-dwelling older adults: A systematic review and meta-analysis","type":"article-journal","volume":"108"},"uris":["http://www.mendeley.com/documents/?uuid=774aad97-504f-348e-936c-66a9f1af8813"]}],"mendeley":{"formattedCitation":"(96)","plainTextFormattedCitation":"(96)","previouslyFormattedCitation":"(96)"},"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(96)</w:t>
      </w:r>
      <w:r w:rsidR="004F4AF8" w:rsidRPr="00F56683">
        <w:rPr>
          <w:rFonts w:cstheme="minorHAnsi"/>
          <w:color w:val="000000" w:themeColor="text1"/>
        </w:rPr>
        <w:fldChar w:fldCharType="end"/>
      </w:r>
      <w:r w:rsidR="004F4AF8" w:rsidRPr="00F56683">
        <w:rPr>
          <w:rFonts w:cstheme="minorHAnsi"/>
          <w:color w:val="000000" w:themeColor="text1"/>
        </w:rPr>
        <w:t xml:space="preserve"> established that protein supplementation does not lead to beneficial changes in muscle parameters in non-frail community-dwelling older adults. This conclusion was drawn following a systematic review and meta-analysis, including thirty-six studies, to assess the effects of protein supplementation on lean body mass, muscle strength and physical performance. It </w:t>
      </w:r>
      <w:r w:rsidR="00B13B25" w:rsidRPr="00F56683">
        <w:rPr>
          <w:rFonts w:cstheme="minorHAnsi"/>
          <w:color w:val="000000" w:themeColor="text1"/>
        </w:rPr>
        <w:t xml:space="preserve">is important to consider </w:t>
      </w:r>
      <w:r w:rsidR="00306CB0" w:rsidRPr="00F56683">
        <w:rPr>
          <w:rFonts w:cstheme="minorHAnsi"/>
          <w:color w:val="000000" w:themeColor="text1"/>
        </w:rPr>
        <w:t xml:space="preserve">the </w:t>
      </w:r>
      <w:r w:rsidR="004F4AF8" w:rsidRPr="00F56683">
        <w:rPr>
          <w:rFonts w:cstheme="minorHAnsi"/>
          <w:color w:val="000000" w:themeColor="text1"/>
        </w:rPr>
        <w:t>population included as this could be a determining factor for why benefits were not observed following</w:t>
      </w:r>
      <w:r w:rsidR="00306CB0" w:rsidRPr="00F56683">
        <w:rPr>
          <w:rFonts w:cstheme="minorHAnsi"/>
          <w:color w:val="000000" w:themeColor="text1"/>
        </w:rPr>
        <w:t xml:space="preserve"> an</w:t>
      </w:r>
      <w:r w:rsidR="004F4AF8" w:rsidRPr="00F56683">
        <w:rPr>
          <w:rFonts w:cstheme="minorHAnsi"/>
          <w:color w:val="000000" w:themeColor="text1"/>
        </w:rPr>
        <w:t xml:space="preserve"> intervention. The mean habitual protein intake of participants were above UK dietary guidelines (0.75g/kg body mass), with only one of the included studies finding that </w:t>
      </w:r>
      <w:r w:rsidR="004F4AF8" w:rsidRPr="00F56683">
        <w:rPr>
          <w:rFonts w:cstheme="minorHAnsi"/>
          <w:color w:val="000000" w:themeColor="text1"/>
        </w:rPr>
        <w:lastRenderedPageBreak/>
        <w:t xml:space="preserve">participants did not meet 0.8g/kg BM guidelines. It has been suggested that going beyond RDA guidelines may have no additional effect on body and muscle characteristics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{"citationItems":[{"id":"ITEM-1","itemData":{"DOI":"10.1186/1743-7075-8-68","ISSN":"1743-7075","abstract":"Age-related muscle wasting (sarcopenia) is accompanied by a loss of strength which can compromise the functional abilities of the elderly. Muscle proteins are in a dynamic equilibrium between their respective rates of synthesis and breakdown. It has been suggested that age-related sarcopenia is due to: i) elevated basal-fasted rates of muscle protein breakdown, ii) a reduction in basal muscle protein synthesis (MPS), or iii) a combination of the two factors. However, basal rates of muscle protein synthesis and breakdown are unchanged with advancing healthy age. Instead, it appears that the muscles of the elderly are resistant to normally robust anabolic stimuli such as amino acids and resistance exercise. Ageing muscle is less sensitive to lower doses of amino acids than the young and may require higher quantities of protein to acutely stimulate equivalent muscle protein synthesis above rest and accrue muscle proteins. With regard to dietary protein recommendations, emerging evidence suggests that the elderly may need to distribute protein intake evenly throughout the day, so as to promote an optimal per meal stimulation of MPS. The branched-chain amino acid leucine is thought to play a central role in mediating mRNA translation for MPS, and the elderly should ensure sufficient leucine is provided with dietary protein intake. With regards to physical activity, lower, than previously realized, intensity high-volume resistance exercise can stimulate a robust muscle protein synthetic response similar to traditional high-intensity low volume training, which may be beneficial for older adults. Resistance exercise combined with amino acid ingestion elicits the greatest anabolic response and may assist elderly in producing a 'youthful' muscle protein synthetic response provided sufficient protein is ingested following exercise.","author":[{"dropping-particle":"","family":"Breen","given":"Leigh","non-dropping-particle":"","parse-names":false,"suffix":""},{"dropping-particle":"","family":"Phillips","given":"Stuart M","non-dropping-particle":"","parse-names":false,"suffix":""}],"container-title":"Nutrition &amp; Metabolism","id":"ITEM-1","issue":"1","issued":{"date-parts":[["2011","10","5"]]},"page":"68","publisher":"BioMed Central","title":"Skeletal muscle protein metabolism in the elderly: Interventions to counteract the 'anabolic resistance' of ageing","type":"article-journal","volume":"8"},"uris":["http://www.mendeley.com/documents/?uuid=a35c3bde-8b49-3b9b-9580-8031bc23acea"]}],"mendeley":{"formattedCitation":"(97)","plainTextFormattedCitation":"(97)","previouslyFormattedCitation":"(97)"},"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(97)</w:t>
      </w:r>
      <w:r w:rsidR="004F4AF8" w:rsidRPr="00F56683">
        <w:rPr>
          <w:rFonts w:cstheme="minorHAnsi"/>
          <w:color w:val="000000" w:themeColor="text1"/>
        </w:rPr>
        <w:fldChar w:fldCharType="end"/>
      </w:r>
      <w:r w:rsidR="004F4AF8" w:rsidRPr="00F56683">
        <w:rPr>
          <w:rFonts w:cstheme="minorHAnsi"/>
          <w:color w:val="000000" w:themeColor="text1"/>
        </w:rPr>
        <w:t xml:space="preserve"> and therefore the people most likely to benefit from protein supplementation strategies would be those who have habitually low protein intakes. None of the included studies had sarcopenia, per se, as an outcome measure, so the results may still have clinical significance. Additional meta-analyses </w:t>
      </w:r>
      <w:r w:rsidR="004F4AF8"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{"citationItems":[{"id":"ITEM-1","itemData":{"DOI":"10.1111/jhn.12382","ISSN":"09523871","abstract":"Background: Nutritional intervention is increasingly recognised as having an important role in functional rehabilitation for older people. Nonetheless, a greater understanding of the functional benefit of nutritional interventions is needed. Methods: A systematic review and meta-analysis examined randomised controlled trials (RCTs) published between 2007 and 2014 with the aim of determining whether nutritional intervention combined with rehabilitation benefited older people with reduced functional ability. Six electronic databases were searched. RCTs including people aged 65 years and older with reduced physical, social and/or cognitive function were included. PRISMA (Preferred Reporting Items for Systematic Reviews and Meta-Analyses) guidelines were followed, and gradepro computer software (http://gradepro.org) was used for the quality assessment of critical and important outcomes. Included studies considered to be clinical homogenous were combined in a meta-analysis. Results: Of the 788 studies screened, five were identified for inclusion. Nutritional intervention given with functional rehabilitation improved energy and protein intake, although it failed to provide any improvement in final body weight, hand-grip strength or muscle strength. There was no difference between groups in the critical outcomes; balance, cognition, activities of daily living and mortality at long-term follow-up. Nutritional intervention given with functional rehabilitation was associated with an increased likelihood of both mortality (odds ratio = 1.77; 95% confidence interval = 1.13–2.76) and hospitalisation (odds ratio = 2.29; 95% confidence interval = 1.10–4.79) during the intervention. Meta-analysis of the baseline data showed that, overall, the intervention cohort had a lower body weight and cognition. Conclusions: This meta-analysis highlights concerns regarding the quality of the randomisation of participants at baseline. Future high-quality research is essential to establish whether older people with loss of functional abilities can benefit from nutritional intervention.","author":[{"dropping-particle":"","family":"Beck","given":"A. M.","non-dropping-particle":"","parse-names":false,"suffix":""},{"dropping-particle":"","family":"Dent","given":"E.","non-dropping-particle":"","parse-names":false,"suffix":""},{"dropping-particle":"","family":"Baldwin","given":"C.","non-dropping-particle":"","parse-names":false,"suffix":""}],"container-title":"Journal of Human Nutrition and Dietetics","id":"ITEM-1","issue":"6","issued":{"date-parts":[["2016","12"]]},"page":"733-745","publisher":"Blackwell Publishing Ltd","title":"Nutritional intervention as part of functional rehabilitation in older people with reduced functional ability: a systematic review and meta-analysis of randomised controlled studies","type":"article-journal","volume":"29"},"uris":["http://www.mendeley.com/documents/?uuid=a80ee2e5-4dd1-4f5f-9fb1-910d6bf79eeb"]},{"id":"ITEM-2","itemData":{"author":[{"dropping-particle":"","family":"Kim","given":"Jung Eun","non-dropping-particle":"","parse-names":false,"suffix":""},{"dropping-particle":"","family":"O’Connor","given":"Lauren E.","non-dropping-particle":"","parse-names":false,"suffix":""},{"dropping-particle":"","family":"Sands","given":"Laura P.","non-dropping-particle":"","parse-names":false,"suffix":""},{"dropping-particle":"","family":"Slebodnik","given":"Mary B.","non-dropping-particle":"","parse-names":false,"suffix":""},{"dropping-particle":"","family":"Campbell","given":"Wayne W.","non-dropping-particle":"","parse-names":false,"suffix":""}],"container-title":"Nutrition Reviews","id":"ITEM-2","issue":"3","issued":{"date-parts":[["2016","3"]]},"page":"210-224","title":"Effects of dietary protein intake on body composition changes after weight loss in older adults: a systematic review and meta-analysis | Nutrition Reviews | Oxford Academic","type":"article-journal","volume":"74"},"uris":["http://www.mendeley.com/documents/?uuid=02c50f70-dad5-42b5-8165-2dac088ad6c0"]},{"id":"ITEM-3","itemData":{"author":[{"dropping-particle":"","family":"Donaldson","given":"Alison I C","non-dropping-particle":"","parse-names":false,"suffix":""},{"dropping-particle":"","family":"Smith","given":"Toby O","non-dropping-particle":"","parse-names":false,"suffix":""},{"dropping-particle":"","family":"Alder","given":"Sarah","non-dropping-particle":"","parse-names":false,"suffix":""},{"dropping-particle":"","family":"Johnstone","given":"Alexandra M","non-dropping-particle":"","parse-names":false,"suffix":""},{"dropping-particle":"","family":"Roos","given":"Baukje","non-dropping-particle":"De","parse-names":false,"suffix":""},{"dropping-particle":"","family":"Aucott","given":"Lorna S","non-dropping-particle":"","parse-names":false,"suffix":""},{"dropping-particle":"","family":"Gordon","given":"Adam L","non-dropping-particle":"","parse-names":false,"suffix":""},{"dropping-particle":"","family":"Myint","given":"Phyo K","non-dropping-particle":"","parse-names":false,"suffix":""}],"container-title":"Nutrition Reviews","id":"ITEM-3","issue":"2","issued":{"date-parts":[["2019","2"]]},"page":"116-127","title":"Effect of nonmeat, high-protein supplementation on quality of life and clinical outcomes in older residents of care homes: a systematic review and meta-analysis | Nutrition Reviews | Oxford Academic","type":"article-journal","volume":"77"},"uris":["http://www.mendeley.com/documents/?uuid=ed48038e-b4e5-45b9-9c25-1c5ba1a3326e"]}],"mendeley":{"formattedCitation":"(98–100)","plainTextFormattedCitation":"(98–100)","previouslyFormattedCitation":"(98–100)"},"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(98–100)</w:t>
      </w:r>
      <w:r w:rsidR="004F4AF8" w:rsidRPr="00F56683">
        <w:rPr>
          <w:rFonts w:cstheme="minorHAnsi"/>
          <w:color w:val="000000" w:themeColor="text1"/>
        </w:rPr>
        <w:fldChar w:fldCharType="end"/>
      </w:r>
      <w:r w:rsidR="004F4AF8" w:rsidRPr="00F56683">
        <w:rPr>
          <w:rFonts w:cstheme="minorHAnsi"/>
          <w:color w:val="000000" w:themeColor="text1"/>
        </w:rPr>
        <w:t xml:space="preserve"> have found similar findings to those demonstrated by </w:t>
      </w:r>
      <w:r w:rsidR="00EB2261">
        <w:rPr>
          <w:rFonts w:cstheme="minorHAnsi"/>
          <w:color w:val="000000" w:themeColor="text1"/>
        </w:rPr>
        <w:t>Ten H</w:t>
      </w:r>
      <w:r w:rsidR="004F4AF8" w:rsidRPr="00F56683">
        <w:rPr>
          <w:rFonts w:cstheme="minorHAnsi"/>
          <w:color w:val="000000" w:themeColor="text1"/>
        </w:rPr>
        <w:t xml:space="preserve">aaf and colleagues, but once again, the participants included may not be representative of the population, </w:t>
      </w:r>
      <w:r w:rsidR="00337750" w:rsidRPr="00F56683">
        <w:rPr>
          <w:rFonts w:cstheme="minorHAnsi"/>
          <w:color w:val="000000" w:themeColor="text1"/>
        </w:rPr>
        <w:t>which</w:t>
      </w:r>
      <w:r w:rsidR="004F4AF8" w:rsidRPr="00F56683">
        <w:rPr>
          <w:rFonts w:cstheme="minorHAnsi"/>
          <w:color w:val="000000" w:themeColor="text1"/>
        </w:rPr>
        <w:t xml:space="preserve"> </w:t>
      </w:r>
      <w:r w:rsidR="001670F9" w:rsidRPr="00F56683">
        <w:rPr>
          <w:rFonts w:cstheme="minorHAnsi"/>
          <w:color w:val="000000" w:themeColor="text1"/>
        </w:rPr>
        <w:t>limi</w:t>
      </w:r>
      <w:r w:rsidR="00337750" w:rsidRPr="00F56683">
        <w:rPr>
          <w:rFonts w:cstheme="minorHAnsi"/>
          <w:color w:val="000000" w:themeColor="text1"/>
        </w:rPr>
        <w:t>ts</w:t>
      </w:r>
      <w:r w:rsidR="004F4AF8" w:rsidRPr="00F56683">
        <w:rPr>
          <w:rFonts w:cstheme="minorHAnsi"/>
          <w:color w:val="000000" w:themeColor="text1"/>
        </w:rPr>
        <w:t xml:space="preserve"> the generalisability of the results. This implies that more research should be carried out </w:t>
      </w:r>
      <w:r w:rsidR="00306CB0" w:rsidRPr="00F56683">
        <w:rPr>
          <w:rFonts w:cstheme="minorHAnsi"/>
          <w:color w:val="000000" w:themeColor="text1"/>
        </w:rPr>
        <w:t>o</w:t>
      </w:r>
      <w:r w:rsidR="004F4AF8" w:rsidRPr="00F56683">
        <w:rPr>
          <w:rFonts w:cstheme="minorHAnsi"/>
          <w:color w:val="000000" w:themeColor="text1"/>
        </w:rPr>
        <w:t xml:space="preserve">n low habitual protein consumers to assess the impact that protein supplementation could have </w:t>
      </w:r>
      <w:r w:rsidR="00306CB0" w:rsidRPr="00F56683">
        <w:rPr>
          <w:rFonts w:cstheme="minorHAnsi"/>
          <w:color w:val="000000" w:themeColor="text1"/>
        </w:rPr>
        <w:t>on</w:t>
      </w:r>
      <w:r w:rsidR="004F4AF8" w:rsidRPr="00F56683">
        <w:rPr>
          <w:rFonts w:cstheme="minorHAnsi"/>
          <w:color w:val="000000" w:themeColor="text1"/>
        </w:rPr>
        <w:t xml:space="preserve"> these individuals.  </w:t>
      </w:r>
    </w:p>
    <w:p w14:paraId="541D7B94" w14:textId="77777777" w:rsidR="004F4AF8" w:rsidRPr="00F56683" w:rsidRDefault="004F4AF8" w:rsidP="00F42CB9">
      <w:pPr>
        <w:spacing w:line="360" w:lineRule="auto"/>
        <w:rPr>
          <w:rFonts w:cstheme="minorHAnsi"/>
          <w:color w:val="000000" w:themeColor="text1"/>
        </w:rPr>
      </w:pPr>
    </w:p>
    <w:p w14:paraId="0A1AB7F5" w14:textId="59FB4762" w:rsidR="004F4AF8" w:rsidRPr="00F56683" w:rsidRDefault="004F4AF8" w:rsidP="00F42CB9">
      <w:pPr>
        <w:pStyle w:val="Heading3"/>
        <w:spacing w:line="360" w:lineRule="auto"/>
        <w:rPr>
          <w:rFonts w:asciiTheme="minorHAnsi" w:hAnsiTheme="minorHAnsi" w:cstheme="minorHAnsi"/>
          <w:color w:val="000000" w:themeColor="text1"/>
        </w:rPr>
      </w:pPr>
      <w:bookmarkStart w:id="51" w:name="_Toc135384249"/>
      <w:r w:rsidRPr="00F56683">
        <w:rPr>
          <w:rFonts w:asciiTheme="minorHAnsi" w:hAnsiTheme="minorHAnsi" w:cstheme="minorHAnsi"/>
          <w:color w:val="000000" w:themeColor="text1"/>
        </w:rPr>
        <w:t>1.3.2 Protein, older adults and anabolic resistance</w:t>
      </w:r>
      <w:bookmarkEnd w:id="51"/>
      <w:r w:rsidRPr="00F56683">
        <w:rPr>
          <w:rFonts w:asciiTheme="minorHAnsi" w:hAnsiTheme="minorHAnsi" w:cstheme="minorHAnsi"/>
          <w:color w:val="000000" w:themeColor="text1"/>
        </w:rPr>
        <w:t xml:space="preserve"> </w:t>
      </w:r>
    </w:p>
    <w:p w14:paraId="3E0FE7A7" w14:textId="7A91721F" w:rsidR="004F4AF8" w:rsidRPr="00F56683" w:rsidRDefault="004F4AF8" w:rsidP="00F42CB9">
      <w:pPr>
        <w:spacing w:line="360" w:lineRule="auto"/>
        <w:rPr>
          <w:rFonts w:cstheme="minorHAnsi"/>
          <w:color w:val="000000" w:themeColor="text1"/>
        </w:rPr>
      </w:pPr>
      <w:r w:rsidRPr="00F56683">
        <w:rPr>
          <w:rFonts w:cstheme="minorHAnsi"/>
          <w:color w:val="000000" w:themeColor="text1"/>
        </w:rPr>
        <w:t>Higher consumption of protein/amino acids may be required by older individuals to achieve the same protein synthesis response in comparison to their younger counterparts (45). In addition to per</w:t>
      </w:r>
      <w:r w:rsidR="00121DF9" w:rsidRPr="00F56683">
        <w:rPr>
          <w:rFonts w:cstheme="minorHAnsi"/>
          <w:color w:val="000000" w:themeColor="text1"/>
        </w:rPr>
        <w:t>-</w:t>
      </w:r>
      <w:r w:rsidRPr="00F56683">
        <w:rPr>
          <w:rFonts w:cstheme="minorHAnsi"/>
          <w:color w:val="000000" w:themeColor="text1"/>
        </w:rPr>
        <w:t>day guidelines, it has also be</w:t>
      </w:r>
      <w:r w:rsidR="00121DF9" w:rsidRPr="00F56683">
        <w:rPr>
          <w:rFonts w:cstheme="minorHAnsi"/>
          <w:color w:val="000000" w:themeColor="text1"/>
        </w:rPr>
        <w:t>en</w:t>
      </w:r>
      <w:r w:rsidRPr="00F56683">
        <w:rPr>
          <w:rFonts w:cstheme="minorHAnsi"/>
          <w:color w:val="000000" w:themeColor="text1"/>
        </w:rPr>
        <w:t xml:space="preserve"> s</w:t>
      </w:r>
      <w:r w:rsidR="00A42CCB" w:rsidRPr="00F56683">
        <w:rPr>
          <w:rFonts w:cstheme="minorHAnsi"/>
          <w:color w:val="000000" w:themeColor="text1"/>
        </w:rPr>
        <w:t>tat</w:t>
      </w:r>
      <w:r w:rsidRPr="00F56683">
        <w:rPr>
          <w:rFonts w:cstheme="minorHAnsi"/>
          <w:color w:val="000000" w:themeColor="text1"/>
        </w:rPr>
        <w:t>ed that a per</w:t>
      </w:r>
      <w:r w:rsidR="00121DF9" w:rsidRPr="00F56683">
        <w:rPr>
          <w:rFonts w:cstheme="minorHAnsi"/>
          <w:color w:val="000000" w:themeColor="text1"/>
        </w:rPr>
        <w:t>-</w:t>
      </w:r>
      <w:r w:rsidRPr="00F56683">
        <w:rPr>
          <w:rFonts w:cstheme="minorHAnsi"/>
          <w:color w:val="000000" w:themeColor="text1"/>
        </w:rPr>
        <w:t xml:space="preserve">dose amount may be important for optimally triggering MPS. Optimal protein nutrition in an individual meal is described as the minimal amount of protein intake that leads to an anabolic response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{"citationItems":[{"id":"ITEM-1","itemData":{"DOI":"10.1016/J.CLNU.2017.05.029","ISSN":"15321983","PMID":"28807333","abstract":"The anabolic response to dietary protein can be defined as the difference between protein synthesis and breakdown, or the net protein balance, in response to ingestion of protein alone or a mixed meal containing protein. Others have concluded that a maximal anabolic response can be achieved with ingestion of 20–35 g of a high quality protein, leading to the formulation of a popular concept that the maximal anabolic response can be achieved by distributing the total protein intake evenly throughout the day, rather than eating a majority of dietary protein with dinner. However, this concept was based entirely on the measurement of muscle protein synthesis and thus ignored the potential contributions of suppression of protein breakdown to the anabolic response, as well as the possibility that tissues and organs other than muscle may also play a role in the anabolic response. In this review we discuss the factors comprising the total anabolic response, discuss relevant methodological issues, derive a theoretical maximal anabolic response based on current literature values, and interpret recent papers addressing the issue of maximal anabolic response as well as meal distribution of dietary protein. We conclude that it is not likely that there is a practical limit to the maximal anabolic response to a single meal, and the most efficient way in which to maximize the total anabolic response over a 24-h period is to increase dietary protein at breakfast and lunch without reducing protein intake with dinner.","author":[{"dropping-particle":"","family":"Kim","given":"Il Young","non-dropping-particle":"","parse-names":false,"suffix":""},{"dropping-particle":"","family":"Deutz","given":"Nicolaas E.P.","non-dropping-particle":"","parse-names":false,"suffix":""},{"dropping-particle":"","family":"Wolfe","given":"Robert R.","non-dropping-particle":"","parse-names":false,"suffix":""}],"container-title":"Clinical Nutrition","id":"ITEM-1","issue":"2","issued":{"date-parts":[["2018","4","1"]]},"page":"411-418","publisher":"Churchill Livingstone","title":"Update on maximal anabolic response to dietary protein","type":"article-journal","volume":"37"},"uris":["http://www.mendeley.com/documents/?uuid=fb81bd6b-f2cd-3b45-9413-36b939f3c6ca"]}],"mendeley":{"formattedCitation":"(101)","plainTextFormattedCitation":"(101)","previouslyFormattedCitation":"(101)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(101)</w:t>
      </w:r>
      <w:r w:rsidRPr="00F56683">
        <w:rPr>
          <w:rFonts w:cstheme="minorHAnsi"/>
          <w:color w:val="000000" w:themeColor="text1"/>
        </w:rPr>
        <w:fldChar w:fldCharType="end"/>
      </w:r>
      <w:r w:rsidRPr="00F56683">
        <w:rPr>
          <w:rFonts w:cstheme="minorHAnsi"/>
          <w:color w:val="000000" w:themeColor="text1"/>
        </w:rPr>
        <w:t xml:space="preserve">. RCTs that provide less than 20g of protein as an intervention strategy for this population may be suboptimal for triggering muscle growth, and this may be reflected in measures of mass, strength and physical performance observed during the trials. Current research supports protein intakes in the region of 0.4g/kg BM/meal (approximately 30g for an 80kg individual) </w:t>
      </w:r>
      <w:r w:rsidRPr="00F56683">
        <w:rPr>
          <w:rFonts w:cstheme="minorHAnsi"/>
          <w:color w:val="000000" w:themeColor="text1"/>
        </w:rPr>
        <w:fldChar w:fldCharType="begin" w:fldLock="1"/>
      </w:r>
      <w:r w:rsidR="005B258E" w:rsidRPr="00F56683">
        <w:rPr>
          <w:rFonts w:cstheme="minorHAnsi"/>
          <w:color w:val="000000" w:themeColor="text1"/>
        </w:rPr>
        <w:instrText>ADDIN CSL_CITATION {"citationItems":[{"id":"ITEM-1","itemData":{"DOI":"10.1093/GERONA/GLU103","ISSN":"1758-535X","PMID":"25056502","abstract":"Background. Adequate protein ingestion-mediated stimulation of myofibrillar protein synthesis (MPS) is required to maintain skeletal muscle mass. It is currently unknown what per meal protein intake is required to maximally stimulate the response in older men and whether it differs from that of younger men. Methods. We retrospectively analyzed data from our laboratories that measured MPS in healthy older (~71 years) and younger (~22 years) men by primed constant infusion of l-ring-[13C6]phenylalanine after ingestion of varying amounts (0-40 g) of high-quality dietary protein as a single bolus and normalized to body mass and, where available, lean body mass (LBM). Results. There was no difference (p =. 53) in basal MPS rates between older (0.027±0.04%/h; means ± 95% CI) and young (0.028 ± 0.03%/h) men. Biphase linear regression and breakpoint analysis revealed the slope of first line segment was lower (p &lt;. 05) in older men and that MPS reached a plateau after ingestion of 0.40 ± 0.19 and 0.24 ± 0.06 g/kg body mass (p =. 055) and 0.60 ± 0.29 and 0.25 ± 0.13 g/kg lean body mass (p &lt;. 01) in older and younger men, respectively. Conclusions. This is the first report of the relative (to body weight) protein ingested dose response of MPS in younger and older men. Our data suggest that healthy older men are less sensitive to low protein intakes and require a greater relative protein intake, in a single meal, than young men to maximally stimulate postprandial rates of MPS. These results should be considered when developing nutritional solutions to maximize MPS for the maintenance or enhancement of muscle mass with advancing age.","author":[{"dropping-particle":"","family":"Moore","given":"Daniel R.","non-dropping-particle":"","parse-names":false,"suffix":""},{"dropping-particle":"","family":"Churchward-Venne","given":"Tyler A.","non-dropping-particle":"","parse-names":false,"suffix":""},{"dropping-particle":"","family":"Witard","given":"Oliver","non-dropping-particle":"","parse-names":false,"suffix":""},{"dropping-particle":"","family":"Breen","given":"Leigh","non-dropping-particle":"","parse-names":false,"suffix":""},{"dropping-particle":"","family":"Burd","given":"Nicholas A.","non-dropping-particle":"","parse-names":false,"suffix":""},{"dropping-particle":"","family":"Tipton","given":"Kevin D.","non-dropping-particle":"","parse-names":false,"suffix":""},{"dropping-particle":"","family":"Phillips","given":"Stuart M.","non-dropping-particle":"","parse-names":false,"suffix":""}],"container-title":"The journals of gerontology. Series A, Biological sciences and medical sciences","id":"ITEM-1","issue":"1","issued":{"date-parts":[["2015","1","1"]]},"page":"57-62","publisher":"J Gerontol A Biol Sci Med Sci","title":"Protein ingestion to stimulate myofibrillar protein synthesis requires greater relative protein intakes in healthy older versus younger men","type":"article-journal","volume":"70"},"uris":["http://www.mendeley.com/documents/?uuid=aac6d1e7-d8de-356a-a095-cef33585fbfa"]}],"mendeley":{"formattedCitation":"(51)","plainTextFormattedCitation":"(51)","previouslyFormattedCitation":"(51)"},"properties":{"noteIndex":0},"schema":"https://github.com/citation-style-language/schema/raw/master/csl-citation.json"}</w:instrText>
      </w:r>
      <w:r w:rsidRPr="00F56683">
        <w:rPr>
          <w:rFonts w:cstheme="minorHAnsi"/>
          <w:color w:val="000000" w:themeColor="text1"/>
        </w:rPr>
        <w:fldChar w:fldCharType="separate"/>
      </w:r>
      <w:r w:rsidR="00AD72F0" w:rsidRPr="00F56683">
        <w:rPr>
          <w:rFonts w:cstheme="minorHAnsi"/>
          <w:noProof/>
          <w:color w:val="000000" w:themeColor="text1"/>
        </w:rPr>
        <w:t>(51)</w:t>
      </w:r>
      <w:r w:rsidRPr="00F56683">
        <w:rPr>
          <w:rFonts w:cstheme="minorHAnsi"/>
          <w:color w:val="000000" w:themeColor="text1"/>
        </w:rPr>
        <w:fldChar w:fldCharType="end"/>
      </w:r>
      <w:r w:rsidRPr="00F56683">
        <w:rPr>
          <w:rFonts w:cstheme="minorHAnsi"/>
          <w:color w:val="000000" w:themeColor="text1"/>
        </w:rPr>
        <w:t xml:space="preserve"> for older adults to optimally stimulate MPS. Furthermore, the amount of leucine (due to its mTOR activation properties) present in the supplement utilised in RCTs may influence muscle responses; it is advocated that approximately 2.5-2.8g of leucine is required for anabolic actions in the elderly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{"citationItems":[{"id":"ITEM-1","itemData":{"DOI":"10.1186/1743-7075-9-67","ISSN":"1743-7075","PMID":"22818257","abstract":"BACKGROUND Leucine (Leu) regulates muscle protein synthesis (MPS) producing dose-dependent plasma Leu and MPS responses from free amino acid solutions. This study examined the role of Leu content from dietary proteins in regulation of MPS after complete meals. METHODS Experiment 1 examined 4 protein sources (wheat, soy, egg, and whey) with different Leu concentrations (6.8, 8.0, 8.8, and 10.9% (w/w), respectively) on the potential to increase plasma Leu, activate translation factors, and stimulate MPS. Male rats (~250 g) were trained for 14 day to eat 3 meals/day consisting of 16/54/30% of energy from protein, carbohydrates and fats. Rats were killed on d14 either before or 90 min after consuming a 4 g breakfast meal. Experiment 2 compared feeding wheat, whey, and wheat + Leu to determine if supplementing the Leu content of the wheat meal would yield similar anabolic responses as whey. RESULTS In Experiment 1, only whey and egg groups increased post-prandial plasma Leu and stimulated MPS above food-deprived controls. Likewise, greater phosphorylation of p70 S6 kinase 1 (S6K1) and 4E binding protein-1 (4E-BP1) occurred in whey and egg groups versus wheat and soy groups. Experiment 2 demonstrated that supplementing wheat with Leu to equalize the Leu content of the meal also equalized the rates of MPS. CONCLUSION These findings demonstrate that Leu content is a critical factor for evaluating the quantity and quality of proteins necessary at a meal for stimulation of MPS.","author":[{"dropping-particle":"","family":"Norton","given":"Layne E","non-dropping-particle":"","parse-names":false,"suffix":""},{"dropping-particle":"","family":"Wilson","given":"Gabriel J","non-dropping-particle":"","parse-names":false,"suffix":""},{"dropping-particle":"","family":"Layman","given":"Donald K","non-dropping-particle":"","parse-names":false,"suffix":""},{"dropping-particle":"","family":"Moulton","given":"Christopher J","non-dropping-particle":"","parse-names":false,"suffix":""},{"dropping-particle":"","family":"Garlick","given":"Peter J","non-dropping-particle":"","parse-names":false,"suffix":""}],"container-title":"Nutrition &amp; metabolism","id":"ITEM-1","issue":"1","issued":{"date-parts":[["2012","7","20"]]},"page":"67","publisher":"BioMed Central","title":"Leucine content of dietary proteins is a determinant of postprandial skeletal muscle protein synthesis in adult rats.","type":"article-journal","volume":"9"},"uris":["http://www.mendeley.com/documents/?uuid=4998a817-12b1-346f-b294-344a23a6464f"]}],"mendeley":{"formattedCitation":"(102)","plainTextFormattedCitation":"(102)","previouslyFormattedCitation":"(102)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(102)</w:t>
      </w:r>
      <w:r w:rsidRPr="00F56683">
        <w:rPr>
          <w:rFonts w:cstheme="minorHAnsi"/>
          <w:color w:val="000000" w:themeColor="text1"/>
        </w:rPr>
        <w:fldChar w:fldCharType="end"/>
      </w:r>
      <w:r w:rsidR="00A42CCB" w:rsidRPr="00F56683">
        <w:rPr>
          <w:rFonts w:cstheme="minorHAnsi"/>
          <w:color w:val="000000" w:themeColor="text1"/>
        </w:rPr>
        <w:t xml:space="preserve"> and in response, some researchers have used a leucine-enriched</w:t>
      </w:r>
      <w:r w:rsidRPr="00F56683">
        <w:rPr>
          <w:rFonts w:cstheme="minorHAnsi"/>
          <w:color w:val="000000" w:themeColor="text1"/>
        </w:rPr>
        <w:t xml:space="preserve"> protein supplement</w:t>
      </w:r>
      <w:r w:rsidR="00A42CCB" w:rsidRPr="00F56683">
        <w:rPr>
          <w:rFonts w:cstheme="minorHAnsi"/>
          <w:color w:val="000000" w:themeColor="text1"/>
        </w:rPr>
        <w:t>.</w:t>
      </w:r>
    </w:p>
    <w:p w14:paraId="0336CD9C"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 </w:t>
      </w:r>
    </w:p>
    <w:p w14:paraId="687A8846" w14:textId="20B26EF2"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Minimum dose thresholds have been outlined, but the “muscle full” effect also suggests an amino acid concentration saturation point, above which increasing amino acid provision further does not lead to increased MPS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{"citationItems":[{"id":"ITEM-1","itemData":{"DOI":"10.3945/JN.114.199604","ISSN":"15416100","PMID":"25644339","abstract":"Background: The anabolic response of skeletal muscle to essential amino acids (EAAs) is dose dependent, maximal at modest doses, and short lived, even with continued EAA availability, a phenomenon termed \"muscle-full.\" However, the effect of EAA ingestion profile on muscle metabolism remains undefined. Objective: We determined the effect of Bolus vs. Spread EAA feeding in young men and hypothesized that muscle-full is regulated by a dose-, not delivery profile-, dependent mechanism. Methods: We provided 16 young healthy men with 15 g mixed-EAA, either as a single dose (\"Bolus\" n = 8) or in 4 fractions at 45-min intervals (\"Spread\"; n = 8). Plasma insulin and EAA concentrations were assayed by ELISA and ionexchange chromatography, respectively. Limb blood flow by was determined by Doppler ultrasound, muscle microvascular flow by Sonovue (Bracco) contrast-enhanced ultrasound, and phosphorylation of mammalian target of rapamycin complex 1 substrates by immunoblotting. Intermittent muscle biopsies were taken to quantify myofibrillarbound 13C6-phenylalanine to determine muscle protein synthesis (MPS). Results: Bolus feeding achieved rapid insulinemia (13.6 μIU ˙ mL-1, 25 min after commencement of feeding), aminoacidemia (~2500μMat 45min), and capillary recruitment (+45% at 45min),whereas Spread feeding achieved attenuated insulin responses, gradual low-amplitude aminoacidemia (peak: ~1500 μMat 135 min), and no detectable capillary recruitment (all P &lt; 0.01 vs. Bolus). Despite these differences, identical anabolic responses were observed; fasting fractional synthetic rates of 0.054% ˙ h-1 (Bolus) and 0.066% ˙ h-1 (Spread) increased to 0.095%and 0.104% ˙ h-1 (no difference in increment or final values between regimens). With both Spread and Bolus feeding strategies, a latency of at least 90 min was observed before an upswing in MPS was evident. Similarly with both feeding strategies, MPS returned to fasting rates by 180 min despite elevated circulating EAAs. Conclusion: These data do not support EAA delivery profile as an important determinant of anabolism in young men at rest, nor rapid aminoacidemia/leucinemia as being a key factor in maximizing MPS.","author":[{"dropping-particle":"","family":"Mitchell","given":"William Kyle","non-dropping-particle":"","parse-names":false,"suffix":""},{"dropping-particle":"","family":"Phillips","given":"Beth E.","non-dropping-particle":"","parse-names":false,"suffix":""},{"dropping-particle":"","family":"Williams","given":"John P.","non-dropping-particle":"","parse-names":false,"suffix":""},{"dropping-particle":"","family":"Rankin","given":"Debbie","non-dropping-particle":"","parse-names":false,"suffix":""},{"dropping-particle":"","family":"Lund","given":"Jonathan N.","non-dropping-particle":"","parse-names":false,"suffix":""},{"dropping-particle":"","family":"Smith","given":"Kenneth","non-dropping-particle":"","parse-names":false,"suffix":""},{"dropping-particle":"","family":"Atherton","given":"Philip J.","non-dropping-particle":"","parse-names":false,"suffix":""}],"container-title":"The Journal of Nutrition","id":"ITEM-1","issue":"2","issued":{"date-parts":[["2015"]]},"page":"207","publisher":"American Society for Nutrition","title":"A Dose- rather than Delivery Profile–Dependent Mechanism Regulates the “Muscle-Full” Effect in Response to Oral Essential Amino Acid Intake in Young Men","type":"article-journal","volume":"145"},"uris":["http://www.mendeley.com/documents/?uuid=ed2d6933-a28c-3695-a89d-99a303e731e5"]}],"mendeley":{"formattedCitation":"(103)","plainTextFormattedCitation":"(103)","previouslyFormattedCitation":"(103)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(103)</w:t>
      </w:r>
      <w:r w:rsidRPr="00F56683">
        <w:rPr>
          <w:rFonts w:cstheme="minorHAnsi"/>
          <w:color w:val="000000" w:themeColor="text1"/>
        </w:rPr>
        <w:fldChar w:fldCharType="end"/>
      </w:r>
      <w:r w:rsidRPr="00F56683">
        <w:rPr>
          <w:rFonts w:cstheme="minorHAnsi"/>
          <w:color w:val="000000" w:themeColor="text1"/>
        </w:rPr>
        <w:t xml:space="preserve">. This points towards the notion that protein intakes should be distributed evenly throughout the day and consumed at 3-4 hour intervals to achieve optimal anabolic responses, especially in older adults. Despite this, it has been </w:t>
      </w:r>
      <w:r w:rsidRPr="00F56683">
        <w:rPr>
          <w:rFonts w:cstheme="minorHAnsi"/>
          <w:color w:val="000000" w:themeColor="text1"/>
        </w:rPr>
        <w:lastRenderedPageBreak/>
        <w:t>observed that the distribution of protein intake is skewed throughout the day; with the majority being consumed at the evening meal. Breakfast appears to be when the lowest amount of protein is consumed and</w:t>
      </w:r>
      <w:r w:rsidR="00121DF9" w:rsidRPr="00F56683">
        <w:rPr>
          <w:rFonts w:cstheme="minorHAnsi"/>
          <w:color w:val="000000" w:themeColor="text1"/>
        </w:rPr>
        <w:t>,</w:t>
      </w:r>
      <w:r w:rsidRPr="00F56683">
        <w:rPr>
          <w:rFonts w:cstheme="minorHAnsi"/>
          <w:color w:val="000000" w:themeColor="text1"/>
        </w:rPr>
        <w:t xml:space="preserve"> per</w:t>
      </w:r>
      <w:r w:rsidR="00121DF9" w:rsidRPr="00F56683">
        <w:rPr>
          <w:rFonts w:cstheme="minorHAnsi"/>
          <w:color w:val="000000" w:themeColor="text1"/>
        </w:rPr>
        <w:t>-</w:t>
      </w:r>
      <w:r w:rsidRPr="00F56683">
        <w:rPr>
          <w:rFonts w:cstheme="minorHAnsi"/>
          <w:color w:val="000000" w:themeColor="text1"/>
        </w:rPr>
        <w:t xml:space="preserve">meal thresholds are not met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{"citationItems":[{"id":"ITEM-1","itemData":{"DOI":"10.3390/NU10080999","ISSN":"20726643","PMID":"30061542","abstract":"Breakfast consumption is associated with higher overall dietary adequacy; however, there is a lack of quantitative guidelines for optimal nutrient intakes at breakfast in the UK. This study aimed to investigate nutrient and food group intakes at breakfast and examine their relationship to overall Diet Quality (DQ). Data from the most recent National Diet and Nutrition Survey (NDNS, 2008–2014) were accessed to provide a representative sample (n = 8174) of the UK population, aged 5–96 years, mean age of 33 years. Food intake was measured by a 4-day estimated food diary and DQ was assessed by the Nutrient Rich Food Index 9.3 method. Energy-and socio-economic-adjusted nutrient and food group intakes were compared across age groups and DQ tertiles by ANCOVA. Breakfast contributed 20–22% to total energy intake. Breakfast intakes of carbohydrate and non-milk extrinsic sugars (NMES) were higher, and intakes of protein, total fat and saturated fatty acid (SFA) were lower, than relative daily intakes. Breakfast was particularly rich in B vitamins, vitamin D, calcium, iron, iodine and magnesium. From the lowest to the highest DQ tertile decreasing intakes of NMES, SFA and total fat and increasing intakes of carbohydrate, protein, fibre and most micronutrients were found. These findings could help to inform the development of nutrient-based recommendations for a balanced breakfast for the first time in the UK.","author":[{"dropping-particle":"","family":"Gaal","given":"Szilvia","non-dropping-particle":"","parse-names":false,"suffix":""},{"dropping-particle":"","family":"Kerr","given":"Maeve A.","non-dropping-particle":"","parse-names":false,"suffix":""},{"dropping-particle":"","family":"Ward","given":"Mary","non-dropping-particle":"","parse-names":false,"suffix":""},{"dropping-particle":"","family":"McNulty","given":"Helene","non-dropping-particle":"","parse-names":false,"suffix":""},{"dropping-particle":"","family":"Livingstone","given":"M. Barbara E.","non-dropping-particle":"","parse-names":false,"suffix":""}],"container-title":"Nutrients","id":"ITEM-1","issue":"8","issued":{"date-parts":[["2018","8","1"]]},"publisher":"Multidisciplinary Digital Publishing Institute  (MDPI)","title":"Breakfast Consumption in the UK: Patterns, Nutrient Intake and Diet Quality. A Study from the International Breakfast Research Initiative Group","type":"article-journal","volume":"10"},"uris":["http://www.mendeley.com/documents/?uuid=cbc30c44-4b97-3236-974e-3c57f7242ad8"]}],"mendeley":{"formattedCitation":"(104)","plainTextFormattedCitation":"(104)","previouslyFormattedCitation":"(104)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(104)</w:t>
      </w:r>
      <w:r w:rsidRPr="00F56683">
        <w:rPr>
          <w:rFonts w:cstheme="minorHAnsi"/>
          <w:color w:val="000000" w:themeColor="text1"/>
        </w:rPr>
        <w:fldChar w:fldCharType="end"/>
      </w:r>
      <w:r w:rsidRPr="00F56683">
        <w:rPr>
          <w:rFonts w:cstheme="minorHAnsi"/>
          <w:color w:val="000000" w:themeColor="text1"/>
        </w:rPr>
        <w:t>.</w:t>
      </w:r>
    </w:p>
    <w:p w14:paraId="3FCAE4E3" w14:textId="77777777" w:rsidR="004F4AF8" w:rsidRPr="00F56683" w:rsidRDefault="004F4AF8" w:rsidP="00F42CB9">
      <w:pPr>
        <w:spacing w:line="360" w:lineRule="auto"/>
        <w:rPr>
          <w:rFonts w:cstheme="minorHAnsi"/>
          <w:color w:val="000000" w:themeColor="text1"/>
        </w:rPr>
      </w:pPr>
    </w:p>
    <w:p w14:paraId="65BBA1D1" w14:textId="575B6C8F" w:rsidR="004F4AF8" w:rsidRPr="00F56683" w:rsidRDefault="004F4AF8" w:rsidP="00F42CB9">
      <w:pPr>
        <w:spacing w:line="360" w:lineRule="auto"/>
        <w:rPr>
          <w:rFonts w:cstheme="minorHAnsi"/>
          <w:color w:val="000000" w:themeColor="text1"/>
        </w:rPr>
      </w:pPr>
      <w:r w:rsidRPr="00F56683">
        <w:rPr>
          <w:rFonts w:cstheme="minorHAnsi"/>
          <w:color w:val="000000" w:themeColor="text1"/>
        </w:rPr>
        <w:t>Lastly, protein quality scores determined by the protein source also influence</w:t>
      </w:r>
      <w:r w:rsidR="00F70725" w:rsidRPr="00F56683">
        <w:rPr>
          <w:rFonts w:cstheme="minorHAnsi"/>
          <w:color w:val="000000" w:themeColor="text1"/>
        </w:rPr>
        <w:t>s</w:t>
      </w:r>
      <w:r w:rsidRPr="00F56683">
        <w:rPr>
          <w:rFonts w:cstheme="minorHAnsi"/>
          <w:color w:val="000000" w:themeColor="text1"/>
        </w:rPr>
        <w:t xml:space="preserve"> anabolic capacity and physiological functions in the body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{"citationItems":[{"id":"ITEM-1","itemData":{"ISSN":"13032968","PMID":"24482589","abstract":"Protein intake that exceeds the recommended daily allowance is widely accepted for both endurance and power athletes. However, considering the variety of proteins that are available much less is known concerning the benefits of consuming one protein versus another. The purpose of this paper is to identify and analyze key factors in order to make responsible recommendations to both the general and athletic populations. Evaluation of a protein is fundamental in determining its appropriateness in the human diet. Proteins that are of inferior content and digestibility are important to recognize and restrict or limit in the diet. Similarly, such knowledge will provide an ability to identify proteins that provide the greatest benefit and should be consumed. The various techniques utilized to rate protein will be discussed. Traditionally, sources of dietary protein are seen as either being of animal or vegetable origin. Animal sources provide a complete source of protein (i.e. containing all essential amino acids), whereas vegetable sources generally lack one or more of the essential amino acids. Animal sources of dietary protein, despite providing a complete protein and numerous vitamins and minerals, have some health professionals concerned about the amount of saturated fat common in these foods compared to vegetable sources. The advent of processing techniques has shifted some of this attention and ignited the sports supplement marketplace with derivative products such as whey, casein and soy. Individually, these products vary in quality and applicability to certain populations. The benefits that these particular proteins possess are discussed. In addition, the impact that elevated protein consumption has on health and safety issues (i.e. bone health, renal function) are also reviewed. ©Journal of Sports Science and Medicine (2004).","author":[{"dropping-particle":"","family":"Hoffman","given":"Jay R.","non-dropping-particle":"","parse-names":false,"suffix":""},{"dropping-particle":"","family":"Falvo","given":"Michael J.","non-dropping-particle":"","parse-names":false,"suffix":""}],"container-title":"Journal of Sports Science &amp; Medicine","id":"ITEM-1","issue":"3","issued":{"date-parts":[["2004"]]},"page":"118","publisher":"Dept. of Sports Medicine, Medical Faculty of Uludag University","title":"Protein – Which is Best?","type":"article-journal","volume":"3"},"uris":["http://www.mendeley.com/documents/?uuid=87d2f110-0a03-3c7c-9078-b37f85db1f73"]}],"mendeley":{"formattedCitation":"(105)","plainTextFormattedCitation":"(105)","previouslyFormattedCitation":"(105)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(105)</w:t>
      </w:r>
      <w:r w:rsidRPr="00F56683">
        <w:rPr>
          <w:rFonts w:cstheme="minorHAnsi"/>
          <w:color w:val="000000" w:themeColor="text1"/>
        </w:rPr>
        <w:fldChar w:fldCharType="end"/>
      </w:r>
      <w:r w:rsidRPr="00F56683">
        <w:rPr>
          <w:rFonts w:cstheme="minorHAnsi"/>
          <w:color w:val="000000" w:themeColor="text1"/>
        </w:rPr>
        <w:t xml:space="preserve">. Animal proteins are believed to contain all the EAAs, whereas plant proteins may lack some of the essential amino acids, </w:t>
      </w:r>
      <w:r w:rsidR="00F70725" w:rsidRPr="00F56683">
        <w:rPr>
          <w:rFonts w:cstheme="minorHAnsi"/>
          <w:color w:val="000000" w:themeColor="text1"/>
        </w:rPr>
        <w:t>thus</w:t>
      </w:r>
      <w:r w:rsidRPr="00F56683">
        <w:rPr>
          <w:rFonts w:cstheme="minorHAnsi"/>
          <w:color w:val="000000" w:themeColor="text1"/>
        </w:rPr>
        <w:t xml:space="preserve"> influenc</w:t>
      </w:r>
      <w:r w:rsidR="00F70725" w:rsidRPr="00F56683">
        <w:rPr>
          <w:rFonts w:cstheme="minorHAnsi"/>
          <w:color w:val="000000" w:themeColor="text1"/>
        </w:rPr>
        <w:t>ing</w:t>
      </w:r>
      <w:r w:rsidRPr="00F56683">
        <w:rPr>
          <w:rFonts w:cstheme="minorHAnsi"/>
          <w:color w:val="000000" w:themeColor="text1"/>
        </w:rPr>
        <w:t xml:space="preserve"> their protein</w:t>
      </w:r>
      <w:r w:rsidR="00121DF9" w:rsidRPr="00F56683">
        <w:rPr>
          <w:rFonts w:cstheme="minorHAnsi"/>
          <w:color w:val="000000" w:themeColor="text1"/>
        </w:rPr>
        <w:t>-</w:t>
      </w:r>
      <w:r w:rsidRPr="00F56683">
        <w:rPr>
          <w:rFonts w:cstheme="minorHAnsi"/>
          <w:color w:val="000000" w:themeColor="text1"/>
        </w:rPr>
        <w:t xml:space="preserve">building capacity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{"citationItems":[{"id":"ITEM-1","itemData":{"DOI":"10.3390/NU11081825","ISSN":"2072-6643","PMID":"31394788","abstract":"Plant-sourced proteins offer environmental and health benefits, and research increasingly includes them in study formulas. However, plant-based proteins have less of an anabolic effect than animal proteins due to their lower digestibility, lower essential amino acid content (especially leucine), and deficiency in other essential amino acids, such as sulfur amino acids or lysine. Thus, plant amino acids are directed toward oxidation rather than used for muscle protein synthesis. In this review, we evaluate the ability of plant-versus animal-based proteins to help maintain skeletal muscle mass in healthy and especially older people and examine different nutritional strategies for improving the anabolic properties of plant-based proteins. Among these strategies, increasing protein intake has led to a positive acute postprandial muscle protein synthesis response and even positive long-term improvement in lean mass. Increasing the quality of protein intake by improving amino acid composition could also compensate for the lower anabolic potential of plant-based proteins. We evaluated and discussed four nutritional strategies for improving the amino acid composition of plant-based proteins: fortifying plant-based proteins with specific essential amino acids, selective breeding, blending several plant protein sources, and blending plant with animal-based protein sources. These nutritional approaches need to be profoundly examined in older individuals in order to optimize protein intake for this population who require a high-quality food protein intake to mitigate age-related muscle loss.","author":[{"dropping-particle":"","family":"Berrazaga","given":"Insaf","non-dropping-particle":"","parse-names":false,"suffix":""},{"dropping-particle":"","family":"Micard","given":"Valérie","non-dropping-particle":"","parse-names":false,"suffix":""},{"dropping-particle":"","family":"Gueugneau","given":"Marine","non-dropping-particle":"","parse-names":false,"suffix":""},{"dropping-particle":"","family":"Walrand","given":"Stéphane","non-dropping-particle":"","parse-names":false,"suffix":""}],"container-title":"Nutrients","id":"ITEM-1","issue":"8","issued":{"date-parts":[["2019","8","1"]]},"publisher":"Nutrients","title":"The Role of the Anabolic Properties of Plant- versus Animal-Based Protein Sources in Supporting Muscle Mass Maintenance: A Critical Review","type":"article-journal","volume":"11"},"uris":["http://www.mendeley.com/documents/?uuid=927055c5-d47c-368b-93b9-2996447aebce"]}],"mendeley":{"formattedCitation":"(106)","plainTextFormattedCitation":"(106)","previouslyFormattedCitation":"(106)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(106)</w:t>
      </w:r>
      <w:r w:rsidRPr="00F56683">
        <w:rPr>
          <w:rFonts w:cstheme="minorHAnsi"/>
          <w:color w:val="000000" w:themeColor="text1"/>
        </w:rPr>
        <w:fldChar w:fldCharType="end"/>
      </w:r>
      <w:r w:rsidRPr="00F56683">
        <w:rPr>
          <w:rFonts w:cstheme="minorHAnsi"/>
          <w:color w:val="000000" w:themeColor="text1"/>
        </w:rPr>
        <w:t>. As such, in relation to diet quality, animal proteins are considered higher quality proteins in comparison to plant protein</w:t>
      </w:r>
      <w:r w:rsidR="00F70725" w:rsidRPr="00F56683">
        <w:rPr>
          <w:rFonts w:cstheme="minorHAnsi"/>
          <w:color w:val="000000" w:themeColor="text1"/>
        </w:rPr>
        <w:t>s</w:t>
      </w:r>
      <w:r w:rsidRPr="00F56683">
        <w:rPr>
          <w:rFonts w:cstheme="minorHAnsi"/>
          <w:color w:val="000000" w:themeColor="text1"/>
        </w:rPr>
        <w:t>. To demonstrate this, soy (a plant protein) is often compared to whey (a milk protein). Gran et al</w:t>
      </w:r>
      <w:r w:rsidR="00D30D52">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{"citationItems":[{"id":"ITEM-1","itemData":{"DOI":"10.1186/1743-7075-11-46/FIGURES/5","ISSN":"17437075","abstract":"Background: The mammalian target of rapamycin (mTOR) pathway is the primary regulator of muscle protein synthesis. Metabolic syndrome (MetS) is characterized by central obesity and insulin resistance; little is known about how MetS affects the sensitivity of the mTOR pathway to feeding.\nMethods. The responsiveness of mTOR pathway targets such as p706Sk to a high protein meal containing either dairy or soy foods was investigated in healthy insulin sensitive middle-aged men and those presenting with metabolic syndrome (MetS). Twenty male subjects (10 healthy controls, 10 MetS) participated in a single-blinded randomized cross-over study. In a random sequence, subjects ingested energy-matched breakfasts composed predominately of either dairy-protein or soy-protein foods. Skeletal muscle biopsies were collected in the fasted state and at 2 and 4 h post-meal ingestion for the analysis of mTOR- and insulin-signalling kinase activation.\nResults: Phosphorylated Akt and Insulin receptor substrate 1 (IRS1) increased during the postabsorptive period with no difference between groups. mTOR (Ser448) and ribosomal protein S6 phosphorylation increased 2 h following dairy meal consumption only. p70S6K (Thr389) phosphorylation was increased after feeding only in the control subjects and not in the MetS group.\nConclusions: These data demonstrate that the consumption of a dairy-protein rich but not a soy-protein rich breakfast activates the phosphorylation of mTOR and ribosomal protein S6, required for protein synthesis in human skeletal muscle. Unlike healthy controls, subjects with MetS did not increase muscle p70S6K(Thr389) phosphorylation in response to a mixed meal. Trial registration. This trial was registered with the Australian New Zealand Clinical Trials Registry (ANZCTR) as ACTRN12610000562077.","author":[{"dropping-particle":"","family":"Gran","given":"Petra","non-dropping-particle":"","parse-names":false,"suffix":""},{"dropping-particle":"","family":"Larsen","given":"Amy E.","non-dropping-particle":"","parse-names":false,"suffix":""},{"dropping-particle":"","family":"Bonham","given":"Maxine","non-dropping-particle":"","parse-names":false,"suffix":""},{"dropping-particle":"","family":"Dordevic","given":"Aimee L.","non-dropping-particle":"","parse-names":false,"suffix":""},{"dropping-particle":"","family":"Rupasinghe","given":"Thusitha","non-dropping-particle":"","parse-names":false,"suffix":""},{"dropping-particle":"","family":"Silva","given":"Claudio","non-dropping-particle":"","parse-names":false,"suffix":""},{"dropping-particle":"","family":"Nahid","given":"Amsha","non-dropping-particle":"","parse-names":false,"suffix":""},{"dropping-particle":"","family":"Tull","given":"Dedreia","non-dropping-particle":"","parse-names":false,"suffix":""},{"dropping-particle":"","family":"Sinclair","given":"Andrew J.","non-dropping-particle":"","parse-names":false,"suffix":""},{"dropping-particle":"","family":"Mitchell","given":"Cameron J.","non-dropping-particle":"","parse-names":false,"suffix":""},{"dropping-particle":"","family":"Cameron-Smith","given":"David","non-dropping-particle":"","parse-names":false,"suffix":""}],"container-title":"Nutrition and Metabolism","id":"ITEM-1","issue":"1","issued":{"date-parts":[["2014","9","30"]]},"page":"1-14","publisher":"BioMed Central Ltd.","title":"Muscle p70S6K phosphorylation in response to soy and dairy rich meals in middle aged men with metabolic syndrome: A randomised crossover trial","type":"article-journal","volume":"11"},"uris":["http://www.mendeley.com/documents/?uuid=85aca79b-7f43-3313-a046-fa85123c89c4"]}],"mendeley":{"formattedCitation":"(107)","plainTextFormattedCitation":"(107)","previouslyFormattedCitation":"(107)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(107)</w:t>
      </w:r>
      <w:r w:rsidRPr="00F56683">
        <w:rPr>
          <w:rFonts w:cstheme="minorHAnsi"/>
          <w:color w:val="000000" w:themeColor="text1"/>
        </w:rPr>
        <w:fldChar w:fldCharType="end"/>
      </w:r>
      <w:r w:rsidRPr="00F56683">
        <w:rPr>
          <w:rFonts w:cstheme="minorHAnsi"/>
          <w:color w:val="000000" w:themeColor="text1"/>
        </w:rPr>
        <w:t xml:space="preserve"> looked at the phosphorylation responses of downstream protein</w:t>
      </w:r>
      <w:r w:rsidR="00F70725" w:rsidRPr="00F56683">
        <w:rPr>
          <w:rFonts w:cstheme="minorHAnsi"/>
          <w:color w:val="000000" w:themeColor="text1"/>
        </w:rPr>
        <w:t>s</w:t>
      </w:r>
      <w:r w:rsidRPr="00F56683">
        <w:rPr>
          <w:rFonts w:cstheme="minorHAnsi"/>
          <w:color w:val="000000" w:themeColor="text1"/>
        </w:rPr>
        <w:t xml:space="preserve"> of the mTOR pathway by collecting </w:t>
      </w:r>
      <w:r w:rsidR="00A42CCB" w:rsidRPr="00F56683">
        <w:rPr>
          <w:rFonts w:cstheme="minorHAnsi"/>
          <w:color w:val="000000" w:themeColor="text1"/>
        </w:rPr>
        <w:t xml:space="preserve">muscle </w:t>
      </w:r>
      <w:r w:rsidRPr="00F56683">
        <w:rPr>
          <w:rFonts w:cstheme="minorHAnsi"/>
          <w:color w:val="000000" w:themeColor="text1"/>
        </w:rPr>
        <w:t>biopsies at 2</w:t>
      </w:r>
      <w:r w:rsidR="00C037EF" w:rsidRPr="00F56683">
        <w:rPr>
          <w:rFonts w:cstheme="minorHAnsi"/>
          <w:color w:val="000000" w:themeColor="text1"/>
        </w:rPr>
        <w:t xml:space="preserve"> </w:t>
      </w:r>
      <w:r w:rsidRPr="00F56683">
        <w:rPr>
          <w:rFonts w:cstheme="minorHAnsi"/>
          <w:color w:val="000000" w:themeColor="text1"/>
        </w:rPr>
        <w:t>and 4 hour timepoints from participants who had consumed energy-matched breakfasts</w:t>
      </w:r>
      <w:r w:rsidR="00F70725" w:rsidRPr="00F56683">
        <w:rPr>
          <w:rFonts w:cstheme="minorHAnsi"/>
          <w:color w:val="000000" w:themeColor="text1"/>
        </w:rPr>
        <w:t>. These</w:t>
      </w:r>
      <w:r w:rsidRPr="00F56683">
        <w:rPr>
          <w:rFonts w:cstheme="minorHAnsi"/>
          <w:color w:val="000000" w:themeColor="text1"/>
        </w:rPr>
        <w:t xml:space="preserve"> contain</w:t>
      </w:r>
      <w:r w:rsidR="00F70725" w:rsidRPr="00F56683">
        <w:rPr>
          <w:rFonts w:cstheme="minorHAnsi"/>
          <w:color w:val="000000" w:themeColor="text1"/>
        </w:rPr>
        <w:t>ed</w:t>
      </w:r>
      <w:r w:rsidRPr="00F56683">
        <w:rPr>
          <w:rFonts w:cstheme="minorHAnsi"/>
          <w:color w:val="000000" w:themeColor="text1"/>
        </w:rPr>
        <w:t xml:space="preserve"> either predominantly dairy-protein or soy-protein food. </w:t>
      </w:r>
      <w:r w:rsidRPr="00F56683">
        <w:rPr>
          <w:rFonts w:cstheme="minorHAnsi"/>
          <w:color w:val="000000" w:themeColor="text1"/>
          <w:shd w:val="clear" w:color="auto" w:fill="FFFFFF"/>
        </w:rPr>
        <w:t xml:space="preserve">A meal effect </w:t>
      </w:r>
      <w:r w:rsidR="00F70725" w:rsidRPr="00F56683">
        <w:rPr>
          <w:rFonts w:cstheme="minorHAnsi"/>
          <w:color w:val="000000" w:themeColor="text1"/>
          <w:shd w:val="clear" w:color="auto" w:fill="FFFFFF"/>
        </w:rPr>
        <w:t>(p</w:t>
      </w:r>
      <w:r w:rsidRPr="00F56683">
        <w:rPr>
          <w:rFonts w:cstheme="minorHAnsi"/>
          <w:color w:val="000000" w:themeColor="text1"/>
          <w:shd w:val="clear" w:color="auto" w:fill="FFFFFF"/>
        </w:rPr>
        <w:t>=0.05) was observed with post hoc analysis revealing an elevation in mTOR Ser2448 phosphorylation following the dairy meal only, at the 2 hour time-point. Furthermore, the expression of phosphorylated ribosomal protein S6 kinase on Ser240/244 was elevated 2 h</w:t>
      </w:r>
      <w:r w:rsidR="00F70725" w:rsidRPr="00F56683">
        <w:rPr>
          <w:rFonts w:cstheme="minorHAnsi"/>
          <w:color w:val="000000" w:themeColor="text1"/>
          <w:shd w:val="clear" w:color="auto" w:fill="FFFFFF"/>
        </w:rPr>
        <w:t>ours</w:t>
      </w:r>
      <w:r w:rsidRPr="00F56683">
        <w:rPr>
          <w:rFonts w:cstheme="minorHAnsi"/>
          <w:color w:val="000000" w:themeColor="text1"/>
          <w:shd w:val="clear" w:color="auto" w:fill="FFFFFF"/>
        </w:rPr>
        <w:t xml:space="preserve"> and 4 h</w:t>
      </w:r>
      <w:r w:rsidR="00F70725" w:rsidRPr="00F56683">
        <w:rPr>
          <w:rFonts w:cstheme="minorHAnsi"/>
          <w:color w:val="000000" w:themeColor="text1"/>
          <w:shd w:val="clear" w:color="auto" w:fill="FFFFFF"/>
        </w:rPr>
        <w:t>ours</w:t>
      </w:r>
      <w:r w:rsidRPr="00F56683">
        <w:rPr>
          <w:rFonts w:cstheme="minorHAnsi"/>
          <w:color w:val="000000" w:themeColor="text1"/>
          <w:shd w:val="clear" w:color="auto" w:fill="FFFFFF"/>
        </w:rPr>
        <w:t xml:space="preserve"> following consumption of the dairy meal, only.</w:t>
      </w:r>
      <w:r w:rsidRPr="00F56683">
        <w:rPr>
          <w:rFonts w:cstheme="minorHAnsi"/>
          <w:color w:val="000000" w:themeColor="text1"/>
        </w:rPr>
        <w:t xml:space="preserve"> Their findings suggest that </w:t>
      </w:r>
      <w:r w:rsidRPr="00F56683">
        <w:rPr>
          <w:rFonts w:cstheme="minorHAnsi"/>
          <w:color w:val="000000" w:themeColor="text1"/>
          <w:shd w:val="clear" w:color="auto" w:fill="FFFFFF"/>
        </w:rPr>
        <w:t>dairy-protein</w:t>
      </w:r>
      <w:r w:rsidR="00F70725" w:rsidRPr="00F56683">
        <w:rPr>
          <w:rFonts w:cstheme="minorHAnsi"/>
          <w:color w:val="000000" w:themeColor="text1"/>
          <w:shd w:val="clear" w:color="auto" w:fill="FFFFFF"/>
        </w:rPr>
        <w:t>-</w:t>
      </w:r>
      <w:r w:rsidRPr="00F56683">
        <w:rPr>
          <w:rFonts w:cstheme="minorHAnsi"/>
          <w:color w:val="000000" w:themeColor="text1"/>
          <w:shd w:val="clear" w:color="auto" w:fill="FFFFFF"/>
        </w:rPr>
        <w:t>rich but not a soy-protein</w:t>
      </w:r>
      <w:r w:rsidR="00121DF9" w:rsidRPr="00F56683">
        <w:rPr>
          <w:rFonts w:cstheme="minorHAnsi"/>
          <w:color w:val="000000" w:themeColor="text1"/>
          <w:shd w:val="clear" w:color="auto" w:fill="FFFFFF"/>
        </w:rPr>
        <w:t>-</w:t>
      </w:r>
      <w:r w:rsidRPr="00F56683">
        <w:rPr>
          <w:rFonts w:cstheme="minorHAnsi"/>
          <w:color w:val="000000" w:themeColor="text1"/>
          <w:shd w:val="clear" w:color="auto" w:fill="FFFFFF"/>
        </w:rPr>
        <w:t>rich breakfast activates the phosphorylation of mTOR and ribosomal protein S6. The leucine content of the two meals differed</w:t>
      </w:r>
      <w:r w:rsidR="00F70725" w:rsidRPr="00F56683">
        <w:rPr>
          <w:rFonts w:cstheme="minorHAnsi"/>
          <w:color w:val="000000" w:themeColor="text1"/>
          <w:shd w:val="clear" w:color="auto" w:fill="FFFFFF"/>
        </w:rPr>
        <w:t xml:space="preserve"> </w:t>
      </w:r>
      <w:r w:rsidRPr="00F56683">
        <w:rPr>
          <w:rFonts w:cstheme="minorHAnsi"/>
          <w:color w:val="000000" w:themeColor="text1"/>
          <w:shd w:val="clear" w:color="auto" w:fill="FFFFFF"/>
        </w:rPr>
        <w:t>and</w:t>
      </w:r>
      <w:r w:rsidR="00F70725"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 </w:t>
      </w:r>
      <w:r w:rsidR="00F70725" w:rsidRPr="00F56683">
        <w:rPr>
          <w:rFonts w:cstheme="minorHAnsi"/>
          <w:color w:val="000000" w:themeColor="text1"/>
          <w:shd w:val="clear" w:color="auto" w:fill="FFFFFF"/>
        </w:rPr>
        <w:t>because</w:t>
      </w:r>
      <w:r w:rsidRPr="00F56683">
        <w:rPr>
          <w:rFonts w:cstheme="minorHAnsi"/>
          <w:color w:val="000000" w:themeColor="text1"/>
          <w:shd w:val="clear" w:color="auto" w:fill="FFFFFF"/>
        </w:rPr>
        <w:t xml:space="preserve"> leucine is a key regulator of the mTOR pathway,</w:t>
      </w:r>
      <w:r w:rsidR="00F70725" w:rsidRPr="00F56683">
        <w:rPr>
          <w:rFonts w:cstheme="minorHAnsi"/>
          <w:color w:val="000000" w:themeColor="text1"/>
          <w:shd w:val="clear" w:color="auto" w:fill="FFFFFF"/>
        </w:rPr>
        <w:t xml:space="preserve"> this</w:t>
      </w:r>
      <w:r w:rsidRPr="00F56683">
        <w:rPr>
          <w:rFonts w:cstheme="minorHAnsi"/>
          <w:color w:val="000000" w:themeColor="text1"/>
          <w:shd w:val="clear" w:color="auto" w:fill="FFFFFF"/>
        </w:rPr>
        <w:t xml:space="preserve"> may expla</w:t>
      </w:r>
      <w:r w:rsidR="00F70725" w:rsidRPr="00F56683">
        <w:rPr>
          <w:rFonts w:cstheme="minorHAnsi"/>
          <w:color w:val="000000" w:themeColor="text1"/>
          <w:shd w:val="clear" w:color="auto" w:fill="FFFFFF"/>
        </w:rPr>
        <w:t>in</w:t>
      </w:r>
      <w:r w:rsidRPr="00F56683">
        <w:rPr>
          <w:rFonts w:cstheme="minorHAnsi"/>
          <w:color w:val="000000" w:themeColor="text1"/>
          <w:shd w:val="clear" w:color="auto" w:fill="FFFFFF"/>
        </w:rPr>
        <w:t xml:space="preserve"> the findings observed. Measurements were not taken, however to </w:t>
      </w:r>
      <w:r w:rsidR="00F70725" w:rsidRPr="00F56683">
        <w:rPr>
          <w:rFonts w:cstheme="minorHAnsi"/>
          <w:color w:val="000000" w:themeColor="text1"/>
          <w:shd w:val="clear" w:color="auto" w:fill="FFFFFF"/>
        </w:rPr>
        <w:t>explore the</w:t>
      </w:r>
      <w:r w:rsidRPr="00F56683">
        <w:rPr>
          <w:rFonts w:cstheme="minorHAnsi"/>
          <w:color w:val="000000" w:themeColor="text1"/>
          <w:shd w:val="clear" w:color="auto" w:fill="FFFFFF"/>
        </w:rPr>
        <w:t xml:space="preserve"> influence the different meals had in terms of muscle mass changes.  </w:t>
      </w:r>
    </w:p>
    <w:p w14:paraId="6A3BC875" w14:textId="735DCD34" w:rsidR="004F4AF8" w:rsidRPr="00F56683" w:rsidRDefault="004F4AF8" w:rsidP="00F42CB9">
      <w:pPr>
        <w:spacing w:line="360" w:lineRule="auto"/>
        <w:rPr>
          <w:rFonts w:cstheme="minorHAnsi"/>
          <w:color w:val="000000" w:themeColor="text1"/>
        </w:rPr>
      </w:pPr>
      <w:r w:rsidRPr="00F56683">
        <w:rPr>
          <w:rFonts w:cstheme="minorHAnsi"/>
          <w:color w:val="000000" w:themeColor="text1"/>
        </w:rPr>
        <w:t>Evidence to oppose the findings that soy is inferior to animal proteins is available, but often an exercise component is included in the research, which is likely to be responsible for influencing the anabolic properties of the proteins and will be explored further later in the review</w:t>
      </w:r>
      <w:r w:rsidR="00C037EF" w:rsidRPr="00F56683">
        <w:rPr>
          <w:rFonts w:cstheme="minorHAnsi"/>
          <w:color w:val="000000" w:themeColor="text1"/>
        </w:rPr>
        <w:t xml:space="preserve"> (section 1.5</w:t>
      </w:r>
      <w:r w:rsidRPr="00F56683">
        <w:rPr>
          <w:rFonts w:cstheme="minorHAnsi"/>
          <w:color w:val="000000" w:themeColor="text1"/>
        </w:rPr>
        <w:t>.</w:t>
      </w:r>
      <w:r w:rsidR="00C037EF" w:rsidRPr="00F56683">
        <w:rPr>
          <w:rFonts w:cstheme="minorHAnsi"/>
          <w:color w:val="000000" w:themeColor="text1"/>
        </w:rPr>
        <w:t>)</w:t>
      </w:r>
      <w:r w:rsidRPr="00F56683">
        <w:rPr>
          <w:rFonts w:cstheme="minorHAnsi"/>
          <w:color w:val="000000" w:themeColor="text1"/>
        </w:rPr>
        <w:t xml:space="preserve">  Messina et al</w:t>
      </w:r>
      <w:r w:rsidR="00F70725"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{"citationItems":[{"id":"ITEM-1","itemData":{"DOI":"10.1123/ijsnem.2018-0071","abstract":"Much attention has been given to determining the influence of total protein intake and protein source on gains in lean body mass (LBM) and strength in response to resistance exercise training (RET). Acute studies indicate that whey protein, likely related to its higher leucine content, stimulates muscle protein synthesis to a greater extent than proteins such as soy and casein. Less clear is the extent to which the type of protein supplemented impacts strength and LBM in long-term studies (≥6 weeks). Therefore, a meta-analysis was conducted to compare the effect of supplementation with soy protein to animal protein supplementation on strength and LBM in response to RET. Nine studies involving 266 participants suitable for inclusion in the meta-analysis were identified. Five studies compared whey with soy protein, and four studies compared soy protein with other proteins (beef, milk, or dairy protein). Meta-analysis showed that supplementing RET with whey or soy protein resulted in significant increases in strength but found no difference between groups (bench press: χ 2 = 0.02, p = .90; squat: χ 2 = 0.22, p = .64). There was no significant effect of whey or soy alone (n = 5) on LBM change and no differences between groups (χ 2 = 0.00, p = .96). Strength and LBM both increased significantly in the \"other protein\" and the soy groups (n = 9), but there were no between-group differences (bench: χ 2 = 0.02, p = .88; squat: χ 2 = 0.78, p = .38; and LBM: χ 2 = 0.06, p = .80). The results of this meta-analysis indicate that soy protein supplementation produces similar gains in strength and LBM in response to RET as whey protein.","author":[{"dropping-particle":"","family":"Messina","given":"Mark","non-dropping-particle":"","parse-names":false,"suffix":""},{"dropping-particle":"","family":"Lynch","given":"Heidi","non-dropping-particle":"","parse-names":false,"suffix":""},{"dropping-particle":"","family":"Dickinson","given":"Jared M","non-dropping-particle":"","parse-names":false,"suffix":""},{"dropping-particle":"","family":"Reed","given":"Katharine E","non-dropping-particle":"","parse-names":false,"suffix":""}],"id":"ITEM-1","issued":{"date-parts":[["2018"]]},"title":"No Difference Between the Effects of Supplementing With Soy Protein Versus Animal Protein on Gains in Muscle Mass and Strength in Response to Resistance Exercise","type":"article-journal"},"uris":["http://www.mendeley.com/documents/?uuid=9f5e3b89-588c-3514-b818-6f3500feefe9"]}],"mendeley":{"formattedCitation":"(108)","plainTextFormattedCitation":"(108)","previouslyFormattedCitation":"(108)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(108)</w:t>
      </w:r>
      <w:r w:rsidRPr="00F56683">
        <w:rPr>
          <w:rFonts w:cstheme="minorHAnsi"/>
          <w:color w:val="000000" w:themeColor="text1"/>
        </w:rPr>
        <w:fldChar w:fldCharType="end"/>
      </w:r>
      <w:r w:rsidRPr="00F56683">
        <w:rPr>
          <w:rFonts w:cstheme="minorHAnsi"/>
          <w:color w:val="000000" w:themeColor="text1"/>
        </w:rPr>
        <w:t xml:space="preserve"> carried out a meta-analysis and identified five studies which specifically compared supplementation of soy protein to whey protein and a further four which utilised other animal proteins (beef, dairy or milk) in comparison to soy. Their outcomes of interest were to understand the effect of each protein source on lean tissue accretion and strength after the performance of RET. They found that there w</w:t>
      </w:r>
      <w:r w:rsidR="00121DF9" w:rsidRPr="00F56683">
        <w:rPr>
          <w:rFonts w:cstheme="minorHAnsi"/>
          <w:color w:val="000000" w:themeColor="text1"/>
        </w:rPr>
        <w:t>ere</w:t>
      </w:r>
      <w:r w:rsidRPr="00F56683">
        <w:rPr>
          <w:rFonts w:cstheme="minorHAnsi"/>
          <w:color w:val="000000" w:themeColor="text1"/>
        </w:rPr>
        <w:t xml:space="preserve"> no significant differences in the change in bench press 1RM (χ2=0.02, p=0.90), squat strength ( χ2=0.22, p = 0.64) or for increases in lean body mass (LBM) (χ2=0.00, p=0.96) when whey </w:t>
      </w:r>
      <w:r w:rsidRPr="00F56683">
        <w:rPr>
          <w:rFonts w:cstheme="minorHAnsi"/>
          <w:color w:val="000000" w:themeColor="text1"/>
        </w:rPr>
        <w:lastRenderedPageBreak/>
        <w:t xml:space="preserve">was compared to soy.  Similar outcomes were observed when soy was compared to other animal proteins. </w:t>
      </w:r>
    </w:p>
    <w:p w14:paraId="1286222C" w14:textId="77777777" w:rsidR="004F4AF8" w:rsidRPr="00F56683" w:rsidRDefault="004F4AF8" w:rsidP="00F42CB9">
      <w:pPr>
        <w:spacing w:line="360" w:lineRule="auto"/>
        <w:rPr>
          <w:rFonts w:cstheme="minorHAnsi"/>
          <w:color w:val="000000" w:themeColor="text1"/>
        </w:rPr>
      </w:pPr>
    </w:p>
    <w:p w14:paraId="3ED9BA84" w14:textId="4BE8305C" w:rsidR="004F4AF8" w:rsidRPr="00F56683" w:rsidRDefault="00F70725" w:rsidP="00F42CB9">
      <w:pPr>
        <w:spacing w:line="360" w:lineRule="auto"/>
        <w:rPr>
          <w:rFonts w:cstheme="minorHAnsi"/>
          <w:color w:val="000000" w:themeColor="text1"/>
        </w:rPr>
      </w:pPr>
      <w:r w:rsidRPr="00F56683">
        <w:rPr>
          <w:rFonts w:cstheme="minorHAnsi"/>
          <w:color w:val="000000" w:themeColor="text1"/>
        </w:rPr>
        <w:t>D</w:t>
      </w:r>
      <w:r w:rsidR="004F4AF8" w:rsidRPr="00F56683">
        <w:rPr>
          <w:rFonts w:cstheme="minorHAnsi"/>
          <w:color w:val="000000" w:themeColor="text1"/>
        </w:rPr>
        <w:t>igestion rates and absorption profiles also influence protein quality scores (DIAAS). Whey and casein (milk proteins) have differing properties, making comparisons of interest. Whey is considered a ‘fast’ protein, due to its non-coagulating nature, meaning it rapidly empties from the stomach. Casein, on the other hand, does coagulate so i</w:t>
      </w:r>
      <w:r w:rsidR="00C037EF" w:rsidRPr="00F56683">
        <w:rPr>
          <w:rFonts w:cstheme="minorHAnsi"/>
          <w:color w:val="000000" w:themeColor="text1"/>
        </w:rPr>
        <w:t>s</w:t>
      </w:r>
      <w:r w:rsidR="004F4AF8" w:rsidRPr="00F56683">
        <w:rPr>
          <w:rFonts w:cstheme="minorHAnsi"/>
          <w:color w:val="000000" w:themeColor="text1"/>
        </w:rPr>
        <w:t xml:space="preserve"> more slowly digested and absorbed. Tang et al</w:t>
      </w:r>
      <w:r w:rsidR="00532FC4" w:rsidRPr="00F56683">
        <w:rPr>
          <w:rFonts w:cstheme="minorHAnsi"/>
          <w:color w:val="000000" w:themeColor="text1"/>
        </w:rPr>
        <w:t>.</w:t>
      </w:r>
      <w:r w:rsidR="004F4AF8" w:rsidRPr="00F56683">
        <w:rPr>
          <w:rFonts w:cstheme="minorHAnsi"/>
          <w:color w:val="000000" w:themeColor="text1"/>
        </w:rPr>
        <w:t xml:space="preserve"> </w:t>
      </w:r>
      <w:r w:rsidR="004F4AF8" w:rsidRPr="00F56683">
        <w:rPr>
          <w:rFonts w:cstheme="minorHAnsi"/>
          <w:color w:val="000000" w:themeColor="text1"/>
        </w:rPr>
        <w:fldChar w:fldCharType="begin" w:fldLock="1"/>
      </w:r>
      <w:r w:rsidR="00E86F8C">
        <w:rPr>
          <w:rFonts w:cstheme="minorHAnsi"/>
          <w:color w:val="000000" w:themeColor="text1"/>
        </w:rPr>
        <w:instrText xml:space="preserve">ADDIN CSL_CITATION {"citationItems":[{"id":"ITEM-1","itemData":{"DOI":"10.1152/JAPPLPHYSIOL.00076.2009/ASSET/IMAGES/LARGE/ZDG0090987010005.JPEG","ISSN":"87507587","PMID":"19589961","abstract":"This study was designed to compare the acute response of mixed muscle protein synthesis (MPS) to rapidly (i.e., whey hydrolysate and soy) and slowly (i.e., micellar casein) digested proteins both at rest and after resistance exercise. Three groups of healthy young men (n = 6 per group) performed a bout of unilateral leg resistance exercise followed by the consumption of a drink containing an equivalent content of essential amino acids (10 g) as either whey hydrolysate, micellar casein, or soy protein isolate. Mixed MPS was determined by a primed constant infusion of L-[ring-13C6] phenylalanine. Ingestion of whey protein resulted in a larger increase in blood essential amino acid, branched-chain amino acid, and leucine concentrations than either casein or soy (P &lt; 0.05). Mixed MPS at rest (determined in the nonexercised leg) was higher with ingestion of faster proteins (whey = 0.091 ± 0.015, soy = 0.078 ± 0.014, casein = 0.047 ± 0.008%/h); MPS after consumption of whey was </w:instrText>
      </w:r>
      <w:r w:rsidR="00E86F8C">
        <w:rPr>
          <w:rFonts w:ascii="Cambria Math" w:hAnsi="Cambria Math" w:cs="Cambria Math"/>
          <w:color w:val="000000" w:themeColor="text1"/>
        </w:rPr>
        <w:instrText>∼</w:instrText>
      </w:r>
      <w:r w:rsidR="00E86F8C">
        <w:rPr>
          <w:rFonts w:cstheme="minorHAnsi"/>
          <w:color w:val="000000" w:themeColor="text1"/>
        </w:rPr>
        <w:instrText xml:space="preserve">93% greater than casein (P &lt; 0.01) and </w:instrText>
      </w:r>
      <w:r w:rsidR="00E86F8C">
        <w:rPr>
          <w:rFonts w:ascii="Cambria Math" w:hAnsi="Cambria Math" w:cs="Cambria Math"/>
          <w:color w:val="000000" w:themeColor="text1"/>
        </w:rPr>
        <w:instrText>∼</w:instrText>
      </w:r>
      <w:r w:rsidR="00E86F8C">
        <w:rPr>
          <w:rFonts w:cstheme="minorHAnsi"/>
          <w:color w:val="000000" w:themeColor="text1"/>
        </w:rPr>
        <w:instrText xml:space="preserve">18% greater than soy (P = 0.067). A similar result was observed after exercise (whey &gt; soy &gt; casein); MPS following whey consumption was </w:instrText>
      </w:r>
      <w:r w:rsidR="00E86F8C">
        <w:rPr>
          <w:rFonts w:ascii="Cambria Math" w:hAnsi="Cambria Math" w:cs="Cambria Math"/>
          <w:color w:val="000000" w:themeColor="text1"/>
        </w:rPr>
        <w:instrText>∼</w:instrText>
      </w:r>
      <w:r w:rsidR="00E86F8C">
        <w:rPr>
          <w:rFonts w:cstheme="minorHAnsi"/>
          <w:color w:val="000000" w:themeColor="text1"/>
        </w:rPr>
        <w:instrText>122% greater than casein (P &lt; 0.01) and 31% greater than soy (P &lt; 0.05). MPS was also greater with soy consumption at rest (64%) and following resistance exercise (69%) compared with casein (both P &lt; 0.01). We conclude that the feeding-induced simulation of MPS in young men is greater after whey hydrolysate or soy protein consumption than casein both at rest and after resistance exercise; moreover, despite both being fast proteins, whey hydrolysate stimulated MPS to a greater degree than soy after resistance exercise. These differences may be related to how quickly the proteins are digested (i.e., fast vs. slow) or possibly to small differences in leucine content of each protein. Copyright © 2009 the American Physiological Society.","author":[{"dropping-particle":"","family":"Tang","given":"Jason E.","non-dropping-particle":"","parse-names":false,"suffix":""},{"dropping-particle":"","family":"Moore","given":"Daniel R.","non-dropping-particle":"","parse-names":false,"suffix":""},{"dropping-particle":"","family":"Kujbida","given":"Gregory W.","non-dropping-particle":"","parse-names":false,"suffix":""},{"dropping-particle":"","family":"Tarnopolsky","given":"Mark A.","non-dropping-particle":"","parse-names":false,"suffix":""},{"dropping-particle":"","family":"Phillips","given":"Stuart M.","non-dropping-particle":"","parse-names":false,"suffix":""}],"container-title":"Journal of Applied Physiology","id":"ITEM-1","issue":"3","issued":{"date-parts":[["2009","9"]]},"page":"987-992","publisher":"American Physiological Society","title":"Ingestion of whey hydrolysate, casein, or soy protein isolate: Effects on mixed muscle protein synthesis at rest and following resistance exercise in young men","type":"article-journal","volume":"107"},"uris":["http://www.mendeley.com/documents/?uuid=b05a6389-d1be-367b-998e-96ba7f93482f"]}],"mendeley":{"formattedCitation":"(109)","plainTextFormattedCitation":"(109)","previouslyFormattedCitation":"(109)"},"properties":{"noteIndex":0},"schema":"https://github.com/citation-style-language/schema/raw/master/csl-citation.json"}</w:instrText>
      </w:r>
      <w:r w:rsidR="004F4AF8" w:rsidRPr="00F56683">
        <w:rPr>
          <w:rFonts w:cstheme="minorHAnsi"/>
          <w:color w:val="000000" w:themeColor="text1"/>
        </w:rPr>
        <w:fldChar w:fldCharType="separate"/>
      </w:r>
      <w:r w:rsidR="00057AE3" w:rsidRPr="00057AE3">
        <w:rPr>
          <w:rFonts w:cstheme="minorHAnsi"/>
          <w:noProof/>
          <w:color w:val="000000" w:themeColor="text1"/>
        </w:rPr>
        <w:t>(109)</w:t>
      </w:r>
      <w:r w:rsidR="004F4AF8" w:rsidRPr="00F56683">
        <w:rPr>
          <w:rFonts w:cstheme="minorHAnsi"/>
          <w:color w:val="000000" w:themeColor="text1"/>
        </w:rPr>
        <w:fldChar w:fldCharType="end"/>
      </w:r>
      <w:r w:rsidR="004F4AF8" w:rsidRPr="00F56683">
        <w:rPr>
          <w:rFonts w:cstheme="minorHAnsi"/>
          <w:color w:val="000000" w:themeColor="text1"/>
        </w:rPr>
        <w:t xml:space="preserve"> provided participants with either whey (21.4 g), casein (21.9 g), or soy (22.2 g) drinks, approximately 100kcal each in energy. 10g of EAA w</w:t>
      </w:r>
      <w:r w:rsidR="00121DF9" w:rsidRPr="00F56683">
        <w:rPr>
          <w:rFonts w:cstheme="minorHAnsi"/>
          <w:color w:val="000000" w:themeColor="text1"/>
        </w:rPr>
        <w:t>as</w:t>
      </w:r>
      <w:r w:rsidR="004F4AF8" w:rsidRPr="00F56683">
        <w:rPr>
          <w:rFonts w:cstheme="minorHAnsi"/>
          <w:color w:val="000000" w:themeColor="text1"/>
        </w:rPr>
        <w:t xml:space="preserve"> provided with each protein dose. Their aim was to assess the acute MPS response (180 minutes) after consumption of the different protein types, both at rest and after exercise. MPS following the ingestion of whey was ~93% greater than when casein was consumed (</w:t>
      </w:r>
      <w:r w:rsidR="00C037EF" w:rsidRPr="00F56683">
        <w:rPr>
          <w:rFonts w:cstheme="minorHAnsi"/>
          <w:color w:val="000000" w:themeColor="text1"/>
        </w:rPr>
        <w:t>p</w:t>
      </w:r>
      <w:r w:rsidR="004F4AF8" w:rsidRPr="00F56683">
        <w:rPr>
          <w:rFonts w:cstheme="minorHAnsi"/>
          <w:color w:val="000000" w:themeColor="text1"/>
        </w:rPr>
        <w:t>&lt;0.01) and ~18% great at stimulating MPS than soy (p=0.067) under rest conditions. When</w:t>
      </w:r>
      <w:r w:rsidR="009D74BA" w:rsidRPr="00F56683">
        <w:rPr>
          <w:rFonts w:cstheme="minorHAnsi"/>
          <w:color w:val="000000" w:themeColor="text1"/>
        </w:rPr>
        <w:t xml:space="preserve"> the</w:t>
      </w:r>
      <w:r w:rsidR="004F4AF8" w:rsidRPr="00F56683">
        <w:rPr>
          <w:rFonts w:cstheme="minorHAnsi"/>
          <w:color w:val="000000" w:themeColor="text1"/>
        </w:rPr>
        <w:t xml:space="preserve"> exercise was conducted before protein was consumed, whey stimulated MPS ~122% more compared to casein (p&lt;0.01) and ~31% more compared to soy (p&lt;0.05); effectively demonstrating it a</w:t>
      </w:r>
      <w:r w:rsidR="00A42CCB" w:rsidRPr="00F56683">
        <w:rPr>
          <w:rFonts w:cstheme="minorHAnsi"/>
          <w:color w:val="000000" w:themeColor="text1"/>
        </w:rPr>
        <w:t>s a</w:t>
      </w:r>
      <w:r w:rsidR="004F4AF8" w:rsidRPr="00F56683">
        <w:rPr>
          <w:rFonts w:cstheme="minorHAnsi"/>
          <w:color w:val="000000" w:themeColor="text1"/>
        </w:rPr>
        <w:t xml:space="preserve"> superior protein for promoting muscle growth. This stud</w:t>
      </w:r>
      <w:r w:rsidR="00C037EF" w:rsidRPr="00F56683">
        <w:rPr>
          <w:rFonts w:cstheme="minorHAnsi"/>
          <w:color w:val="000000" w:themeColor="text1"/>
        </w:rPr>
        <w:t>y</w:t>
      </w:r>
      <w:r w:rsidR="004F4AF8" w:rsidRPr="00F56683">
        <w:rPr>
          <w:rFonts w:cstheme="minorHAnsi"/>
          <w:color w:val="000000" w:themeColor="text1"/>
        </w:rPr>
        <w:t xml:space="preserve"> was carried out in young men, and the participant numbers were small (n=6 per group), so generali</w:t>
      </w:r>
      <w:r w:rsidR="00E632DB" w:rsidRPr="00F56683">
        <w:rPr>
          <w:rFonts w:cstheme="minorHAnsi"/>
          <w:color w:val="000000" w:themeColor="text1"/>
        </w:rPr>
        <w:t>sation of</w:t>
      </w:r>
      <w:r w:rsidR="004F4AF8" w:rsidRPr="00F56683">
        <w:rPr>
          <w:rFonts w:cstheme="minorHAnsi"/>
          <w:color w:val="000000" w:themeColor="text1"/>
        </w:rPr>
        <w:t xml:space="preserve"> the results should be done with caution.</w:t>
      </w:r>
    </w:p>
    <w:p w14:paraId="41D52D33" w14:textId="77777777" w:rsidR="004F4AF8" w:rsidRPr="00F56683" w:rsidRDefault="004F4AF8" w:rsidP="00F42CB9">
      <w:pPr>
        <w:spacing w:line="360" w:lineRule="auto"/>
        <w:rPr>
          <w:rFonts w:cstheme="minorHAnsi"/>
          <w:color w:val="000000" w:themeColor="text1"/>
        </w:rPr>
      </w:pPr>
    </w:p>
    <w:p w14:paraId="2A33CFCD" w14:textId="3A89F874"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52" w:name="_Toc135384250"/>
      <w:r w:rsidRPr="00F56683">
        <w:rPr>
          <w:rFonts w:asciiTheme="minorHAnsi" w:hAnsiTheme="minorHAnsi" w:cstheme="minorHAnsi"/>
          <w:b/>
          <w:bCs/>
          <w:color w:val="000000" w:themeColor="text1"/>
          <w:sz w:val="24"/>
          <w:szCs w:val="24"/>
        </w:rPr>
        <w:t>1.4 Exercise and muscle</w:t>
      </w:r>
      <w:bookmarkEnd w:id="52"/>
    </w:p>
    <w:p w14:paraId="20B7AFE2" w14:textId="68F97289"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It has been stated by Robert Butler, M.D.  “if exercise could be packed into a pill, it would be the single most widely prescribed and beneficial medicine in the world.” There is an abundance of evidence to demonstrate that exercise can reduce mortality risk and improve a whole host of health outcomes, including, but not limited to, regulation of blood pressure, obesity prevention, anxiety and depression and musculoskeletal health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{"citationItems":[{"id":"ITEM-1","itemData":{"DOI":"10.1186/S12889-020-09855-3/TABLES/3","ISSN":"14712458","PMID":"33198717","abstract":"Background: Sedentary lifestyle is a major risk factor for noncommunicable diseases such as cardiovascular diseases, cancer and diabetes. It has been estimated that approximately 3.2 million deaths each year are attributable to insufficient levels of physical activity. We evaluated the available evidence from Cochrane systematic reviews (CSRs) on the effectiveness of exercise/physical activity for various health outcomes. Methods: Overview and meta-analysis. The Cochrane Library was searched from 01.01.2000 to issue 1, 2019. No language restrictions were imposed. Only CSRs of randomised controlled trials (RCTs) were included. Both healthy individuals, those at risk of a disease, and medically compromised patients of any age and gender were eligible. We evaluated any type of exercise or physical activity interventions; against any types of controls; and measuring any type of health-related outcome measures. The AMSTAR-2 tool for assessing the methodological quality of the included studies was utilised. Results: Hundred and fifty CSRs met the inclusion criteria. There were 54 different conditions. Majority of CSRs were of high methodological quality. Hundred and thirty CSRs employed meta-analytic techniques and 20 did not. Limitations for studies were the most common reasons for downgrading the quality of the evidence. Based on 10 CSRs and 187 RCTs with 27,671 participants, there was a 13% reduction in mortality rates risk ratio (RR) 0.87 [95% confidence intervals (CI) 0.78 to 0.96]; I2 = 26.6%, [prediction interval (PI) 0.70, 1.07], median effect size (MES) = 0.93 [interquartile range (IQR) 0.81, 1.00]. Data from 15 CSRs and 408 RCTs with 32,984 participants showed a small improvement in quality of life (QOL) standardised mean difference (SMD) 0.18 [95% CI 0.08, 0.28]; I2 = 74.3%; PI -0.18, 0.53], MES = 0.20 [IQR 0.07, 0.39]. Subgroup analyses by the type of condition showed that the magnitude of effect size was the largest among patients with mental health conditions. Conclusion: There is a plethora of CSRs evaluating the effectiveness of physical activity/exercise. The evidence suggests that physical activity/exercise reduces mortality rates and improves QOL with minimal or no safety concerns. Trial registration: Registered in PROSPERO (CRD42019120295) on 10th January 2019.","author":[{"dropping-particle":"","family":"Posadzki","given":"Pawel","non-dropping-particle":"","parse-names":false,"suffix":""},{"dropping-particle":"","family":"Pieper","given":"Dawid","non-dropping-particle":"","parse-names":false,"suffix":""},{"dropping-particle":"","family":"Bajpai","given":"Ram","non-dropping-particle":"","parse-names":false,"suffix":""},{"dropping-particle":"","family":"Makaruk","given":"Hubert","non-dropping-particle":"","parse-names":false,"suffix":""},{"dropping-particle":"","family":"Könsgen","given":"Nadja","non-dropping-particle":"","parse-names":false,"suffix":""},{"dropping-particle":"","family":"Neuhaus","given":"Annika Lena","non-dropping-particle":"","parse-names":false,"suffix":""},{"dropping-particle":"","family":"Semwal","given":"Monika","non-dropping-particle":"","parse-names":false,"suffix":""}],"container-title":"BMC Public Health","id":"ITEM-1","issue":"1","issued":{"date-parts":[["2020","12","1"]]},"page":"1-12","publisher":"BioMed Central Ltd","title":"Exercise/physical activity and health outcomes: an overview of Cochrane systematic reviews","type":"article-journal","volume":"20"},"uris":["http://www.mendeley.com/documents/?uuid=5f6cb470-7201-3eea-85e0-7927a913f40e"]}],"mendeley":{"formattedCitation":"(110)","plainTextFormattedCitation":"(110)","previouslyFormattedCitation":"(110)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(110)</w:t>
      </w:r>
      <w:r w:rsidRPr="00F56683">
        <w:rPr>
          <w:rFonts w:cstheme="minorHAnsi"/>
          <w:color w:val="000000" w:themeColor="text1"/>
        </w:rPr>
        <w:fldChar w:fldCharType="end"/>
      </w:r>
      <w:r w:rsidRPr="00F56683">
        <w:rPr>
          <w:rFonts w:cstheme="minorHAnsi"/>
          <w:color w:val="000000" w:themeColor="text1"/>
        </w:rPr>
        <w:t>.</w:t>
      </w:r>
    </w:p>
    <w:p w14:paraId="41E344B9" w14:textId="4700BA09" w:rsidR="004F4AF8" w:rsidRPr="00F56683" w:rsidRDefault="004F4AF8" w:rsidP="00F42CB9">
      <w:pPr>
        <w:pStyle w:val="NormalWeb"/>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Lack of exercise has been proposed as a significant risk factor for sarcopenia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{"citationItems":[{"id":"ITEM-1","itemData":{"DOI":"10.1016/J.MATURITAS.2020.01.004","ISSN":"0378-5122","PMID":"32005425","abstract":"Introduction: The critical sociodemographic, lifestyle and diseases factors influencing sarcopenia, defined by the current European Working Group on Sarcopenia 2 (EWGSOP2) classification and cut-off points, have not yet been fully elucidated. This study aimed, therefore, to determine sociodemographic, anthropometric, lifestyle and health-related factors associated with sarcopenia using the new EWGSOP2 definition. Study design: 396,283 participants (52.8 % women, age 38–73 years) were included in this cross-sectional study. The potential factors associated with sarcopenia were allocated to four categories: sociodemographic (sex, age, education, income and professional qualification), anthropometric (nutritional status, abdominal obesity, body fat and birth weight), lifestyle (physical activity, smoking, sleeping, sitting time, TV viewing, alcohol, and dietary intakes) and health status (self-reported prevalent diseases). P-values were corrected for multiple testing using the Bonferroni method. Results: Age, women, lower education, higher deprivation, underweight, lower birth weight, and chronic diseases such as rheumatoid arthritis, chronic bronchitis and osteoporosis were associated with a higher likelihood of sarcopenia. Conversely, overweight, obesity, as well as a self-reported higher intake of energy, protein, vitamins (B12 and B9) and minerals (potassium, calcium and magnesium) were associated with lower odds of sarcopenia. Conclusion: Women, people aged over 65 years, underweight people and those with rheumatoid arthritis were most likely to have sarcopenia. Considering the increase in the ageing population, sarcopenia is likely to become more prevalent. Identifying factors associated with sarcopenia could inform future strategies for early identification of individuals at high risk of sarcopenia and therefore the implementation of preventive strategies against the disease.","author":[{"dropping-particle":"","family":"Petermann-Rocha","given":"Fanny","non-dropping-particle":"","parse-names":false,"suffix":""},{"dropping-particle":"","family":"Chen","given":"Minghao","non-dropping-particle":"","parse-names":false,"suffix":""},{"dropping-particle":"","family":"Gray","given":"Stuart R.","non-dropping-particle":"","parse-names":false,"suffix":""},{"dropping-particle":"","family":"Ho","given":"Frederick K.","non-dropping-particle":"","parse-names":false,"suffix":""},{"dropping-particle":"","family":"Pell","given":"Jill P.","non-dropping-particle":"","parse-names":false,"suffix":""},{"dropping-particle":"","family":"Celis-Morales","given":"Carlos","non-dropping-particle":"","parse-names":false,"suffix":""}],"container-title":"Maturitas","id":"ITEM-1","issued":{"date-parts":[["2020","3","1"]]},"page":"60-67","publisher":"Elsevier","title":"Factors associated with sarcopenia: A cross-sectional analysis using UK Biobank","type":"article-journal","volume":"133"},"uris":["http://www.mendeley.com/documents/?uuid=71e383bd-e0f2-3be8-adc1-d32435a338a0"]}],"mendeley":{"formattedCitation":"(111)","plainTextFormattedCitation":"(111)","previouslyFormattedCitation":"(111)"},"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(111)</w:t>
      </w:r>
      <w:r w:rsidRPr="00F56683">
        <w:rPr>
          <w:rFonts w:asciiTheme="minorHAnsi" w:hAnsiTheme="minorHAnsi" w:cstheme="minorHAnsi"/>
          <w:color w:val="000000" w:themeColor="text1"/>
        </w:rPr>
        <w:fldChar w:fldCharType="end"/>
      </w:r>
      <w:r w:rsidRPr="00F56683">
        <w:rPr>
          <w:rFonts w:asciiTheme="minorHAnsi" w:hAnsiTheme="minorHAnsi" w:cstheme="minorHAnsi"/>
          <w:color w:val="000000" w:themeColor="text1"/>
        </w:rPr>
        <w:t xml:space="preserve">. Muscle fibre and strength declines occur at a greater level in those who are sedentary as compared to physically active counterparts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{"citationItems":[{"id":"ITEM-1","itemData":{"DOI":"10.1016/J.ARR.2021.101344","ISSN":"18729649","PMID":"33872778","abstract":"In the United Kingdom (UK), it is projected that by 2035 people aged &gt;65 years will make up 23 % of the population, with those aged &gt;85 years accounting for 5% of the total population. Ageing is associated with progressive changes in muscle metabolism and a decline in functional capacity, leading to a loss of independence. Muscle metabolic changes associated with ageing have been linked to alterations in muscle architecture and declines in muscle mass and insulin sensitivity. However, the biological features often attributed to muscle ageing are also seen in controlled studies of physical inactivity (e.g. reduced step-count and bed-rest), and it is currently unclear how many of these ageing features are due to ageing per se or sedentarism. This is particularly relevant at a time of home confinements reducing physical activity levels during the Covid-19 pandemic. Current knowledge gaps include the relative contribution that physical inactivity plays in the development of many of the negative features associated with muscle decline in older age. Similarly, data demonstrating positive effects of government recommended physical activity guidelines on muscle health are largely non-existent. It is imperative therefore that research examining interactions between ageing, physical activity and muscle mass and metabolic health is prioritised so that it can inform on the “normal” muscle ageing process and on strategies for improving health span and well-being. This review will focus on important changes in muscle architecture and metabolism that accompany ageing and highlight the likely contribution of physical inactivity to these changes.","author":[{"dropping-particle":"","family":"Shur","given":"N. F.","non-dropping-particle":"","parse-names":false,"suffix":""},{"dropping-particle":"","family":"Creedon","given":"L.","non-dropping-particle":"","parse-names":false,"suffix":""},{"dropping-particle":"","family":"Skirrow","given":"S.","non-dropping-particle":"","parse-names":false,"suffix":""},{"dropping-particle":"","family":"Atherton","given":"P. J.","non-dropping-particle":"","parse-names":false,"suffix":""},{"dropping-particle":"","family":"MacDonald","given":"I. A.","non-dropping-particle":"","parse-names":false,"suffix":""},{"dropping-particle":"","family":"Lund","given":"J.","non-dropping-particle":"","parse-names":false,"suffix":""},{"dropping-particle":"","family":"Greenhaff","given":"P. L.","non-dropping-particle":"","parse-names":false,"suffix":""}],"container-title":"Ageing Research Reviews","id":"ITEM-1","issued":{"date-parts":[["2021","7","1"]]},"publisher":"Elsevier","title":"Age-related changes in muscle architecture and metabolism in humans: The likely contribution of physical inactivity to age-related functional decline","type":"article-journal","volume":"68"},"uris":["http://www.mendeley.com/documents/?uuid=46b5b0b6-79d8-3161-a171-d7452316596e"]}],"mendeley":{"formattedCitation":"(112)","plainTextFormattedCitation":"(112)","previouslyFormattedCitation":"(112)"},"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(112)</w:t>
      </w:r>
      <w:r w:rsidRPr="00F56683">
        <w:rPr>
          <w:rFonts w:asciiTheme="minorHAnsi" w:hAnsiTheme="minorHAnsi" w:cstheme="minorHAnsi"/>
          <w:color w:val="000000" w:themeColor="text1"/>
        </w:rPr>
        <w:fldChar w:fldCharType="end"/>
      </w:r>
      <w:r w:rsidR="00A42CCB" w:rsidRPr="00F56683">
        <w:rPr>
          <w:rFonts w:asciiTheme="minorHAnsi" w:hAnsiTheme="minorHAnsi" w:cstheme="minorHAnsi"/>
          <w:color w:val="000000" w:themeColor="text1"/>
        </w:rPr>
        <w:t xml:space="preserve"> and it</w:t>
      </w:r>
      <w:r w:rsidRPr="00F56683">
        <w:rPr>
          <w:rFonts w:asciiTheme="minorHAnsi" w:hAnsiTheme="minorHAnsi" w:cstheme="minorHAnsi"/>
          <w:color w:val="000000" w:themeColor="text1"/>
        </w:rPr>
        <w:t xml:space="preserve"> has also been demonstrated that professional athletes display a slower decline in strength as they age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{"citationItems":[{"id":"ITEM-1","itemData":{"DOI":"10.1097/JSM.0B013E3181845F1C","ISSN":"1050642X","PMID":"19001883","abstract":"Objective: The paper addresses the degree to which the attainment of the status as an elite athlete in different sports ameliorates the known age-related losses in skeletal muscle structure and function. Design: The retrospective design, based on comparisons of published data on former elite and masters athletes and data on control subjects, assessed the degree to which the attainment of elite and masters athlete status ameliorated the known age-related changes in skeletal muscle structure and function. Setting: Institutional. Participants: Elite male athletes. Iinterventions: Participation in selected individual and team sports. Main outcome measurements: Strength, power, VO2max, and performance. Results: For elite athletes in all sports, as for the general population, age-related muscle atrophy begins at about 50 years of age. Despite the loss of muscle mass, elite athletes who maintain an active lifestyle age gracefully with few health problems. Conversely, those who lapse into inactivity regress toward general population norms for fitness, weight control, and health problems. Elite athletes in the dual and team sports have careers that rarely extend into their 30s. Conclusions: Lifelong physical activity does not appear to have any impact on the loss in fiber number. The loss of fibers can be buffered to some degree by hypertrophy of fibers that remain. It is surprising that the performance of elite athletes in all sports appears to be impaired before the onset of the fiber loss. Even with major losses in physical capacity and muscle mass, the performance of elite and masters athletes is remarkable. © 2008 by Lippincott Williams &amp; Wilkins.","author":[{"dropping-particle":"","family":"Faulkner","given":"John A.","non-dropping-particle":"","parse-names":false,"suffix":""},{"dropping-particle":"","family":"Davis","given":"Carol S.","non-dropping-particle":"","parse-names":false,"suffix":""},{"dropping-particle":"","family":"Mendias","given":"Christopher L.","non-dropping-particle":"","parse-names":false,"suffix":""},{"dropping-particle":"V.","family":"Brooks","given":"Susan","non-dropping-particle":"","parse-names":false,"suffix":""}],"container-title":"Clinical journal of sport medicine : official journal of the Canadian Academy of Sport Medicine","id":"ITEM-1","issue":"6","issued":{"date-parts":[["2008","11"]]},"page":"501","publisher":"NIH Public Access","title":"The aging of elite male athletes: age-related changes in performance and skeletal muscle structure and function","type":"article-journal","volume":"18"},"uris":["http://www.mendeley.com/documents/?uuid=958c3213-bf76-3815-8801-42f9166a2e36"]}],"mendeley":{"formattedCitation":"(113)","plainTextFormattedCitation":"(113)","previouslyFormattedCitation":"(113)"},"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(113)</w:t>
      </w:r>
      <w:r w:rsidRPr="00F56683">
        <w:rPr>
          <w:rFonts w:asciiTheme="minorHAnsi" w:hAnsiTheme="minorHAnsi" w:cstheme="minorHAnsi"/>
          <w:color w:val="000000" w:themeColor="text1"/>
        </w:rPr>
        <w:fldChar w:fldCharType="end"/>
      </w:r>
      <w:r w:rsidRPr="00F56683">
        <w:rPr>
          <w:rFonts w:asciiTheme="minorHAnsi" w:hAnsiTheme="minorHAnsi" w:cstheme="minorHAnsi"/>
          <w:color w:val="000000" w:themeColor="text1"/>
        </w:rPr>
        <w:t xml:space="preserve">. </w:t>
      </w:r>
    </w:p>
    <w:p w14:paraId="003554B9" w14:textId="77777777" w:rsidR="00E632DB" w:rsidRPr="00F56683" w:rsidRDefault="004F4AF8" w:rsidP="00F42CB9">
      <w:pPr>
        <w:pStyle w:val="p"/>
        <w:shd w:val="clear" w:color="auto" w:fill="FFFFFF"/>
        <w:spacing w:before="400" w:beforeAutospacing="0" w:after="400" w:afterAutospacing="0"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1.4.1 Exercise overview, recommendations and current engagement levels </w:t>
      </w:r>
    </w:p>
    <w:p w14:paraId="3D98FC2C" w14:textId="00E8A5D2" w:rsidR="004F4AF8" w:rsidRPr="00F56683" w:rsidRDefault="004F4AF8" w:rsidP="00F42CB9">
      <w:pPr>
        <w:pStyle w:val="p"/>
        <w:shd w:val="clear" w:color="auto" w:fill="FFFFFF"/>
        <w:spacing w:before="400" w:beforeAutospacing="0" w:after="400" w:afterAutospacing="0" w:line="360" w:lineRule="auto"/>
        <w:ind w:firstLine="720"/>
        <w:rPr>
          <w:rFonts w:asciiTheme="minorHAnsi" w:hAnsiTheme="minorHAnsi" w:cstheme="minorHAnsi"/>
          <w:color w:val="000000" w:themeColor="text1"/>
        </w:rPr>
      </w:pPr>
      <w:r w:rsidRPr="00F56683">
        <w:rPr>
          <w:rFonts w:asciiTheme="minorHAnsi" w:hAnsiTheme="minorHAnsi" w:cstheme="minorHAnsi"/>
          <w:color w:val="000000" w:themeColor="text1"/>
        </w:rPr>
        <w:lastRenderedPageBreak/>
        <w:t>Exercise and physical activity (PA) are two distinct terms, although exercise can be classed as a subcategory of PA. PA is defined by WHO as: “</w:t>
      </w:r>
      <w:r w:rsidRPr="00F56683">
        <w:rPr>
          <w:rFonts w:asciiTheme="minorHAnsi" w:hAnsiTheme="minorHAnsi" w:cstheme="minorHAnsi"/>
          <w:color w:val="000000" w:themeColor="text1"/>
          <w:shd w:val="clear" w:color="auto" w:fill="FFFFFF"/>
        </w:rPr>
        <w:t xml:space="preserve">any bodily movement produced by skeletal muscles that requires energy expenditure” (56), </w:t>
      </w:r>
      <w:r w:rsidRPr="00F56683">
        <w:rPr>
          <w:rFonts w:asciiTheme="minorHAnsi" w:hAnsiTheme="minorHAnsi" w:cstheme="minorHAnsi"/>
          <w:color w:val="000000" w:themeColor="text1"/>
        </w:rPr>
        <w:t xml:space="preserve">this incorporates everyday movement and includes tasks such as household chores, active transportation and manual labour. Exercise, on the other hand, is a purposeful task, often planned, structured, and repetitively undertaken with the aim of improving one or more components of physical fitness. </w:t>
      </w:r>
    </w:p>
    <w:p w14:paraId="310EF97B" w14:textId="3466F21C" w:rsidR="004F4AF8" w:rsidRPr="00F56683" w:rsidRDefault="004F4AF8" w:rsidP="00F42CB9">
      <w:pPr>
        <w:spacing w:line="360" w:lineRule="auto"/>
        <w:rPr>
          <w:rFonts w:cstheme="minorHAnsi"/>
          <w:color w:val="000000" w:themeColor="text1"/>
        </w:rPr>
      </w:pPr>
      <w:r w:rsidRPr="00F56683">
        <w:rPr>
          <w:rFonts w:cstheme="minorHAnsi"/>
          <w:color w:val="000000" w:themeColor="text1"/>
        </w:rPr>
        <w:t>Exercise can be further categorised into different types with the main ones being described as aerobic, resistance (strength), flexibility and balance. All should be incorporated into daily life and conducted regularly. Moreover</w:t>
      </w:r>
      <w:r w:rsidR="00A42CCB" w:rsidRPr="00F56683">
        <w:rPr>
          <w:rFonts w:cstheme="minorHAnsi"/>
          <w:color w:val="000000" w:themeColor="text1"/>
        </w:rPr>
        <w:t xml:space="preserve">, </w:t>
      </w:r>
      <w:r w:rsidRPr="00F56683">
        <w:rPr>
          <w:rFonts w:cstheme="minorHAnsi"/>
          <w:color w:val="000000" w:themeColor="text1"/>
        </w:rPr>
        <w:t xml:space="preserve">multi-modality programmes may prove advantageous for health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{"citationItems":[{"id":"ITEM-1","itemData":{"DOI":"10.3390/JCM9051386","ISSN":"20770383","PMID":"32397192","abstract":"This study aimed to assess the effects of a multicomponent exercise program on physical function and muscle mass in older adults with sarcopenia or pre-sarcopenia. Moreover, we aim to standardize the exercise program for easy incorporation in the daily life of community-dwelling older adults as a secondary outcome. A single-blind randomized controlled trial was conducted with individuals (≥60 years) who had sarcopenia or pre-sarcopenia (n = 72). Participants were randomly assigned to the exercise and control groups. The exercise program consisted of 12 weekly 60-minute sessions that included resistance, balance, flexibility, and aerobic training. Outcome measures were physical function and muscle mass. Assessments were conducted before and immediately after the intervention. Among the 72 participants (mean age: 75.0 ± 6.9 years; 70.8% women), 67 (93.1%) completed the trial. Group-by-time interactions on the chair stand (p = 0.02) and timed “up and go” (p = 0.01) tests increased significantly in the exercise group. Although the exercise group showed a tendency to prevent loss of muscle mass, no significant interaction effects were observed for cross-sectional muscle area and muscle volume. The 12-week exercise program improved physical function in the intervention group. Although it is unclear whether the program is effective in increasing muscle mass, a multicomponent exercise program would be an effective treatment for physical function among older adults with sarcopenia.","author":[{"dropping-particle":"","family":"Makizako","given":"Hyuma","non-dropping-particle":"","parse-names":false,"suffix":""},{"dropping-particle":"","family":"Nakai","given":"Yuki","non-dropping-particle":"","parse-names":false,"suffix":""},{"dropping-particle":"","family":"Tomioka","given":"Kazutoshi","non-dropping-particle":"","parse-names":false,"suffix":""},{"dropping-particle":"","family":"Taniguchi","given":"Yoshiaki","non-dropping-particle":"","parse-names":false,"suffix":""},{"dropping-particle":"","family":"Sato","given":"Nana","non-dropping-particle":"","parse-names":false,"suffix":""},{"dropping-particle":"","family":"Wada","given":"Ayumi","non-dropping-particle":"","parse-names":false,"suffix":""},{"dropping-particle":"","family":"Kiyama","given":"Ryoji","non-dropping-particle":"","parse-names":false,"suffix":""},{"dropping-particle":"","family":"Tsutsumimoto","given":"Kota","non-dropping-particle":"","parse-names":false,"suffix":""},{"dropping-particle":"","family":"Ohishi","given":"Mitsuru","non-dropping-particle":"","parse-names":false,"suffix":""},{"dropping-particle":"","family":"Kiuchi","given":"Yuto","non-dropping-particle":"","parse-names":false,"suffix":""},{"dropping-particle":"","family":"Kubozono","given":"Takuro","non-dropping-particle":"","parse-names":false,"suffix":""},{"dropping-particle":"","family":"Takenaka","given":"Toshihiro","non-dropping-particle":"","parse-names":false,"suffix":""}],"container-title":"Journal of Clinical Medicine","id":"ITEM-1","issue":"5","issued":{"date-parts":[["2020","5","1"]]},"publisher":"Multidisciplinary Digital Publishing Institute  (MDPI)","title":"Effects of a Multicomponent Exercise Program in Physical Function and Muscle Mass in Sarcopenic/Pre-Sarcopenic Adults","type":"article-journal","volume":"9"},"uris":["http://www.mendeley.com/documents/?uuid=b715a76b-1cd0-3d8b-b244-8c2ceb158ab6"]}],"mendeley":{"formattedCitation":"(114)","plainTextFormattedCitation":"(114)","previouslyFormattedCitation":"(114)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(114)</w:t>
      </w:r>
      <w:r w:rsidRPr="00F56683">
        <w:rPr>
          <w:rFonts w:cstheme="minorHAnsi"/>
          <w:color w:val="000000" w:themeColor="text1"/>
        </w:rPr>
        <w:fldChar w:fldCharType="end"/>
      </w:r>
      <w:r w:rsidRPr="00F56683">
        <w:rPr>
          <w:rFonts w:cstheme="minorHAnsi"/>
          <w:color w:val="000000" w:themeColor="text1"/>
        </w:rPr>
        <w:t>.</w:t>
      </w:r>
    </w:p>
    <w:p w14:paraId="2685A0D4" w14:textId="786958E8" w:rsidR="004F4AF8" w:rsidRPr="00F56683" w:rsidRDefault="004F4AF8" w:rsidP="00F42CB9">
      <w:pPr>
        <w:pStyle w:val="p"/>
        <w:shd w:val="clear" w:color="auto" w:fill="FFFFFF"/>
        <w:spacing w:before="400" w:beforeAutospacing="0" w:after="400" w:afterAutospacing="0"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The World Health Organisation (WHO), published guidelines for exercise in 2010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{"citationItems":[{"id":"ITEM-1","itemData":{"URL":"https://pubmed.ncbi.nlm.nih.gov/26180873/","accessed":{"date-parts":[["2022","12","2"]]},"id":"ITEM-1","issued":{"date-parts":[["0"]]},"title":"Global Recommendations on Physical Activity for Health - PubMed","type":"webpage"},"uris":["http://www.mendeley.com/documents/?uuid=6be5162f-07e2-3799-93e4-f5e04f1ee6d6"]}],"mendeley":{"formattedCitation":"(115)","plainTextFormattedCitation":"(115)","previouslyFormattedCitation":"(115)"},"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(115)</w:t>
      </w:r>
      <w:r w:rsidRPr="00F56683">
        <w:rPr>
          <w:rFonts w:asciiTheme="minorHAnsi" w:hAnsiTheme="minorHAnsi" w:cstheme="minorHAnsi"/>
          <w:color w:val="000000" w:themeColor="text1"/>
        </w:rPr>
        <w:fldChar w:fldCharType="end"/>
      </w:r>
      <w:r w:rsidRPr="00F56683">
        <w:rPr>
          <w:rFonts w:asciiTheme="minorHAnsi" w:hAnsiTheme="minorHAnsi" w:cstheme="minorHAnsi"/>
          <w:color w:val="000000" w:themeColor="text1"/>
        </w:rPr>
        <w:t xml:space="preserve"> that gave advice dependent on three age categories; 5-17 year</w:t>
      </w:r>
      <w:r w:rsidR="002E4CCE" w:rsidRPr="00F56683">
        <w:rPr>
          <w:rFonts w:asciiTheme="minorHAnsi" w:hAnsiTheme="minorHAnsi" w:cstheme="minorHAnsi"/>
          <w:color w:val="000000" w:themeColor="text1"/>
        </w:rPr>
        <w:t>-</w:t>
      </w:r>
      <w:r w:rsidRPr="00F56683">
        <w:rPr>
          <w:rFonts w:asciiTheme="minorHAnsi" w:hAnsiTheme="minorHAnsi" w:cstheme="minorHAnsi"/>
          <w:color w:val="000000" w:themeColor="text1"/>
        </w:rPr>
        <w:t xml:space="preserve">olds, 18-64 years old and 65+ years old. Those in the group of 18-64 years should perform at least 150 min of moderate activity or at least 75 min of vigorous activity throughout the week. Finally, individuals above the age of 65 years are recommended similar length and intensity exercise programs as the prior group, but with a focus on activities to help enhance balance and prevent falls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{"citationItems":[{"id":"ITEM-1","itemData":{"DOI":"10.1136/BJSPORTS-2020-102955","ISSN":"0306-3674","PMID":"33239350","abstract":"Objectives To describe new WHO 2020 guidelines on physical activity and sedentary behaviour.\n\nMethods The guidelines were developed in accordance with WHO protocols. An expert Guideline Development Group reviewed evidence to assess associations between physical activity and sedentary behaviour for an agreed set of health outcomes and population groups. The assessment used and systematically updated recent relevant systematic reviews; new primary reviews addressed additional health outcomes or subpopulations.\n\nResults The new guidelines address children, adolescents, adults, older adults and include new specific recommendations for pregnant and postpartum women and people living with chronic conditions or disability. All adults should undertake 150–300 min of moderate-intensity, or 75–150 min of vigorous-intensity physical activity, or some equivalent combination of moderate-intensity and vigorous-intensity aerobic physical activity, per week. Among children and adolescents, an average of 60 min/day of moderate-to-vigorous intensity aerobic physical activity across the week provides health benefits. The guidelines recommend regular muscle-strengthening activity for all age groups. Additionally, reducing sedentary behaviours is recommended across all age groups and abilities, although evidence was insufficient to quantify a sedentary behaviour threshold.\n\nConclusion These 2020 WHO guidelines update previous WHO recommendations released in 2010. They reaffirm messages that some physical activity is better than none, that more physical activity is better for optimal health outcomes and provide a new recommendation on reducing sedentary behaviours. These guidelines highlight the importance of regularly undertaking both aerobic and muscle strengthening activities and for the first time, there are specific recommendations for specific populations including for pregnant and postpartum women and people living with chronic conditions or disability. These guidelines should be used to inform national health policies aligned with the WHO Global Action Plan on Physical Activity 2018–2030 and to strengthen surveillance systems that track progress towards national and global targets.","author":[{"dropping-particle":"","family":"Bull","given":"Fiona C.","non-dropping-particle":"","parse-names":false,"suffix":""},{"dropping-particle":"","family":"Al-Ansari","given":"Salih S.","non-dropping-particle":"","parse-names":false,"suffix":""},{"dropping-particle":"","family":"Biddle","given":"Stuart","non-dropping-particle":"","parse-names":false,"suffix":""},{"dropping-particle":"","family":"Borodulin","given":"Katja","non-dropping-particle":"","parse-names":false,"suffix":""},{"dropping-particle":"","family":"Buman","given":"Matthew P.","non-dropping-particle":"","parse-names":false,"suffix":""},{"dropping-particle":"","family":"Cardon","given":"Greet","non-dropping-particle":"","parse-names":false,"suffix":""},{"dropping-particle":"","family":"Carty","given":"Catherine","non-dropping-particle":"","parse-names":false,"suffix":""},{"dropping-particle":"","family":"Chaput","given":"Jean Philippe","non-dropping-particle":"","parse-names":false,"suffix":""},{"dropping-particle":"","family":"Chastin","given":"Sebastien","non-dropping-particle":"","parse-names":false,"suffix":""},{"dropping-particle":"","family":"Chou","given":"Roger","non-dropping-particle":"","parse-names":false,"suffix":""},{"dropping-particle":"","family":"Dempsey","given":"Paddy C.","non-dropping-particle":"","parse-names":false,"suffix":""},{"dropping-particle":"","family":"Dipietro","given":"Loretta","non-dropping-particle":"","parse-names":false,"suffix":""},{"dropping-particle":"","family":"Ekelund","given":"Ulf","non-dropping-particle":"","parse-names":false,"suffix":""},{"dropping-particle":"","family":"Firth","given":"Joseph","non-dropping-particle":"","parse-names":false,"suffix":""},{"dropping-particle":"","family":"Friedenreich","given":"Christine M.","non-dropping-particle":"","parse-names":false,"suffix":""},{"dropping-particle":"","family":"Garcia","given":"Leandro","non-dropping-particle":"","parse-names":false,"suffix":""},{"dropping-particle":"","family":"Gichu","given":"Muthoni","non-dropping-particle":"","parse-names":false,"suffix":""},{"dropping-particle":"","family":"Jago","given":"Russell","non-dropping-particle":"","parse-names":false,"suffix":""},{"dropping-particle":"","family":"Katzmarzyk","given":"Peter T.","non-dropping-particle":"","parse-names":false,"suffix":""},{"dropping-particle":"","family":"Lambert","given":"Estelle","non-dropping-particle":"","parse-names":false,"suffix":""},{"dropping-particle":"","family":"Leitzmann","given":"Michael","non-dropping-particle":"","parse-names":false,"suffix":""},{"dropping-particle":"","family":"Milton","given":"Karen","non-dropping-particle":"","parse-names":false,"suffix":""},{"dropping-particle":"","family":"Ortega","given":"Francisco B.","non-dropping-particle":"","parse-names":false,"suffix":""},{"dropping-particle":"","family":"Ranasinghe","given":"Chathuranga","non-dropping-particle":"","parse-names":false,"suffix":""},{"dropping-particle":"","family":"Stamatakis","given":"Emmanuel","non-dropping-particle":"","parse-names":false,"suffix":""},{"dropping-particle":"","family":"Tiedemann","given":"Anne","non-dropping-particle":"","parse-names":false,"suffix":""},{"dropping-particle":"","family":"Troiano","given":"Richard P.","non-dropping-particle":"","parse-names":false,"suffix":""},{"dropping-particle":"","family":"Ploeg","given":"Hidde P.","non-dropping-particle":"Van Der","parse-names":false,"suffix":""},{"dropping-particle":"","family":"Wari","given":"Vicky","non-dropping-particle":"","parse-names":false,"suffix":""},{"dropping-particle":"","family":"Willumsen","given":"Juana F.","non-dropping-particle":"","parse-names":false,"suffix":""}],"container-title":"British Journal of Sports Medicine","id":"ITEM-1","issue":"24","issued":{"date-parts":[["2020","12","1"]]},"page":"1451-1462","publisher":"BMJ Publishing Group Ltd and British Association of Sport and Exercise Medicine","title":"World Health Organization 2020 guidelines on physical activity and sedentary behaviour","type":"article-journal","volume":"54"},"uris":["http://www.mendeley.com/documents/?uuid=db75efeb-4150-378f-b147-5bd74aa9942c"]}],"mendeley":{"formattedCitation":"(116)","plainTextFormattedCitation":"(116)","previouslyFormattedCitation":"(116)"},"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(116)</w:t>
      </w:r>
      <w:r w:rsidRPr="00F56683">
        <w:rPr>
          <w:rFonts w:asciiTheme="minorHAnsi" w:hAnsiTheme="minorHAnsi" w:cstheme="minorHAnsi"/>
          <w:color w:val="000000" w:themeColor="text1"/>
        </w:rPr>
        <w:fldChar w:fldCharType="end"/>
      </w:r>
      <w:r w:rsidRPr="00F56683">
        <w:rPr>
          <w:rFonts w:asciiTheme="minorHAnsi" w:hAnsiTheme="minorHAnsi" w:cstheme="minorHAnsi"/>
          <w:color w:val="000000" w:themeColor="text1"/>
        </w:rPr>
        <w:t>. Comparable guidelines have also been published by the American College of Sport</w:t>
      </w:r>
      <w:r w:rsidR="002E4CCE" w:rsidRPr="00F56683">
        <w:rPr>
          <w:rFonts w:asciiTheme="minorHAnsi" w:hAnsiTheme="minorHAnsi" w:cstheme="minorHAnsi"/>
          <w:color w:val="000000" w:themeColor="text1"/>
        </w:rPr>
        <w:t>s</w:t>
      </w:r>
      <w:r w:rsidRPr="00F56683">
        <w:rPr>
          <w:rFonts w:asciiTheme="minorHAnsi" w:hAnsiTheme="minorHAnsi" w:cstheme="minorHAnsi"/>
          <w:color w:val="000000" w:themeColor="text1"/>
        </w:rPr>
        <w:t xml:space="preserve"> Medicine (ACSM) and the National Health Service (NHS) in the UK, with the additional inclusion of encouragement of strengthening activities (resistance training) twice weekly </w:t>
      </w:r>
      <w:r w:rsidR="00A42CCB" w:rsidRPr="00F56683">
        <w:rPr>
          <w:rFonts w:asciiTheme="minorHAnsi" w:hAnsiTheme="minorHAnsi" w:cstheme="minorHAnsi"/>
          <w:color w:val="000000" w:themeColor="text1"/>
        </w:rPr>
        <w:t xml:space="preserve">for adults aged 65 and over, </w:t>
      </w:r>
      <w:r w:rsidRPr="00F56683">
        <w:rPr>
          <w:rFonts w:asciiTheme="minorHAnsi" w:hAnsiTheme="minorHAnsi" w:cstheme="minorHAnsi"/>
          <w:color w:val="000000" w:themeColor="text1"/>
        </w:rPr>
        <w:t xml:space="preserve">this includes working all the major muscle </w:t>
      </w:r>
      <w:r w:rsidRPr="00F56683">
        <w:rPr>
          <w:rFonts w:asciiTheme="minorHAnsi" w:hAnsiTheme="minorHAnsi" w:cstheme="minorHAnsi"/>
          <w:color w:val="000000" w:themeColor="text1"/>
        </w:rPr>
        <w:fldChar w:fldCharType="begin" w:fldLock="1"/>
      </w:r>
      <w:r w:rsidR="00E86F8C">
        <w:rPr>
          <w:rFonts w:asciiTheme="minorHAnsi" w:hAnsiTheme="minorHAnsi" w:cstheme="minorHAnsi"/>
          <w:color w:val="000000" w:themeColor="text1"/>
        </w:rPr>
        <w:instrText>ADDIN CSL_CITATION {"citationItems":[{"id":"ITEM-1","itemData":{"URL":"https://www.acsm.org/education-resources/trending-topics-resources/physical-activity-guidelines/lists/guidelines-resources/physical-activity-guidelines-for-americans-2nd-edition","accessed":{"date-parts":[["2022","12","2"]]},"id":"ITEM-1","issued":{"date-parts":[["0"]]},"title":"Physical Activity Guidelines Resources","type":"webpage"},"uris":["http://www.mendeley.com/documents/?uuid=ce097b1a-0934-35b1-a2ce-0751277724ec"]},{"id":"ITEM-2","itemData":{"URL":"https://www.nhs.uk/live-well/exercise/","accessed":{"date-parts":[["2020","2","3"]]},"id":"ITEM-2","issued":{"date-parts":[["0"]]},"title":"Exercise - NHS","type":"webpage"},"uris":["http://www.mendeley.com/documents/?uuid=1d81f8e2-ad38-30f5-8e6a-a7ccae8a3837"]}],"mendeley":{"formattedCitation":"(117,118)","plainTextFormattedCitation":"(117,118)","previouslyFormattedCitation":"(117,118)"},"properties":{"noteIndex":0},"schema":"https://github.com/citation-style-language/schema/raw/master/csl-citation.json"}</w:instrText>
      </w:r>
      <w:r w:rsidRPr="00F56683">
        <w:rPr>
          <w:rFonts w:asciiTheme="minorHAnsi" w:hAnsiTheme="minorHAnsi" w:cstheme="minorHAnsi"/>
          <w:color w:val="000000" w:themeColor="text1"/>
        </w:rPr>
        <w:fldChar w:fldCharType="separate"/>
      </w:r>
      <w:r w:rsidR="00057AE3" w:rsidRPr="00057AE3">
        <w:rPr>
          <w:rFonts w:asciiTheme="minorHAnsi" w:hAnsiTheme="minorHAnsi" w:cstheme="minorHAnsi"/>
          <w:noProof/>
          <w:color w:val="000000" w:themeColor="text1"/>
        </w:rPr>
        <w:t>(117,118)</w:t>
      </w:r>
      <w:r w:rsidRPr="00F56683">
        <w:rPr>
          <w:rFonts w:asciiTheme="minorHAnsi" w:hAnsiTheme="minorHAnsi" w:cstheme="minorHAnsi"/>
          <w:color w:val="000000" w:themeColor="text1"/>
        </w:rPr>
        <w:fldChar w:fldCharType="end"/>
      </w:r>
      <w:r w:rsidRPr="00F56683">
        <w:rPr>
          <w:rFonts w:asciiTheme="minorHAnsi" w:hAnsiTheme="minorHAnsi" w:cstheme="minorHAnsi"/>
          <w:color w:val="000000" w:themeColor="text1"/>
        </w:rPr>
        <w:t>.</w:t>
      </w:r>
    </w:p>
    <w:p w14:paraId="6F77A0E1"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Maintaining activity levels throughout the life course is necessary. Despite that, observations have been made to establish that physical activity levels decline with age, with the biggest decline being in the age category 75-84 years (</w:t>
      </w:r>
      <w:r w:rsidRPr="00F56683">
        <w:rPr>
          <w:rFonts w:cstheme="minorHAnsi"/>
          <w:color w:val="000000" w:themeColor="text1"/>
        </w:rPr>
        <w:fldChar w:fldCharType="begin"/>
      </w:r>
      <w:r w:rsidRPr="00F56683">
        <w:rPr>
          <w:rFonts w:cstheme="minorHAnsi"/>
          <w:color w:val="000000" w:themeColor="text1"/>
        </w:rPr>
        <w:instrText xml:space="preserve"> REF _Ref120872786 \h  \* MERGEFORMAT </w:instrText>
      </w:r>
      <w:r w:rsidRPr="00F56683">
        <w:rPr>
          <w:rFonts w:cstheme="minorHAnsi"/>
          <w:color w:val="000000" w:themeColor="text1"/>
        </w:rPr>
      </w:r>
      <w:r w:rsidRPr="00F56683">
        <w:rPr>
          <w:rFonts w:cstheme="minorHAnsi"/>
          <w:color w:val="000000" w:themeColor="text1"/>
        </w:rPr>
        <w:fldChar w:fldCharType="separate"/>
      </w:r>
      <w:r w:rsidRPr="00F56683">
        <w:rPr>
          <w:rFonts w:cstheme="minorHAnsi"/>
          <w:color w:val="000000" w:themeColor="text1"/>
        </w:rPr>
        <w:t xml:space="preserve">Figure </w:t>
      </w:r>
      <w:r w:rsidRPr="00F56683">
        <w:rPr>
          <w:rFonts w:cstheme="minorHAnsi"/>
          <w:noProof/>
          <w:color w:val="000000" w:themeColor="text1"/>
        </w:rPr>
        <w:t>6</w:t>
      </w:r>
      <w:r w:rsidRPr="00F56683">
        <w:rPr>
          <w:rFonts w:cstheme="minorHAnsi"/>
          <w:color w:val="000000" w:themeColor="text1"/>
        </w:rPr>
        <w:fldChar w:fldCharType="end"/>
      </w:r>
      <w:r w:rsidRPr="00F56683">
        <w:rPr>
          <w:rFonts w:cstheme="minorHAnsi"/>
          <w:color w:val="000000" w:themeColor="text1"/>
        </w:rPr>
        <w:t>). This evidence once again highlights the importance of the need to promote physical activity, particularly resistance exercise, to promote healthy ageing trajectories.</w:t>
      </w:r>
    </w:p>
    <w:p w14:paraId="5B63DCF6" w14:textId="666E71B7" w:rsidR="004F4AF8" w:rsidRPr="00F56683" w:rsidRDefault="004F4AF8" w:rsidP="00F42CB9">
      <w:pPr>
        <w:pStyle w:val="Caption"/>
        <w:spacing w:line="360" w:lineRule="auto"/>
        <w:rPr>
          <w:rFonts w:cstheme="minorHAnsi"/>
          <w:i w:val="0"/>
          <w:iCs w:val="0"/>
          <w:color w:val="000000" w:themeColor="text1"/>
          <w:sz w:val="24"/>
          <w:szCs w:val="24"/>
        </w:rPr>
      </w:pPr>
      <w:bookmarkStart w:id="53" w:name="_Ref120872786"/>
      <w:bookmarkStart w:id="54" w:name="_Toc127044184"/>
      <w:bookmarkStart w:id="55" w:name="_Toc127978466"/>
      <w:r w:rsidRPr="00F56683">
        <w:rPr>
          <w:rFonts w:cstheme="minorHAnsi"/>
          <w:i w:val="0"/>
          <w:iCs w:val="0"/>
          <w:noProof/>
          <w:color w:val="000000" w:themeColor="text1"/>
          <w:sz w:val="24"/>
          <w:szCs w:val="24"/>
        </w:rPr>
        <w:lastRenderedPageBreak/>
        <w:drawing>
          <wp:anchor distT="0" distB="0" distL="114300" distR="114300" simplePos="0" relativeHeight="251674624" behindDoc="0" locked="0" layoutInCell="1" allowOverlap="1" wp14:anchorId="3E7D49DD" wp14:editId="1D3FE425">
            <wp:simplePos x="0" y="0"/>
            <wp:positionH relativeFrom="column">
              <wp:posOffset>-142875</wp:posOffset>
            </wp:positionH>
            <wp:positionV relativeFrom="paragraph">
              <wp:posOffset>120650</wp:posOffset>
            </wp:positionV>
            <wp:extent cx="5727700" cy="3168015"/>
            <wp:effectExtent l="0" t="0" r="0" b="0"/>
            <wp:wrapSquare wrapText="bothSides"/>
            <wp:docPr id="58" name="Picture 5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27700" cy="3168015"/>
                    </a:xfrm>
                    <a:prstGeom prst="rect">
                      <a:avLst/>
                    </a:prstGeom>
                  </pic:spPr>
                </pic:pic>
              </a:graphicData>
            </a:graphic>
            <wp14:sizeRelH relativeFrom="page">
              <wp14:pctWidth>0</wp14:pctWidth>
            </wp14:sizeRelH>
            <wp14:sizeRelV relativeFrom="page">
              <wp14:pctHeight>0</wp14:pctHeight>
            </wp14:sizeRelV>
          </wp:anchor>
        </w:drawing>
      </w:r>
      <w:r w:rsidRPr="00F56683">
        <w:rPr>
          <w:rFonts w:cstheme="minorHAnsi"/>
          <w:i w:val="0"/>
          <w:iCs w:val="0"/>
          <w:color w:val="000000" w:themeColor="text1"/>
          <w:sz w:val="24"/>
          <w:szCs w:val="24"/>
        </w:rPr>
        <w:t xml:space="preserve">Figure </w:t>
      </w:r>
      <w:r w:rsidRPr="00F56683">
        <w:rPr>
          <w:rFonts w:cstheme="minorHAnsi"/>
          <w:i w:val="0"/>
          <w:iCs w:val="0"/>
          <w:color w:val="000000" w:themeColor="text1"/>
          <w:sz w:val="24"/>
          <w:szCs w:val="24"/>
        </w:rPr>
        <w:fldChar w:fldCharType="begin"/>
      </w:r>
      <w:r w:rsidRPr="00F56683">
        <w:rPr>
          <w:rFonts w:cstheme="minorHAnsi"/>
          <w:i w:val="0"/>
          <w:iCs w:val="0"/>
          <w:color w:val="000000" w:themeColor="text1"/>
          <w:sz w:val="24"/>
          <w:szCs w:val="24"/>
        </w:rPr>
        <w:instrText xml:space="preserve"> SEQ Figure \* ARABIC </w:instrText>
      </w:r>
      <w:r w:rsidRPr="00F56683">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6</w:t>
      </w:r>
      <w:r w:rsidRPr="00F56683">
        <w:rPr>
          <w:rFonts w:cstheme="minorHAnsi"/>
          <w:i w:val="0"/>
          <w:iCs w:val="0"/>
          <w:color w:val="000000" w:themeColor="text1"/>
          <w:sz w:val="24"/>
          <w:szCs w:val="24"/>
        </w:rPr>
        <w:fldChar w:fldCharType="end"/>
      </w:r>
      <w:bookmarkEnd w:id="53"/>
      <w:r w:rsidR="003E5B8F">
        <w:rPr>
          <w:rFonts w:cstheme="minorHAnsi"/>
          <w:i w:val="0"/>
          <w:iCs w:val="0"/>
          <w:color w:val="000000" w:themeColor="text1"/>
          <w:sz w:val="24"/>
          <w:szCs w:val="24"/>
        </w:rPr>
        <w:t xml:space="preserve">. </w:t>
      </w:r>
      <w:r w:rsidRPr="00F56683">
        <w:rPr>
          <w:rFonts w:cstheme="minorHAnsi"/>
          <w:i w:val="0"/>
          <w:iCs w:val="0"/>
          <w:color w:val="000000" w:themeColor="text1"/>
          <w:sz w:val="24"/>
          <w:szCs w:val="24"/>
        </w:rPr>
        <w:t>Demonstration of the percentage of individuals classed as active, fairly active and inactive across adult age categories. Taken from the NHS website</w:t>
      </w:r>
      <w:r w:rsidR="00E632DB" w:rsidRPr="00F56683">
        <w:rPr>
          <w:rFonts w:cstheme="minorHAnsi"/>
          <w:i w:val="0"/>
          <w:iCs w:val="0"/>
          <w:color w:val="000000" w:themeColor="text1"/>
          <w:sz w:val="24"/>
          <w:szCs w:val="24"/>
        </w:rPr>
        <w:t xml:space="preserve">, </w:t>
      </w:r>
      <w:r w:rsidR="009439D7" w:rsidRPr="00F56683">
        <w:rPr>
          <w:rFonts w:cstheme="minorHAnsi"/>
          <w:i w:val="0"/>
          <w:iCs w:val="0"/>
          <w:color w:val="000000" w:themeColor="text1"/>
          <w:sz w:val="24"/>
          <w:szCs w:val="24"/>
        </w:rPr>
        <w:t xml:space="preserve">in the public domain </w:t>
      </w:r>
      <w:r w:rsidRPr="00F56683">
        <w:rPr>
          <w:rFonts w:cstheme="minorHAnsi"/>
          <w:i w:val="0"/>
          <w:iCs w:val="0"/>
          <w:color w:val="000000" w:themeColor="text1"/>
          <w:sz w:val="24"/>
          <w:szCs w:val="24"/>
        </w:rPr>
        <w:fldChar w:fldCharType="begin" w:fldLock="1"/>
      </w:r>
      <w:r w:rsidR="00E86F8C">
        <w:rPr>
          <w:rFonts w:cstheme="minorHAnsi"/>
          <w:i w:val="0"/>
          <w:iCs w:val="0"/>
          <w:color w:val="000000" w:themeColor="text1"/>
          <w:sz w:val="24"/>
          <w:szCs w:val="24"/>
        </w:rPr>
        <w:instrText>ADDIN CSL_CITATION {"citationItems":[{"id":"ITEM-1","itemData":{"URL":"https://www.nhs.uk/live-well/exercise/","accessed":{"date-parts":[["2020","2","3"]]},"id":"ITEM-1","issued":{"date-parts":[["0"]]},"title":"Exercise - NHS","type":"webpage"},"uris":["http://www.mendeley.com/documents/?uuid=1d81f8e2-ad38-30f5-8e6a-a7ccae8a3837"]}],"mendeley":{"formattedCitation":"(118)","plainTextFormattedCitation":"(118)","previouslyFormattedCitation":"(118)"},"properties":{"noteIndex":0},"schema":"https://github.com/citation-style-language/schema/raw/master/csl-citation.json"}</w:instrText>
      </w:r>
      <w:r w:rsidRPr="00F56683">
        <w:rPr>
          <w:rFonts w:cstheme="minorHAnsi"/>
          <w:i w:val="0"/>
          <w:iCs w:val="0"/>
          <w:color w:val="000000" w:themeColor="text1"/>
          <w:sz w:val="24"/>
          <w:szCs w:val="24"/>
        </w:rPr>
        <w:fldChar w:fldCharType="separate"/>
      </w:r>
      <w:bookmarkEnd w:id="54"/>
      <w:r w:rsidR="00057AE3" w:rsidRPr="00057AE3">
        <w:rPr>
          <w:rFonts w:cstheme="minorHAnsi"/>
          <w:i w:val="0"/>
          <w:iCs w:val="0"/>
          <w:noProof/>
          <w:color w:val="000000" w:themeColor="text1"/>
          <w:sz w:val="24"/>
          <w:szCs w:val="24"/>
        </w:rPr>
        <w:t>(118)</w:t>
      </w:r>
      <w:r w:rsidRPr="00F56683">
        <w:rPr>
          <w:rFonts w:cstheme="minorHAnsi"/>
          <w:i w:val="0"/>
          <w:iCs w:val="0"/>
          <w:color w:val="000000" w:themeColor="text1"/>
          <w:sz w:val="24"/>
          <w:szCs w:val="24"/>
        </w:rPr>
        <w:fldChar w:fldCharType="end"/>
      </w:r>
      <w:r w:rsidR="003E5B8F">
        <w:rPr>
          <w:rFonts w:cstheme="minorHAnsi"/>
          <w:i w:val="0"/>
          <w:iCs w:val="0"/>
          <w:color w:val="000000" w:themeColor="text1"/>
          <w:sz w:val="24"/>
          <w:szCs w:val="24"/>
        </w:rPr>
        <w:t>.</w:t>
      </w:r>
      <w:bookmarkEnd w:id="55"/>
    </w:p>
    <w:p w14:paraId="2120A1B6" w14:textId="77777777" w:rsidR="004F4AF8" w:rsidRPr="00F56683" w:rsidRDefault="004F4AF8" w:rsidP="00F42CB9">
      <w:pPr>
        <w:spacing w:line="360" w:lineRule="auto"/>
        <w:rPr>
          <w:rFonts w:cstheme="minorHAnsi"/>
          <w:color w:val="000000" w:themeColor="text1"/>
        </w:rPr>
      </w:pPr>
    </w:p>
    <w:p w14:paraId="7BE87C82" w14:textId="34C1A74D" w:rsidR="004F4AF8" w:rsidRPr="00F56683" w:rsidRDefault="004F4AF8" w:rsidP="00F42CB9">
      <w:pPr>
        <w:spacing w:line="360" w:lineRule="auto"/>
        <w:rPr>
          <w:rFonts w:cstheme="minorHAnsi"/>
          <w:color w:val="000000" w:themeColor="text1"/>
        </w:rPr>
      </w:pPr>
      <w:r w:rsidRPr="00F56683">
        <w:rPr>
          <w:rFonts w:cstheme="minorHAnsi"/>
          <w:color w:val="000000" w:themeColor="text1"/>
        </w:rPr>
        <w:t>Although muscle loss</w:t>
      </w:r>
      <w:r w:rsidR="00120B87">
        <w:rPr>
          <w:rFonts w:cstheme="minorHAnsi"/>
          <w:color w:val="000000" w:themeColor="text1"/>
        </w:rPr>
        <w:t xml:space="preserve">es are </w:t>
      </w:r>
      <w:r w:rsidRPr="00F56683">
        <w:rPr>
          <w:rFonts w:cstheme="minorHAnsi"/>
          <w:color w:val="000000" w:themeColor="text1"/>
        </w:rPr>
        <w:t xml:space="preserve">inevitable, evidence looking at Master’s athletes suggests that the muscle reserves that are accrued can influence how debilitating losses are later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{"citationItems":[{"id":"ITEM-1","itemData":{"DOI":"10.1002/CPHY.C180041","ISSN":"2040-4603","PMID":"31853968","abstract":"Sedentary aging is often characterized by physical dysfunction and chronic degenerative diseases. In contrast, masters athletes demonstrate markedly greater physiological function and more favorable levels of risk factors for cardiovascular disease, osteoporosis, frailty, and cognitive dysfunction than their sedentary counterparts. In many cases, age-related deteriorations of physiological functions as well as elevations in risk factors that are typically observed in sedentary adults are substantially attenuated or even absent in masters athletes. Older masters athletes possess greater functional capacity at any given age than their sedentary peers. Impressive profiles of older athletes provide insight into what is possible in human aging and place aging back into the domain of “physiology” rather than under the jurisdiction of “clinical medicine.” In addition, these exceptional aging athletes can serve as a role model for the promotion of physical activity at all ages. The study of masters athletes has provided useful insight into the positive example of successful aging. To further establish and propagate masters athletics as a role model for our aging society, future research and action are needed.","author":[{"dropping-particle":"","family":"Tanaka","given":"Hirofumi","non-dropping-particle":"","parse-names":false,"suffix":""},{"dropping-particle":"","family":"Tarumi","given":"Takashi","non-dropping-particle":"","parse-names":false,"suffix":""},{"dropping-particle":"","family":"Rittweger","given":"Jörn","non-dropping-particle":"","parse-names":false,"suffix":""}],"container-title":"Comprehensive Physiology","id":"ITEM-1","issue":"1","issued":{"date-parts":[["2019"]]},"page":"261-296","publisher":"Compr Physiol","title":"Aging and Physiological Lessons from Master Athletes","type":"article-journal","volume":"10"},"uris":["http://www.mendeley.com/documents/?uuid=a372b406-63fc-3ff3-9f67-43ca73a77a6d"]}],"mendeley":{"formattedCitation":"(119)","plainTextFormattedCitation":"(119)","previouslyFormattedCitation":"(119)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(119)</w:t>
      </w:r>
      <w:r w:rsidRPr="00F56683">
        <w:rPr>
          <w:rFonts w:cstheme="minorHAnsi"/>
          <w:color w:val="000000" w:themeColor="text1"/>
        </w:rPr>
        <w:fldChar w:fldCharType="end"/>
      </w:r>
      <w:r w:rsidRPr="00F56683">
        <w:rPr>
          <w:rFonts w:cstheme="minorHAnsi"/>
          <w:color w:val="000000" w:themeColor="text1"/>
        </w:rPr>
        <w:t xml:space="preserve">. It is proposed that if we build a good level of muscle during </w:t>
      </w:r>
      <w:r w:rsidR="002E4CCE" w:rsidRPr="00F56683">
        <w:rPr>
          <w:rFonts w:cstheme="minorHAnsi"/>
          <w:color w:val="000000" w:themeColor="text1"/>
        </w:rPr>
        <w:t xml:space="preserve">our </w:t>
      </w:r>
      <w:r w:rsidRPr="00F56683">
        <w:rPr>
          <w:rFonts w:cstheme="minorHAnsi"/>
          <w:color w:val="000000" w:themeColor="text1"/>
        </w:rPr>
        <w:t xml:space="preserve">younger life, we will increase our muscle reserve pools, meaning that there is more of a buffer for muscle losses to occur before falls become a significant risk. Highly active older adults who have maintained structured exercise training habits have high levels of overall muscle strength and display superior anabolic responses to protein intake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{"citationItems":[{"id":"ITEM-1","itemData":{"DOI":"10.1097/JSM.0B013E3181845F1C","ISSN":"1050642X","PMID":"19001883","abstract":"Objective: The paper addresses the degree to which the attainment of the status as an elite athlete in different sports ameliorates the known age-related losses in skeletal muscle structure and function. Design: The retrospective design, based on comparisons of published data on former elite and masters athletes and data on control subjects, assessed the degree to which the attainment of elite and masters athlete status ameliorated the known age-related changes in skeletal muscle structure and function. Setting: Institutional. Participants: Elite male athletes. Iinterventions: Participation in selected individual and team sports. Main outcome measurements: Strength, power, VO2max, and performance. Results: For elite athletes in all sports, as for the general population, age-related muscle atrophy begins at about 50 years of age. Despite the loss of muscle mass, elite athletes who maintain an active lifestyle age gracefully with few health problems. Conversely, those who lapse into inactivity regress toward general population norms for fitness, weight control, and health problems. Elite athletes in the dual and team sports have careers that rarely extend into their 30s. Conclusions: Lifelong physical activity does not appear to have any impact on the loss in fiber number. The loss of fibers can be buffered to some degree by hypertrophy of fibers that remain. It is surprising that the performance of elite athletes in all sports appears to be impaired before the onset of the fiber loss. Even with major losses in physical capacity and muscle mass, the performance of elite and masters athletes is remarkable. © 2008 by Lippincott Williams &amp; Wilkins.","author":[{"dropping-particle":"","family":"Faulkner","given":"John A.","non-dropping-particle":"","parse-names":false,"suffix":""},{"dropping-particle":"","family":"Davis","given":"Carol S.","non-dropping-particle":"","parse-names":false,"suffix":""},{"dropping-particle":"","family":"Mendias","given":"Christopher L.","non-dropping-particle":"","parse-names":false,"suffix":""},{"dropping-particle":"V.","family":"Brooks","given":"Susan","non-dropping-particle":"","parse-names":false,"suffix":""}],"container-title":"Clinical journal of sport medicine : official journal of the Canadian Academy of Sport Medicine","id":"ITEM-1","issue":"6","issued":{"date-parts":[["2008","11"]]},"page":"501","publisher":"NIH Public Access","title":"The aging of elite male athletes: age-related changes in performance and skeletal muscle structure and function","type":"article-journal","volume":"18"},"uris":["http://www.mendeley.com/documents/?uuid=958c3213-bf76-3815-8801-42f9166a2e36"]}],"mendeley":{"formattedCitation":"(113)","plainTextFormattedCitation":"(113)","previouslyFormattedCitation":"(113)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(113)</w:t>
      </w:r>
      <w:r w:rsidRPr="00F56683">
        <w:rPr>
          <w:rFonts w:cstheme="minorHAnsi"/>
          <w:color w:val="000000" w:themeColor="text1"/>
        </w:rPr>
        <w:fldChar w:fldCharType="end"/>
      </w:r>
      <w:r w:rsidRPr="00F56683">
        <w:rPr>
          <w:rFonts w:cstheme="minorHAnsi"/>
          <w:color w:val="000000" w:themeColor="text1"/>
        </w:rPr>
        <w:t>.</w:t>
      </w:r>
    </w:p>
    <w:p w14:paraId="20FD8CAD" w14:textId="77777777" w:rsidR="004F4AF8" w:rsidRPr="00F56683" w:rsidRDefault="004F4AF8" w:rsidP="00F42CB9">
      <w:pPr>
        <w:spacing w:line="360" w:lineRule="auto"/>
        <w:rPr>
          <w:rFonts w:cstheme="minorHAnsi"/>
          <w:color w:val="000000" w:themeColor="text1"/>
        </w:rPr>
      </w:pPr>
    </w:p>
    <w:p w14:paraId="3A0A8FA8" w14:textId="56E6C521"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Further evidence looking at the life course perspective for physical activity and sports participation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{"citationItems":[{"id":"ITEM-1","itemData":{"DOI":"10.1007/S11556-010-0076-3/METRICS","ISSN":"18137253","abstract":"The purpose of this paper was to discuss physical activity and sports participation in a life-course framework, long-term tracking, determinants, and correlates of physical activity from childhood to old age, and present possible causal links and pathways for the continuity of physical activity. It seems that intensive participation in general in physical activity and sports, as well as participation at school age, are important predictors of adulthood participation. Especially, inactivity rather than activity tends to track from youth to adulthood. Socioeconomic status, place of residence, and personal upward social mobility are related to participation. If physical activity is at a low level in early adulthood, it does not easily become a part of life later on, particularly among blue-collar workers, women, and people with initially poor perceived health. Furthermore, in old age, earlier physical activity seems to be the key determinant along with gender. Repeated social reinforcement in the form of support for autonomy, competence, and relatedness is important especially in transition periods and life events such as secondary schooling, change in employment, and change in family structure. In contrast, retirement presented itself as a good chance of starting new leisure time activities. A life-course approach provides understanding on long-ranging developmental trajectories. According to these results in particular, the polarization of exercise to the active and inactive portions of the population is accumulated over time, and gender and social background features require special attention. © 2011 European Group for Research into Elderly and Physical Activity (EGREPA).","author":[{"dropping-particle":"","family":"Hirvensalo","given":"Mirja","non-dropping-particle":"","parse-names":false,"suffix":""},{"dropping-particle":"","family":"Lintunen","given":"Taru","non-dropping-particle":"","parse-names":false,"suffix":""}],"container-title":"European Review of Aging and Physical Activity","id":"ITEM-1","issue":"1","issued":{"date-parts":[["2011","4","11"]]},"page":"13-22","publisher":"BioMed Central","title":"Life-course perspective for physical activity and sports participation","type":"article-journal","volume":"8"},"uris":["http://www.mendeley.com/documents/?uuid=6464fccf-8af3-3e61-bff1-a4c35a37d3ea"]}],"mendeley":{"formattedCitation":"(120)","plainTextFormattedCitation":"(120)","previouslyFormattedCitation":"(120)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(120)</w:t>
      </w:r>
      <w:r w:rsidRPr="00F56683">
        <w:rPr>
          <w:rFonts w:cstheme="minorHAnsi"/>
          <w:color w:val="000000" w:themeColor="text1"/>
        </w:rPr>
        <w:fldChar w:fldCharType="end"/>
      </w:r>
      <w:r w:rsidRPr="00F56683">
        <w:rPr>
          <w:rFonts w:cstheme="minorHAnsi"/>
          <w:color w:val="000000" w:themeColor="text1"/>
        </w:rPr>
        <w:t>, it is possible to identify that there are associations between physical activity levels in mid-life and this leading to also being more active during old age; as identified by a 20-year tracking cohort study conducted by Aggio et al</w:t>
      </w:r>
      <w:r w:rsidR="00E632DB"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{"citationItems":[{"id":"ITEM-1","itemData":{"DOI":"10.1136/BMJOPEN-2017-017378","ISSN":"2044-6055","PMID":"28935690","abstract":"Objectives This study aims to examine the tracking and predictability of physical activity in old age from overall physical activity and participation in sport, recreational activity and walking in mid-life.\n\nDesign Prospective population-based cohort study.\n\nSetting British Regional Heart Study participants recruited from primary care centres in the UK in 1978–1980.\n\nParticipants and outcome measures Men (n=3413) self-reported their physical activity at baseline, 12, 16 and 20-year follow-ups and were categorised as inactive or active and having high or low participation in sport, walking and recreational activities. Tracking was assessed using kappa statistics and random effects models. Logistic regression estimated the odds of being active at 20-year follow-up according to physical activity participation in mid-life.\n\nResults Among 3413 men (mean age at baseline 48.6±5.4 years) with complete data, tracking of overall physical activity was moderate (kappa: 0.23–0.26). Tracking was higher for sports participation (kappa: 0.35–0.38) compared with recreational activity (kappa: 0.16–0.24) and walking (kappa: 0.11–0.15). Intraclass correlation coefficients demonstrated similar levels of stability and only marginally weakened after controlling for covariates. Compared with inactive men, being active at baseline was associated with greater odds of being active at 20-year follow-up (OR 2.7, 95% CI 2.4 to 3.2) after adjusting for sociodemographic, health and lifestyle variables. Playing sport in mid-life was more strongly associated with being active at 20-year follow-up than other domains, particularly when sport participation began earlier in life.\n\nConclusion Being physically active in mid-life increases the odds of being active in old age. Promoting physical activity in later life might be best achieved by promoting sport participation earlier in the life course.","author":[{"dropping-particle":"","family":"Aggio","given":"Daniel","non-dropping-particle":"","parse-names":false,"suffix":""},{"dropping-particle":"","family":"Papacosta","given":"Olia","non-dropping-particle":"","parse-names":false,"suffix":""},{"dropping-particle":"","family":"Lennon","given":"Lucy","non-dropping-particle":"","parse-names":false,"suffix":""},{"dropping-particle":"","family":"Whincup","given":"Peter","non-dropping-particle":"","parse-names":false,"suffix":""},{"dropping-particle":"","family":"Wannamethee","given":"Goya","non-dropping-particle":"","parse-names":false,"suffix":""},{"dropping-particle":"","family":"Jefferis","given":"Barbara J.","non-dropping-particle":"","parse-names":false,"suffix":""}],"container-title":"BMJ Open","id":"ITEM-1","issue":"8","issued":{"date-parts":[["2017","8","1"]]},"page":"e017378","publisher":"British Medical Journal Publishing Group","title":"Association between physical activity levels in mid-life with physical activity in old age: a 20-year tracking study in a prospective cohort","type":"article-journal","volume":"7"},"uris":["http://www.mendeley.com/documents/?uuid=623cd548-1359-394e-a46e-ce85034e91e3"]}],"mendeley":{"formattedCitation":"(121)","plainTextFormattedCitation":"(121)","previouslyFormattedCitation":"(121)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(121)</w:t>
      </w:r>
      <w:r w:rsidRPr="00F56683">
        <w:rPr>
          <w:rFonts w:cstheme="minorHAnsi"/>
          <w:color w:val="000000" w:themeColor="text1"/>
        </w:rPr>
        <w:fldChar w:fldCharType="end"/>
      </w:r>
      <w:r w:rsidRPr="00F56683">
        <w:rPr>
          <w:rFonts w:cstheme="minorHAnsi"/>
          <w:color w:val="000000" w:themeColor="text1"/>
        </w:rPr>
        <w:t xml:space="preserve">. Despite this, it should be noted that it is never too late to start exercising with evidence demonstrating that advantageous outcomes </w:t>
      </w:r>
      <w:r w:rsidR="002E4CCE" w:rsidRPr="00F56683">
        <w:rPr>
          <w:rFonts w:cstheme="minorHAnsi"/>
          <w:color w:val="000000" w:themeColor="text1"/>
        </w:rPr>
        <w:t xml:space="preserve">from </w:t>
      </w:r>
      <w:r w:rsidRPr="00F56683">
        <w:rPr>
          <w:rFonts w:cstheme="minorHAnsi"/>
          <w:color w:val="000000" w:themeColor="text1"/>
        </w:rPr>
        <w:t xml:space="preserve">exercise can be observed, even in the “oldest old”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{"citationItems":[{"id":"ITEM-1","itemData":{"DOI":"10.1111/J.1600-0838.2006.00575.X","ISSN":"1600-0838","PMID":"17490465","abstract":"Resistance training-related changes in muscle strength, muscle size, fiber type, and myosin heavy chain isoform composition in 11 elderly subjects (age range, 85-97 years) after 12 weeks of heavy resistance training (80% of 1 RM) were examined. Twelve subjects constituted a control group. Resistance training increased isometric knee extensor strength 37% (P&lt;0.05) and isokinetic knee strength 41-47% (P&lt;0.05). Lean-quadriceps cross-sectional area increased 9.8% (P&lt;0.05). Muscle fiber hypertrophy occurred only in the type 2 fibers (22% (P&lt;0.05)). Type 1 fiber-type area percentage decreased [4.0 % (P&lt;0.05)] whereas fiber-type area percentage of type 2a fibers increased [5.9% (P&lt;0.05)]. The relative amount of myosin heavy chain (MHC) I (P&lt;0.05) decreased and the relative amount of MHC IIA increased (P&lt;0.05). No effects in the overall number of capillaries per area was observed, but an increase in the number of capillary contacts in the type 2 fiber pool was observed. Heavy resistance training does have beneficial effects on muscle strength and muscle volume in very old frail humans. Furthermore, an increase in fiber size of the fast muscle fibers and an overall increase in the relative amount of fast MHC IIA can lead not only to a stronger, but maybe more importantly, to a more powerful skeletal muscle. © 2006 Blackwell Munksgaard.","author":[{"dropping-particle":"","family":"Kryger","given":"A. I.","non-dropping-particle":"","parse-names":false,"suffix":""},{"dropping-particle":"","family":"Andersen","given":"J. L.","non-dropping-particle":"","parse-names":false,"suffix":""}],"container-title":"Scandinavian Journal of Medicine &amp; Science in Sports","id":"ITEM-1","issue":"4","issued":{"date-parts":[["2007","8","1"]]},"page":"422-430","publisher":"John Wiley &amp; Sons, Ltd","title":"Resistance training in the oldest old: consequences for muscle strength, fiber types, fiber size, and MHC isoforms","type":"article-journal","volume":"17"},"uris":["http://www.mendeley.com/documents/?uuid=8bb916bd-674b-3954-bd92-e86d134d5f73"]}],"mendeley":{"formattedCitation":"(122)","plainTextFormattedCitation":"(122)","previouslyFormattedCitation":"(122)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(122)</w:t>
      </w:r>
      <w:r w:rsidRPr="00F56683">
        <w:rPr>
          <w:rFonts w:cstheme="minorHAnsi"/>
          <w:color w:val="000000" w:themeColor="text1"/>
        </w:rPr>
        <w:fldChar w:fldCharType="end"/>
      </w:r>
      <w:r w:rsidRPr="00F56683">
        <w:rPr>
          <w:rFonts w:cstheme="minorHAnsi"/>
          <w:color w:val="000000" w:themeColor="text1"/>
        </w:rPr>
        <w:t xml:space="preserve">.  The delivery of heavy resistance training (80% of 1RM), using the isometric knee extensor </w:t>
      </w:r>
      <w:r w:rsidRPr="00F56683">
        <w:rPr>
          <w:rFonts w:cstheme="minorHAnsi"/>
          <w:color w:val="000000" w:themeColor="text1"/>
        </w:rPr>
        <w:lastRenderedPageBreak/>
        <w:t>strength and isokinetic knee strength protocols to subjects for 12 weeks found beneficial effects on muscle strength and volume in the participants, all of whom were aged between 85-97 years, including increases in cross-section area of lean-quadriceps by 9.8% and 37% and 41-47% improvements in knee extensor and isokinetic knee strength, respectively.</w:t>
      </w:r>
    </w:p>
    <w:p w14:paraId="4235EC75" w14:textId="77777777" w:rsidR="004F4AF8" w:rsidRPr="00F56683" w:rsidRDefault="004F4AF8" w:rsidP="00F42CB9">
      <w:pPr>
        <w:spacing w:line="360" w:lineRule="auto"/>
        <w:rPr>
          <w:rFonts w:cstheme="minorHAnsi"/>
          <w:color w:val="000000" w:themeColor="text1"/>
        </w:rPr>
      </w:pPr>
    </w:p>
    <w:p w14:paraId="29BD28D6" w14:textId="5EB371A5" w:rsidR="004F4AF8" w:rsidRPr="00F56683" w:rsidRDefault="004F4AF8" w:rsidP="00F42CB9">
      <w:pPr>
        <w:pStyle w:val="Heading3"/>
        <w:spacing w:line="360" w:lineRule="auto"/>
        <w:rPr>
          <w:rFonts w:asciiTheme="minorHAnsi" w:hAnsiTheme="minorHAnsi" w:cstheme="minorHAnsi"/>
          <w:color w:val="000000" w:themeColor="text1"/>
        </w:rPr>
      </w:pPr>
      <w:bookmarkStart w:id="56" w:name="_Toc135384251"/>
      <w:r w:rsidRPr="00F56683">
        <w:rPr>
          <w:rFonts w:asciiTheme="minorHAnsi" w:hAnsiTheme="minorHAnsi" w:cstheme="minorHAnsi"/>
          <w:color w:val="000000" w:themeColor="text1"/>
        </w:rPr>
        <w:t>1.4.2 Resistance exercise</w:t>
      </w:r>
      <w:bookmarkEnd w:id="56"/>
      <w:r w:rsidRPr="00F56683">
        <w:rPr>
          <w:rFonts w:asciiTheme="minorHAnsi" w:hAnsiTheme="minorHAnsi" w:cstheme="minorHAnsi"/>
          <w:color w:val="000000" w:themeColor="text1"/>
        </w:rPr>
        <w:t xml:space="preserve">  </w:t>
      </w:r>
    </w:p>
    <w:p w14:paraId="58D45589" w14:textId="7061EF87"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Resistance exercise is the key form of training for developing strength by increasing muscle mass via the stimulation of muscle hypertrophy (the process of damaging the muscle through small tears in the tissue, followed by a period</w:t>
      </w:r>
      <w:r w:rsidR="00E632DB" w:rsidRPr="00F56683">
        <w:rPr>
          <w:rFonts w:cstheme="minorHAnsi"/>
          <w:color w:val="000000" w:themeColor="text1"/>
        </w:rPr>
        <w:t xml:space="preserve"> of</w:t>
      </w:r>
      <w:r w:rsidRPr="00F56683">
        <w:rPr>
          <w:rFonts w:cstheme="minorHAnsi"/>
          <w:color w:val="000000" w:themeColor="text1"/>
        </w:rPr>
        <w:t xml:space="preserve"> repair </w:t>
      </w:r>
      <w:r w:rsidR="00E632DB" w:rsidRPr="00F56683">
        <w:rPr>
          <w:rFonts w:cstheme="minorHAnsi"/>
          <w:color w:val="000000" w:themeColor="text1"/>
        </w:rPr>
        <w:t>whereby</w:t>
      </w:r>
      <w:r w:rsidRPr="00F56683">
        <w:rPr>
          <w:rFonts w:cstheme="minorHAnsi"/>
          <w:color w:val="000000" w:themeColor="text1"/>
        </w:rPr>
        <w:t xml:space="preserve"> the muscle is rebuilt stronger)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{"citationItems":[{"id":"ITEM-1","itemData":{"DOI":"10.1007/S00421-017-3792-9","ISSN":"1439-6327","PMID":"29282529","abstract":"Resistance training (RT)-induced skeletal muscle hypertrophy is a highly intricate process. Despite substantial advances, we are far from understanding exactly how muscle hypertrophy develops during RT. The aim of the present review is to discuss new insights related to the role of skeletal muscle damage and muscle protein synthesis (MPS) in mediating RT-induced hypertrophy. Specifically, the thesis that in the early phase of RT (≤ 4 previous RT sessions) increases in muscle cross-sectional area are mostly attributable to muscle damage-induced muscle swelling; then (after ~ 10 sessions), a modest magnitude of muscle hypertrophy ensues; but only during a latter phase of RT (after ~ 18 sessions) is true muscle hypertrophy observed. We argue that the initial increases in MPS post-RT are likely directed to muscle repair and remodelling due to damage, and do not correlate with eventual muscle hypertrophy induced by several RT weeks. Increases in MPS post-RT session only contribute to muscle hypertrophy after a progressive attenuation of muscle damage, and even more significantly when damage is minimal. Furthermore, RT protocols that do not promote significant muscle damage still induce similar muscle hypertrophy and strength gains compared to conditions that do promote initial muscle damage. Thus, we conclude that muscle damage is not the process that mediates or potentiates RT-induced muscle hypertrophy.","author":[{"dropping-particle":"","family":"Damas","given":"Felipe","non-dropping-particle":"","parse-names":false,"suffix":""},{"dropping-particle":"","family":"Libardi","given":"Cleiton A.","non-dropping-particle":"","parse-names":false,"suffix":""},{"dropping-particle":"","family":"Ugrinowitsch","given":"Carlos","non-dropping-particle":"","parse-names":false,"suffix":""}],"container-title":"European journal of applied physiology","id":"ITEM-1","issue":"3","issued":{"date-parts":[["2018","3","1"]]},"page":"485-500","publisher":"Eur J Appl Physiol","title":"The development of skeletal muscle hypertrophy through resistance training: the role of muscle damage and muscle protein synthesis","type":"article-journal","volume":"118"},"uris":["http://www.mendeley.com/documents/?uuid=157a2560-547d-3897-bd0a-8eac6317b58f"]}],"mendeley":{"formattedCitation":"(123)","plainTextFormattedCitation":"(123)","previouslyFormattedCitation":"(123)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(123)</w:t>
      </w:r>
      <w:r w:rsidRPr="00F56683">
        <w:rPr>
          <w:rFonts w:cstheme="minorHAnsi"/>
          <w:color w:val="000000" w:themeColor="text1"/>
        </w:rPr>
        <w:fldChar w:fldCharType="end"/>
      </w:r>
      <w:r w:rsidRPr="00F56683">
        <w:rPr>
          <w:rFonts w:cstheme="minorHAnsi"/>
          <w:color w:val="000000" w:themeColor="text1"/>
        </w:rPr>
        <w:t xml:space="preserve"> and the activation on the mTOR pathway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{"citationItems":[{"id":"ITEM-1","itemData":{"DOI":"10.1152/AJPENDO.1995.268.3.E514","ISSN":"0002-9513","PMID":"7900797","abstract":"The rates of protein synthesis and degradation and of amino acid transport were determined in the leg muscle of untrained postabsorptive normal volunteers at rest and ~ 3 h after a resistance exercise routine. The methodology involved use of stable isotopic tracers of amino acids, arteriovenous catheterization of the femoral vessels, and biopsy of the vastus lateralis muscle. During postexercise recovery, the rate of intramuscular phenylalanine utilization for protein synthesis increased above the basal value by 108 ± 18%, whereas the rate of release from proteolysis increased by 51 ± 17%. Muscle protein balance improved (P &lt; 0.05) after exercise but did not become positive (from -15 ± 12 to 6 ± 3 nmol phenylalanine · min-1 · 100 ml leg volume-1). After exercise, rates of inward transport of leucine, lysine, and alanine increased (P &lt; 0.05) above the basal state from 132 ± 16 to 208 ± 29, from 122 ± 8 to 260 ± 8, and from 384 ± 71 to 602 ± 89 nmol · min-1 · 100 ml leg-1, respectively. Transport of phenylalanine did not change significantly. These results indicate that, during recovery after resistance exercise, muscle protein turnover is increased because of an acceleration of synthesis and degradation. A postexercise acceleration of amino acid transport may contribute to the relatively greater stimulation of protein synthesis.","author":[{"dropping-particle":"","family":"Biolo","given":"G.","non-dropping-particle":"","parse-names":false,"suffix":""},{"dropping-particle":"","family":"Maggi","given":"S. P.","non-dropping-particle":"","parse-names":false,"suffix":""},{"dropping-particle":"","family":"Williams","given":"B. D.","non-dropping-particle":"","parse-names":false,"suffix":""},{"dropping-particle":"","family":"Tipton","given":"K. D.","non-dropping-particle":"","parse-names":false,"suffix":""},{"dropping-particle":"","family":"Wolfe","given":"R. R.","non-dropping-particle":"","parse-names":false,"suffix":""}],"container-title":"The American journal of physiology","id":"ITEM-1","issue":"3 Pt 1","issued":{"date-parts":[["1995"]]},"publisher":"Am J Physiol","title":"Increased rates of muscle protein turnover and amino acid transport after resistance exercise in humans","type":"article-journal","volume":"268"},"uris":["http://www.mendeley.com/documents/?uuid=6aec86ab-57ef-36e1-a126-d2e35b7f251a"]}],"mendeley":{"formattedCitation":"(124)","plainTextFormattedCitation":"(124)","previouslyFormattedCitation":"(124)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(124)</w:t>
      </w:r>
      <w:r w:rsidRPr="00F56683">
        <w:rPr>
          <w:rFonts w:cstheme="minorHAnsi"/>
          <w:color w:val="000000" w:themeColor="text1"/>
        </w:rPr>
        <w:fldChar w:fldCharType="end"/>
      </w:r>
      <w:r w:rsidRPr="00F56683">
        <w:rPr>
          <w:rFonts w:cstheme="minorHAnsi"/>
          <w:color w:val="000000" w:themeColor="text1"/>
        </w:rPr>
        <w:t xml:space="preserve">. </w:t>
      </w:r>
    </w:p>
    <w:p w14:paraId="64E240A9" w14:textId="77777777" w:rsidR="004F4AF8" w:rsidRPr="00F56683" w:rsidRDefault="004F4AF8" w:rsidP="00F42CB9">
      <w:pPr>
        <w:spacing w:line="360" w:lineRule="auto"/>
        <w:rPr>
          <w:rFonts w:cstheme="minorHAnsi"/>
          <w:color w:val="000000" w:themeColor="text1"/>
        </w:rPr>
      </w:pPr>
    </w:p>
    <w:p w14:paraId="56D76FB5" w14:textId="2C1F4327" w:rsidR="004F4AF8" w:rsidRPr="00F56683" w:rsidRDefault="004F4AF8" w:rsidP="00F42CB9">
      <w:pPr>
        <w:spacing w:line="360" w:lineRule="auto"/>
        <w:rPr>
          <w:rFonts w:cstheme="minorHAnsi"/>
          <w:color w:val="000000" w:themeColor="text1"/>
        </w:rPr>
      </w:pPr>
      <w:r w:rsidRPr="00F56683">
        <w:rPr>
          <w:rFonts w:cstheme="minorHAnsi"/>
          <w:color w:val="000000" w:themeColor="text1"/>
        </w:rPr>
        <w:t>Although primarily linked to improved strength and muscular endurance, these are not the only health benefits which can derive from resistance training. Moderate</w:t>
      </w:r>
      <w:r w:rsidR="002E4CCE" w:rsidRPr="00F56683">
        <w:rPr>
          <w:rFonts w:cstheme="minorHAnsi"/>
          <w:color w:val="000000" w:themeColor="text1"/>
        </w:rPr>
        <w:t>-</w:t>
      </w:r>
      <w:r w:rsidRPr="00F56683">
        <w:rPr>
          <w:rFonts w:cstheme="minorHAnsi"/>
          <w:color w:val="000000" w:themeColor="text1"/>
        </w:rPr>
        <w:t>intensity aerobic exercise is often favoured as the mode for lowering all-cause mortality risks, but in recent years some have argued that a strong</w:t>
      </w:r>
      <w:r w:rsidR="00A42CCB" w:rsidRPr="00F56683">
        <w:rPr>
          <w:rFonts w:cstheme="minorHAnsi"/>
          <w:color w:val="000000" w:themeColor="text1"/>
        </w:rPr>
        <w:t>er</w:t>
      </w:r>
      <w:r w:rsidRPr="00F56683">
        <w:rPr>
          <w:rFonts w:cstheme="minorHAnsi"/>
          <w:color w:val="000000" w:themeColor="text1"/>
        </w:rPr>
        <w:t xml:space="preserve"> emphasis should be placed on resistance training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{"citationItems":[{"id":"ITEM-1","itemData":{"DOI":"10.1155/2017/2541090","ISSN":"2314-6141","PMID":"28676855","abstract":"Purpose. The present study examined the progressive implementation of a high effort resistance training (RT) approach in older adults over 6 months and through a 6-month follow-up on strength, body composition, function, and wellbeing of older adults. Methods. Twenty-three older adults (aged 61 to 80 years) completed a 6-month supervised RT intervention applying progressive introduction of higher effort set end points. After completion of the intervention participants could choose to continue performing RT unsupervised until 6-month follow-up. Results. Strength, body composition, function, and wellbeing all significantly improved over the intervention. Over the follow-up, body composition changes reverted to baseline values, strength was reduced though it remained significantly higher than baseline, and wellbeing outcomes were mostly maintained. Comparisons over the follow-up between those who did and those who did not continue with RT revealed no significant differences for changes in any outcome measure. Conclusions. Supervised RT employing progressive application of high effort set end points is well tolerated and effective in improving strength, body composition, function, and wellbeing in older adults. However, whether participants continued, or did not, with RT unsupervised at follow-up had no effect on outcomes perhaps due to reduced effort employed during unsupervised RT.","author":[{"dropping-particle":"","family":"Steele","given":"James","non-dropping-particle":"","parse-names":false,"suffix":""},{"dropping-particle":"","family":"Raubold","given":"Kristin","non-dropping-particle":"","parse-names":false,"suffix":""},{"dropping-particle":"","family":"Kemmler","given":"Wolfgang","non-dropping-particle":"","parse-names":false,"suffix":""},{"dropping-particle":"","family":"Fisher","given":"James","non-dropping-particle":"","parse-names":false,"suffix":""},{"dropping-particle":"","family":"Gentil","given":"Paulo","non-dropping-particle":"","parse-names":false,"suffix":""},{"dropping-particle":"","family":"Giessing","given":"Jürgen","non-dropping-particle":"","parse-names":false,"suffix":""}],"container-title":"BioMed research international","id":"ITEM-1","issued":{"date-parts":[["2017"]]},"publisher":"Biomed Res Int","title":"The Effects of 6 Months of Progressive High Effort Resistance Training Methods upon Strength, Body Composition, Function, and Wellbeing of Elderly Adults","type":"article-journal","volume":"2017"},"uris":["http://www.mendeley.com/documents/?uuid=44fd0eff-9c70-3888-be9d-cd433088f165"]}],"mendeley":{"formattedCitation":"(125)","plainTextFormattedCitation":"(125)","previouslyFormattedCitation":"(125)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(125)</w:t>
      </w:r>
      <w:r w:rsidRPr="00F56683">
        <w:rPr>
          <w:rFonts w:cstheme="minorHAnsi"/>
          <w:color w:val="000000" w:themeColor="text1"/>
        </w:rPr>
        <w:fldChar w:fldCharType="end"/>
      </w:r>
      <w:r w:rsidRPr="00F56683">
        <w:rPr>
          <w:rFonts w:cstheme="minorHAnsi"/>
          <w:color w:val="000000" w:themeColor="text1"/>
        </w:rPr>
        <w:t>.</w:t>
      </w:r>
    </w:p>
    <w:p w14:paraId="21E54434" w14:textId="77777777" w:rsidR="004F4AF8" w:rsidRPr="00F56683" w:rsidRDefault="004F4AF8" w:rsidP="00F42CB9">
      <w:pPr>
        <w:spacing w:line="360" w:lineRule="auto"/>
        <w:rPr>
          <w:rFonts w:cstheme="minorHAnsi"/>
          <w:color w:val="000000" w:themeColor="text1"/>
        </w:rPr>
      </w:pPr>
    </w:p>
    <w:p w14:paraId="7376435F" w14:textId="4AEDF82F" w:rsidR="004F4AF8" w:rsidRPr="00F56683" w:rsidRDefault="004F4AF8" w:rsidP="00F42CB9">
      <w:pPr>
        <w:spacing w:line="360" w:lineRule="auto"/>
        <w:rPr>
          <w:rFonts w:cstheme="minorHAnsi"/>
          <w:color w:val="000000" w:themeColor="text1"/>
        </w:rPr>
      </w:pPr>
      <w:r w:rsidRPr="00F56683">
        <w:rPr>
          <w:rFonts w:cstheme="minorHAnsi"/>
          <w:color w:val="000000" w:themeColor="text1"/>
        </w:rPr>
        <w:t>Reflecting back on the underpinning mechanisms of both ageing muscle (</w:t>
      </w:r>
      <w:r w:rsidRPr="00F56683">
        <w:rPr>
          <w:rFonts w:cstheme="minorHAnsi"/>
          <w:color w:val="000000" w:themeColor="text1"/>
        </w:rPr>
        <w:fldChar w:fldCharType="begin"/>
      </w:r>
      <w:r w:rsidRPr="00F56683">
        <w:rPr>
          <w:rFonts w:cstheme="minorHAnsi"/>
          <w:color w:val="000000" w:themeColor="text1"/>
        </w:rPr>
        <w:instrText xml:space="preserve"> REF _Ref120875048 \h  \* MERGEFORMAT </w:instrText>
      </w:r>
      <w:r w:rsidRPr="00F56683">
        <w:rPr>
          <w:rFonts w:cstheme="minorHAnsi"/>
          <w:color w:val="000000" w:themeColor="text1"/>
        </w:rPr>
      </w:r>
      <w:r w:rsidRPr="00F56683">
        <w:rPr>
          <w:rFonts w:cstheme="minorHAnsi"/>
          <w:color w:val="000000" w:themeColor="text1"/>
        </w:rPr>
        <w:fldChar w:fldCharType="separate"/>
      </w:r>
      <w:r w:rsidRPr="00F56683">
        <w:rPr>
          <w:rFonts w:cstheme="minorHAnsi"/>
          <w:color w:val="000000" w:themeColor="text1"/>
        </w:rPr>
        <w:t xml:space="preserve">Figure </w:t>
      </w:r>
      <w:r w:rsidRPr="00F56683">
        <w:rPr>
          <w:rFonts w:cstheme="minorHAnsi"/>
          <w:noProof/>
          <w:color w:val="000000" w:themeColor="text1"/>
        </w:rPr>
        <w:t>4</w:t>
      </w:r>
      <w:r w:rsidRPr="00F56683">
        <w:rPr>
          <w:rFonts w:cstheme="minorHAnsi"/>
          <w:color w:val="000000" w:themeColor="text1"/>
        </w:rPr>
        <w:fldChar w:fldCharType="end"/>
      </w:r>
      <w:r w:rsidRPr="00F56683">
        <w:rPr>
          <w:rFonts w:cstheme="minorHAnsi"/>
          <w:color w:val="000000" w:themeColor="text1"/>
        </w:rPr>
        <w:t>) and sarcopenia onset (</w:t>
      </w:r>
      <w:r w:rsidRPr="00F56683">
        <w:rPr>
          <w:rFonts w:cstheme="minorHAnsi"/>
          <w:color w:val="000000" w:themeColor="text1"/>
        </w:rPr>
        <w:fldChar w:fldCharType="begin"/>
      </w:r>
      <w:r w:rsidRPr="00F56683">
        <w:rPr>
          <w:rFonts w:cstheme="minorHAnsi"/>
          <w:color w:val="000000" w:themeColor="text1"/>
        </w:rPr>
        <w:instrText xml:space="preserve"> REF _Ref120721673 \h  \* MERGEFORMAT </w:instrText>
      </w:r>
      <w:r w:rsidRPr="00F56683">
        <w:rPr>
          <w:rFonts w:cstheme="minorHAnsi"/>
          <w:color w:val="000000" w:themeColor="text1"/>
        </w:rPr>
      </w:r>
      <w:r w:rsidRPr="00F56683">
        <w:rPr>
          <w:rFonts w:cstheme="minorHAnsi"/>
          <w:color w:val="000000" w:themeColor="text1"/>
        </w:rPr>
        <w:fldChar w:fldCharType="separate"/>
      </w:r>
      <w:r w:rsidRPr="00F56683">
        <w:rPr>
          <w:rFonts w:cstheme="minorHAnsi"/>
          <w:color w:val="000000" w:themeColor="text1"/>
        </w:rPr>
        <w:t xml:space="preserve">Figure </w:t>
      </w:r>
      <w:r w:rsidRPr="00F56683">
        <w:rPr>
          <w:rFonts w:cstheme="minorHAnsi"/>
          <w:noProof/>
          <w:color w:val="000000" w:themeColor="text1"/>
        </w:rPr>
        <w:t>5</w:t>
      </w:r>
      <w:r w:rsidRPr="00F56683">
        <w:rPr>
          <w:rFonts w:cstheme="minorHAnsi"/>
          <w:color w:val="000000" w:themeColor="text1"/>
        </w:rPr>
        <w:fldChar w:fldCharType="end"/>
      </w:r>
      <w:r w:rsidRPr="00F56683">
        <w:rPr>
          <w:rFonts w:cstheme="minorHAnsi"/>
          <w:color w:val="000000" w:themeColor="text1"/>
        </w:rPr>
        <w:t>), harnessing these to understand how exercise may feed into these factors demonstrates the rationale behind how exercise could help pre</w:t>
      </w:r>
      <w:r w:rsidR="002E4CCE" w:rsidRPr="00F56683">
        <w:rPr>
          <w:rFonts w:cstheme="minorHAnsi"/>
          <w:color w:val="000000" w:themeColor="text1"/>
        </w:rPr>
        <w:t>v</w:t>
      </w:r>
      <w:r w:rsidRPr="00F56683">
        <w:rPr>
          <w:rFonts w:cstheme="minorHAnsi"/>
          <w:color w:val="000000" w:themeColor="text1"/>
        </w:rPr>
        <w:t>ent sarcopenia’s onset.</w:t>
      </w:r>
    </w:p>
    <w:p w14:paraId="1B039477" w14:textId="77777777" w:rsidR="004F4AF8" w:rsidRPr="00F56683" w:rsidRDefault="004F4AF8" w:rsidP="00F42CB9">
      <w:pPr>
        <w:spacing w:line="360" w:lineRule="auto"/>
        <w:rPr>
          <w:rFonts w:cstheme="minorHAnsi"/>
          <w:color w:val="000000" w:themeColor="text1"/>
        </w:rPr>
      </w:pPr>
    </w:p>
    <w:p w14:paraId="736363EE" w14:textId="759EC0F9" w:rsidR="004F4AF8" w:rsidRPr="00F56683" w:rsidRDefault="004F4AF8" w:rsidP="00F42CB9">
      <w:pPr>
        <w:pStyle w:val="Heading3"/>
        <w:spacing w:line="360" w:lineRule="auto"/>
        <w:rPr>
          <w:rFonts w:asciiTheme="minorHAnsi" w:hAnsiTheme="minorHAnsi" w:cstheme="minorHAnsi"/>
          <w:color w:val="000000" w:themeColor="text1"/>
        </w:rPr>
      </w:pPr>
      <w:bookmarkStart w:id="57" w:name="_Toc135384252"/>
      <w:r w:rsidRPr="00F56683">
        <w:rPr>
          <w:rFonts w:asciiTheme="minorHAnsi" w:hAnsiTheme="minorHAnsi" w:cstheme="minorHAnsi"/>
          <w:color w:val="000000" w:themeColor="text1"/>
        </w:rPr>
        <w:t>1.4.3 Resistance exercise interventions</w:t>
      </w:r>
      <w:bookmarkEnd w:id="57"/>
      <w:r w:rsidRPr="00F56683">
        <w:rPr>
          <w:rFonts w:asciiTheme="minorHAnsi" w:hAnsiTheme="minorHAnsi" w:cstheme="minorHAnsi"/>
          <w:color w:val="000000" w:themeColor="text1"/>
        </w:rPr>
        <w:t xml:space="preserve"> </w:t>
      </w:r>
    </w:p>
    <w:p w14:paraId="46FDA556" w14:textId="4522CA62"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Resistance exercise training (RET) is highly documented in the literature, but again </w:t>
      </w:r>
      <w:r w:rsidR="002A6D43" w:rsidRPr="00F56683">
        <w:rPr>
          <w:rFonts w:cstheme="minorHAnsi"/>
          <w:color w:val="000000" w:themeColor="text1"/>
        </w:rPr>
        <w:t>mainly</w:t>
      </w:r>
      <w:r w:rsidRPr="00F56683">
        <w:rPr>
          <w:rFonts w:cstheme="minorHAnsi"/>
          <w:color w:val="000000" w:themeColor="text1"/>
        </w:rPr>
        <w:t xml:space="preserve"> in younger and older populations. An assessment of the impact of a 12-week progressive dynamic resistance-training program in 85-98-year olds (118), </w:t>
      </w:r>
      <w:r w:rsidR="002E4CCE" w:rsidRPr="00F56683">
        <w:rPr>
          <w:rFonts w:cstheme="minorHAnsi"/>
          <w:color w:val="000000" w:themeColor="text1"/>
        </w:rPr>
        <w:t>compared</w:t>
      </w:r>
      <w:r w:rsidRPr="00F56683">
        <w:rPr>
          <w:rFonts w:cstheme="minorHAnsi"/>
          <w:color w:val="000000" w:themeColor="text1"/>
        </w:rPr>
        <w:t xml:space="preserve"> to a control group which resumed their normal routine, revealed large increases in strength in the test group. Architecture changes of the muscle were also observed with type 2a muscle fibre percentages increasing and the number of capillaries per muscle fibre also rose following resistance training. In order to assess muscle quality, invasive procedures</w:t>
      </w:r>
      <w:r w:rsidR="00F35C3F" w:rsidRPr="00F56683">
        <w:rPr>
          <w:rFonts w:cstheme="minorHAnsi"/>
          <w:color w:val="000000" w:themeColor="text1"/>
        </w:rPr>
        <w:t>, including muscle biopsies,</w:t>
      </w:r>
      <w:r w:rsidRPr="00F56683">
        <w:rPr>
          <w:rFonts w:cstheme="minorHAnsi"/>
          <w:color w:val="000000" w:themeColor="text1"/>
        </w:rPr>
        <w:t xml:space="preserve"> are </w:t>
      </w:r>
      <w:r w:rsidR="001A3FE2" w:rsidRPr="00F56683">
        <w:rPr>
          <w:rFonts w:cstheme="minorHAnsi"/>
          <w:color w:val="000000" w:themeColor="text1"/>
        </w:rPr>
        <w:t>often used</w:t>
      </w:r>
      <w:r w:rsidR="00F35C3F" w:rsidRPr="00F56683">
        <w:rPr>
          <w:rFonts w:cstheme="minorHAnsi"/>
          <w:color w:val="000000" w:themeColor="text1"/>
        </w:rPr>
        <w:t xml:space="preserve"> which</w:t>
      </w:r>
      <w:r w:rsidRPr="00F56683">
        <w:rPr>
          <w:rFonts w:cstheme="minorHAnsi"/>
          <w:color w:val="000000" w:themeColor="text1"/>
        </w:rPr>
        <w:t xml:space="preserve"> could cause harm/distress to participants, </w:t>
      </w:r>
      <w:r w:rsidRPr="00F56683">
        <w:rPr>
          <w:rFonts w:cstheme="minorHAnsi"/>
          <w:color w:val="000000" w:themeColor="text1"/>
        </w:rPr>
        <w:lastRenderedPageBreak/>
        <w:t>particularly in this potentially vulnerable population. Notwithstanding, it does provide evidence to support the idea that muscle parameters were improved</w:t>
      </w:r>
      <w:r w:rsidR="0045608D" w:rsidRPr="00F56683">
        <w:rPr>
          <w:rFonts w:cstheme="minorHAnsi"/>
          <w:color w:val="000000" w:themeColor="text1"/>
        </w:rPr>
        <w:t>. O</w:t>
      </w:r>
      <w:r w:rsidRPr="00F56683">
        <w:rPr>
          <w:rFonts w:cstheme="minorHAnsi"/>
          <w:color w:val="000000" w:themeColor="text1"/>
        </w:rPr>
        <w:t>btaining results that assess a variety of muscle features ha</w:t>
      </w:r>
      <w:r w:rsidR="002E4CCE" w:rsidRPr="00F56683">
        <w:rPr>
          <w:rFonts w:cstheme="minorHAnsi"/>
          <w:color w:val="000000" w:themeColor="text1"/>
        </w:rPr>
        <w:t xml:space="preserve">s </w:t>
      </w:r>
      <w:r w:rsidRPr="00F56683">
        <w:rPr>
          <w:rFonts w:cstheme="minorHAnsi"/>
          <w:color w:val="000000" w:themeColor="text1"/>
        </w:rPr>
        <w:t xml:space="preserve">many benefits for supporting interventions to slow down sarcopenia’s progression. Looking at this age group possibly ignores the idea of a prevention intervention rather than attempting to reverse losses that have already occurred. </w:t>
      </w:r>
    </w:p>
    <w:p w14:paraId="0BBCA219" w14:textId="77777777" w:rsidR="004F4AF8" w:rsidRPr="00F56683" w:rsidRDefault="004F4AF8" w:rsidP="00F42CB9">
      <w:pPr>
        <w:spacing w:line="360" w:lineRule="auto"/>
        <w:rPr>
          <w:rFonts w:cstheme="minorHAnsi"/>
          <w:color w:val="000000" w:themeColor="text1"/>
        </w:rPr>
      </w:pPr>
    </w:p>
    <w:p w14:paraId="5EA341FE" w14:textId="7714B7E6" w:rsidR="004F4AF8" w:rsidRPr="00F56683" w:rsidRDefault="004F4AF8" w:rsidP="00F42CB9">
      <w:pPr>
        <w:spacing w:line="360" w:lineRule="auto"/>
        <w:rPr>
          <w:rFonts w:cstheme="minorHAnsi"/>
          <w:color w:val="000000" w:themeColor="text1"/>
        </w:rPr>
      </w:pPr>
      <w:r w:rsidRPr="00F56683">
        <w:rPr>
          <w:rFonts w:cstheme="minorHAnsi"/>
          <w:color w:val="000000" w:themeColor="text1"/>
        </w:rPr>
        <w:t>Hassan et al</w:t>
      </w:r>
      <w:r w:rsidR="002E4CCE"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{"citationItems":[{"id":"ITEM-1","itemData":{"DOI":"10.1016/j.gerinurse.2015.11.001","ISSN":"15283984","abstract":"The impact of progressive resistance training on sarcopenia among very old institutionalized adults was investigated. Residents of Nursing Care Facilities were included in a controlled trial of twice weekly resistance and balance exercise program for six months (Age: 85.9 ± 7.5 years, Time in care: 707.1 ± 707.5 days, N = 21 per group). Sarcopenia was measured based on the European Working Group on Sarcopenia in Older People criteria. Of the recruited 42 participants, 35.7% had sarcopenia at baseline, with prevalence increasing in the control group post-intervention (42.9%-52.4%). Following training, the exercise group experienced a significant increase in grip strength when compared to controls (p =02), and a within-group decrease in body mass index and increase in grip strength (p ≤.007). Resistance and balance exercise has positive benefits for older adults residing in a nursing care facilities which may transfer to reduce disability and sarcopenia transition, but more work is needed to ensure improved program uptake among residents.","author":[{"dropping-particle":"","family":"Hassan","given":"Bothaina H.","non-dropping-particle":"","parse-names":false,"suffix":""},{"dropping-particle":"","family":"Hewitt","given":"Jennifer","non-dropping-particle":"","parse-names":false,"suffix":""},{"dropping-particle":"","family":"Keogh","given":"Justin W.L.","non-dropping-particle":"","parse-names":false,"suffix":""},{"dropping-particle":"","family":"Bermeo","given":"Sandra","non-dropping-particle":"","parse-names":false,"suffix":""},{"dropping-particle":"","family":"Duque","given":"Gustavo","non-dropping-particle":"","parse-names":false,"suffix":""},{"dropping-particle":"","family":"Henwood","given":"Tim R.","non-dropping-particle":"","parse-names":false,"suffix":""}],"container-title":"Geriatric Nursing","id":"ITEM-1","issue":"2","issued":{"date-parts":[["2016","3","1"]]},"page":"116-121","publisher":"Mosby Inc.","title":"Impact of resistance training on sarcopenia in nursing care facilities: A pilot study","type":"article-journal","volume":"37"},"uris":["http://www.mendeley.com/documents/?uuid=56fd7930-9a2d-3842-b816-aecc047b10ca"]}],"mendeley":{"formattedCitation":"(126)","plainTextFormattedCitation":"(126)","previouslyFormattedCitation":"(126)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(126)</w:t>
      </w:r>
      <w:r w:rsidRPr="00F56683">
        <w:rPr>
          <w:rFonts w:cstheme="minorHAnsi"/>
          <w:color w:val="000000" w:themeColor="text1"/>
        </w:rPr>
        <w:fldChar w:fldCharType="end"/>
      </w:r>
      <w:r w:rsidRPr="00F56683">
        <w:rPr>
          <w:rFonts w:cstheme="minorHAnsi"/>
          <w:color w:val="000000" w:themeColor="text1"/>
        </w:rPr>
        <w:t xml:space="preserve"> conducted a</w:t>
      </w:r>
      <w:r w:rsidR="002E4CCE" w:rsidRPr="00F56683">
        <w:rPr>
          <w:rFonts w:cstheme="minorHAnsi"/>
          <w:color w:val="000000" w:themeColor="text1"/>
        </w:rPr>
        <w:t>n</w:t>
      </w:r>
      <w:r w:rsidRPr="00F56683">
        <w:rPr>
          <w:rFonts w:cstheme="minorHAnsi"/>
          <w:color w:val="000000" w:themeColor="text1"/>
        </w:rPr>
        <w:t xml:space="preserve"> RCT looking at participants who lived in nursing care facilities and were also classified as sarcopenic based on</w:t>
      </w:r>
      <w:r w:rsidR="0045608D" w:rsidRPr="00F56683">
        <w:rPr>
          <w:rFonts w:cstheme="minorHAnsi"/>
          <w:color w:val="000000" w:themeColor="text1"/>
        </w:rPr>
        <w:t xml:space="preserve"> the</w:t>
      </w:r>
      <w:r w:rsidRPr="00F56683">
        <w:rPr>
          <w:rFonts w:cstheme="minorHAnsi"/>
          <w:color w:val="000000" w:themeColor="text1"/>
        </w:rPr>
        <w:t xml:space="preserve"> EWGSOP 2010 criteria. The intervention protocol consisted of twice weekly progressive resistance and balancing training, totalling up to fifty hours over a six-month period. As a control condition</w:t>
      </w:r>
      <w:r w:rsidR="002E4CCE" w:rsidRPr="00F56683">
        <w:rPr>
          <w:rFonts w:cstheme="minorHAnsi"/>
          <w:color w:val="000000" w:themeColor="text1"/>
        </w:rPr>
        <w:t>,</w:t>
      </w:r>
      <w:r w:rsidRPr="00F56683">
        <w:rPr>
          <w:rFonts w:cstheme="minorHAnsi"/>
          <w:color w:val="000000" w:themeColor="text1"/>
        </w:rPr>
        <w:t xml:space="preserve"> the participant</w:t>
      </w:r>
      <w:r w:rsidR="00F812A3" w:rsidRPr="00F56683">
        <w:rPr>
          <w:rFonts w:cstheme="minorHAnsi"/>
          <w:color w:val="000000" w:themeColor="text1"/>
        </w:rPr>
        <w:t>s</w:t>
      </w:r>
      <w:r w:rsidRPr="00F56683">
        <w:rPr>
          <w:rFonts w:cstheme="minorHAnsi"/>
          <w:color w:val="000000" w:themeColor="text1"/>
        </w:rPr>
        <w:t xml:space="preserve"> w</w:t>
      </w:r>
      <w:r w:rsidR="00F812A3" w:rsidRPr="00F56683">
        <w:rPr>
          <w:rFonts w:cstheme="minorHAnsi"/>
          <w:color w:val="000000" w:themeColor="text1"/>
        </w:rPr>
        <w:t>ere</w:t>
      </w:r>
      <w:r w:rsidR="002E4CCE" w:rsidRPr="00F56683">
        <w:rPr>
          <w:rFonts w:cstheme="minorHAnsi"/>
          <w:color w:val="000000" w:themeColor="text1"/>
        </w:rPr>
        <w:t xml:space="preserve"> </w:t>
      </w:r>
      <w:r w:rsidRPr="00F56683">
        <w:rPr>
          <w:rFonts w:cstheme="minorHAnsi"/>
          <w:color w:val="000000" w:themeColor="text1"/>
        </w:rPr>
        <w:t>instructed to carry out their usual care routine. Outcomes assessed included muscle mass, strength and physical performance readouts. It was found that sarcopenia prevalence increased in the control group (42.9%-52.4%) but remained the same in the exercise group. The exercise group also got significantly stronger, demonstrated by handgrip strength improvements (p=0.02). BMI and gait speed also decreased significantly in the exercise group, suggesting exercise positively impacted muscle mass and performance outcomes. Despite positive results being recorded in this trial, advocating the use of resistance exercise interventions for sarcopenia prevention, the adherence to exercise was very low, with only 28.4% of participant</w:t>
      </w:r>
      <w:r w:rsidR="002E4CCE" w:rsidRPr="00F56683">
        <w:rPr>
          <w:rFonts w:cstheme="minorHAnsi"/>
          <w:color w:val="000000" w:themeColor="text1"/>
        </w:rPr>
        <w:t>s</w:t>
      </w:r>
      <w:r w:rsidRPr="00F56683">
        <w:rPr>
          <w:rFonts w:cstheme="minorHAnsi"/>
          <w:color w:val="000000" w:themeColor="text1"/>
        </w:rPr>
        <w:t xml:space="preserve"> completing more than 75% of the protocol. This is an important consideration when assessing the practicality of prescribing exercise as an intervention strategy. </w:t>
      </w:r>
    </w:p>
    <w:p w14:paraId="38278DDB" w14:textId="77777777" w:rsidR="004F4AF8" w:rsidRPr="00F56683" w:rsidRDefault="004F4AF8" w:rsidP="00F42CB9">
      <w:pPr>
        <w:spacing w:line="360" w:lineRule="auto"/>
        <w:rPr>
          <w:rFonts w:cstheme="minorHAnsi"/>
          <w:b/>
          <w:bCs/>
          <w:color w:val="000000" w:themeColor="text1"/>
        </w:rPr>
      </w:pPr>
    </w:p>
    <w:p w14:paraId="6079E991" w14:textId="0E3A3ABF"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Liu and Latham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{"citationItems":[{"id":"ITEM-1","itemData":{"DOI":"10.1002/14651858.CD002759.pub2","ISSN":"1469493X","abstract":"Background: Muscle weakness in old age is associated with physical function decline. Progressive resistance strength training (PRT) exercises are designed to increase strength. Objectives: To assess the effects of PRT on older people and identify adverse events. Search strategy: We searched the Cochrane Bone, Joint and Muscle Trauma Group Specialized Register (to March 2007), the Cochrane Central Register of Controlled Trials (The Cochrane Library 2007, Issue 2), MEDLINE (1966 to May 01, 2008), EMBASE (1980 to February 06 2007), CINAHL (1982 to July 01 2007) and two other electronic databases. We also searched reference lists of articles, reviewed conference abstracts and contacted authors. Selection criteria: Randomised controlled trials reporting physical outcomes of PRT for older people were included. Data collection and analysis: Two review authors independently selected trials, assessed trial quality and extracted data. Data were pooled where appropriate. Main results: One hundred and twenty one trials with 6700 participants were included. In most trials, PRT was performed two to three times per week and at a high intensity. PRT resulted in a small but significant improvement in physical ability (33 trials, 2172 participants; SMD 0.14, 95% CI 0.05 to 0.22). Functional limitation measures also showed improvements: e.g. there was a modest improvement in gait speed (24 trials, 1179 participants, MD 0.08 m/s, 95% CI 0.04 to 0.12); and a moderate to large effect for getting out of a chair (11 trials, 384 participants, SMD -0.94, 95% CI -1.49 to -0.38). PRT had a large positive effect on muscle strength (73 trials, 3059 participants, SMD 0.84, 95% CI 0.67 to 1.00). Participants with osteoarthritis reported a reduction in pain following PRT(6 trials, 503 participants, SMD -0.30, 95% CI -0.48 to -0.13). There was no evidence from 10 other trials (587 participants) that PRT had an effect on bodily pain. Adverse events were poorly recorded but adverse events related to musculoskeletal complaints, such as joint pain and muscle soreness, were reported in many of the studies that prospectively defined and monitored these events. Serious adverse events were rare, and no serious events were reported to be directly related to the exercise programme. Authors' conclusions: This review provides evidence that PRT is an effective intervention for improving physical functioning in older people, including improving strength and the performance of some simple and complex …","author":[{"dropping-particle":"","family":"Liu","given":"Chiung Ju","non-dropping-particle":"","parse-names":false,"suffix":""},{"dropping-particle":"","family":"Latham","given":"Nancy K.","non-dropping-particle":"","parse-names":false,"suffix":""}],"container-title":"Cochrane Database of Systematic Reviews","id":"ITEM-1","issue":"3","issued":{"date-parts":[["2009"]]},"publisher":"John Wiley and Sons Ltd","title":"Progressive resistance strength training for improving physical function in older adults","type":"article"},"uris":["http://www.mendeley.com/documents/?uuid=e2240fdc-3a3f-341f-bb71-8e192e0451a1"]}],"mendeley":{"formattedCitation":"(127)","plainTextFormattedCitation":"(127)","previouslyFormattedCitation":"(127)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(127)</w:t>
      </w:r>
      <w:r w:rsidRPr="00F56683">
        <w:rPr>
          <w:rFonts w:cstheme="minorHAnsi"/>
          <w:color w:val="000000" w:themeColor="text1"/>
        </w:rPr>
        <w:fldChar w:fldCharType="end"/>
      </w:r>
      <w:r w:rsidRPr="00F56683">
        <w:rPr>
          <w:rFonts w:cstheme="minorHAnsi"/>
          <w:color w:val="000000" w:themeColor="text1"/>
        </w:rPr>
        <w:t xml:space="preserve"> conducted a review in 2009 which specifically focused on the impact of progressive resistance strength training for improving physical function in older adults. The inclusion criteria for papers in this review was that the average age of participants needed to be sixty years or older. The control conditions utilised across the studies varied, and were not always simply a ‘no exercise’ control, for example sometimes the impact of resistance training against another form of exercise was assessed. Overall, outcome measures were physical function at the level of impairment, functional limitation</w:t>
      </w:r>
      <w:r w:rsidR="00597D5F">
        <w:rPr>
          <w:rFonts w:cstheme="minorHAnsi"/>
          <w:color w:val="000000" w:themeColor="text1"/>
        </w:rPr>
        <w:t>s</w:t>
      </w:r>
      <w:r w:rsidRPr="00F56683">
        <w:rPr>
          <w:rFonts w:cstheme="minorHAnsi"/>
          <w:color w:val="000000" w:themeColor="text1"/>
        </w:rPr>
        <w:t xml:space="preserve"> and disability. Physical disability was assessed by self-reported measures of activities and physical domains of health-related quality of life. Measures of impairment included muscle </w:t>
      </w:r>
      <w:r w:rsidRPr="00F56683">
        <w:rPr>
          <w:rFonts w:cstheme="minorHAnsi"/>
          <w:color w:val="000000" w:themeColor="text1"/>
        </w:rPr>
        <w:lastRenderedPageBreak/>
        <w:t>strength and aerobic capacity and balance, gait speed, timed walk/up-and-go test and chair rise were used as readouts for functional limitations. Finally, adverse events were considered by looking at hospital admissions and death. For each measure, favourable results were recorded following progressive resistance training. Additionally, high</w:t>
      </w:r>
      <w:r w:rsidR="002E4CCE" w:rsidRPr="00F56683">
        <w:rPr>
          <w:rFonts w:cstheme="minorHAnsi"/>
          <w:color w:val="000000" w:themeColor="text1"/>
        </w:rPr>
        <w:t>-</w:t>
      </w:r>
      <w:r w:rsidRPr="00F56683">
        <w:rPr>
          <w:rFonts w:cstheme="minorHAnsi"/>
          <w:color w:val="000000" w:themeColor="text1"/>
        </w:rPr>
        <w:t xml:space="preserve">intensity exercise was found to have a larger effect than low to moderate training. This review supports the use of progressive resistance training interventions to prevent muscle losses associated with ageing and suggests this is likely to have a positive impact on sarcopenia development. </w:t>
      </w:r>
    </w:p>
    <w:p w14:paraId="400245CE" w14:textId="77777777" w:rsidR="004F4AF8" w:rsidRPr="00F56683" w:rsidRDefault="004F4AF8" w:rsidP="00F42CB9">
      <w:pPr>
        <w:spacing w:line="360" w:lineRule="auto"/>
        <w:rPr>
          <w:rFonts w:cstheme="minorHAnsi"/>
          <w:b/>
          <w:bCs/>
          <w:color w:val="000000" w:themeColor="text1"/>
        </w:rPr>
      </w:pPr>
    </w:p>
    <w:p w14:paraId="323CB96B" w14:textId="063BB4E3" w:rsidR="004F4AF8" w:rsidRPr="00F56683" w:rsidRDefault="004F4AF8" w:rsidP="00F42CB9">
      <w:pPr>
        <w:pStyle w:val="Heading3"/>
        <w:spacing w:line="360" w:lineRule="auto"/>
        <w:rPr>
          <w:rFonts w:asciiTheme="minorHAnsi" w:hAnsiTheme="minorHAnsi" w:cstheme="minorHAnsi"/>
          <w:color w:val="000000" w:themeColor="text1"/>
        </w:rPr>
      </w:pPr>
      <w:bookmarkStart w:id="58" w:name="_Toc135384253"/>
      <w:r w:rsidRPr="00F56683">
        <w:rPr>
          <w:rFonts w:asciiTheme="minorHAnsi" w:hAnsiTheme="minorHAnsi" w:cstheme="minorHAnsi"/>
          <w:color w:val="000000" w:themeColor="text1"/>
        </w:rPr>
        <w:t>1.4.4 Resistance exercise and anabolic resistance</w:t>
      </w:r>
      <w:bookmarkEnd w:id="58"/>
      <w:r w:rsidRPr="00F56683">
        <w:rPr>
          <w:rFonts w:asciiTheme="minorHAnsi" w:hAnsiTheme="minorHAnsi" w:cstheme="minorHAnsi"/>
          <w:color w:val="000000" w:themeColor="text1"/>
        </w:rPr>
        <w:t xml:space="preserve"> </w:t>
      </w:r>
    </w:p>
    <w:p w14:paraId="5EA1FF95" w14:textId="28B1C562"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Following resistance training interventions it has been observed that in older adults improvements in both muscle mass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{"citationItems":[{"id":"ITEM-1","itemData":{"DOI":"10.1093/GERONA/57.5.M326","ISSN":"1079-5006","PMID":"11983728","abstract":"Background. A decline in muscle mass and muscle strength characterizes normal aging. As clinical and animal studies show a relationship between higher cytokine levels and low muscle mass, the aim of this study was to investigate whether markers of inflammation are associated with muscle mass and strength in well-functioning elderly persons. Methods. We used baseline data (1997-1998) of the Health, Aging, and Body Composition (Health ABC) Study on 3075 black and white men and women aged 70-79 years. Midthigh muscle cross-sectional area (computed tomography), appendicular muscle mass (dual-energy x-ray absorptiometry), isokinetic knee extensor strength (KinCom), and isometric grip strength were measured. Plasma levels of interleukin-6 (IL-6) and tumor necrosis factor-α (TNF-α) were assessed by enzyme-linked immunosorbent assay (ELISA). Results. Higher cytokine levels were generally associated with lower muscle mass and lower muscle strength. The most consistent relationship across the gender and race groups was observed for IL-6 and grip strength: per SD increase in IL-6, grip strength was 1.1 to 2.4 kg lower (p &lt; .05) after adjustment for age, clinic site, health status, medications, physical activity, smoking, height, and body fat. An overall measure of elevated cytokine level was created by combining the levels of IL-6 and TNF-α. With the exception of white men, elderly persons having high levels of IL-6 (&gt; 1.80 pg/ml) as well as high levels of TNF-α (&gt;3.20 pg/ml) had a smaller muscle area, less appendicular muscle mass, a lower knee extensor strength, and a lower grip strength compared to those with low levels of both cytokines. Conclusions. Higher plasma concentrations of IL-6 and TNF-α are associated with lower muscle mass and lower muscle strength in well-functioning older men and women. Higher cytokine levels, as often observed in healthy older persons, may contribute to the loss of muscle mass and strength that accompanies aging.","author":[{"dropping-particle":"","family":"Visser","given":"Marjolein","non-dropping-particle":"","parse-names":false,"suffix":""},{"dropping-particle":"","family":"Pahor","given":"Marco","non-dropping-particle":"","parse-names":false,"suffix":""},{"dropping-particle":"","family":"Taaffe","given":"Dennis R.","non-dropping-particle":"","parse-names":false,"suffix":""},{"dropping-particle":"","family":"Goodpaster","given":"Bret H.","non-dropping-particle":"","parse-names":false,"suffix":""},{"dropping-particle":"","family":"Simonsick","given":"Eleanor M.","non-dropping-particle":"","parse-names":false,"suffix":""},{"dropping-particle":"","family":"Newman","given":"Anne B.","non-dropping-particle":"","parse-names":false,"suffix":""},{"dropping-particle":"","family":"Nevitt","given":"Michael","non-dropping-particle":"","parse-names":false,"suffix":""},{"dropping-particle":"","family":"Harris","given":"Tamara B.","non-dropping-particle":"","parse-names":false,"suffix":""}],"container-title":"The journals of gerontology. Series A, Biological sciences and medical sciences","id":"ITEM-1","issue":"5","issued":{"date-parts":[["2002"]]},"publisher":"J Gerontol A Biol Sci Med Sci","title":"Relationship of interleukin-6 and tumor necrosis factor-alpha with muscle mass and muscle strength in elderly men and women: the Health ABC Study","type":"article-journal","volume":"57"},"uris":["http://www.mendeley.com/documents/?uuid=fe204be5-208b-3d57-904f-30cd30fec7ac"]}],"mendeley":{"formattedCitation":"(128)","plainTextFormattedCitation":"(128)","previouslyFormattedCitation":"(128)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(128)</w:t>
      </w:r>
      <w:r w:rsidRPr="00F56683">
        <w:rPr>
          <w:rFonts w:cstheme="minorHAnsi"/>
          <w:color w:val="000000" w:themeColor="text1"/>
        </w:rPr>
        <w:fldChar w:fldCharType="end"/>
      </w:r>
      <w:r w:rsidRPr="00F56683">
        <w:rPr>
          <w:rFonts w:cstheme="minorHAnsi"/>
          <w:color w:val="000000" w:themeColor="text1"/>
        </w:rPr>
        <w:t xml:space="preserve"> and strength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{"citationItems":[{"id":"ITEM-1","itemData":{"DOI":"10.1152/JAPPLPHYSIOL.01474.2005","ISSN":"8750-7587","PMID":"16614355","abstract":"Resistance training (RT) has shown the most promise in reducing/reversing effects of sarcopenia, although the optimum regime specific for older adults remains unclear. We hypothesized myofiber hypertrophy resulting from frequent (3 days/wk, 16 wk) RT would be impaired in older (O; 60-75 yr; 12 women, 13 men), sarcopenic adults compared with young (Y; 20-35 yr; 11 women, 13 men) due to slowed repair/regeneration processes. Myofiber-type distribution and cross-sectional area (CSA) were determined at 0 and 16 wk. Transcript and protein levels of myogenic regulatory factors (MRFs) were assessed as markers of regeneration at 0 and 24 h postexercise, and after 16 wk. Only Y increased type I CSA 18% (P &lt; 0.001). O showed smaller type IIa (-16%) and type IIx (-24%) myofibers before training (P &lt; 0.05), with differences most notable in women. Both age groups increased type IIa (O, 16%; Y, 25%) and mean type II (O, 23%; Y, 32%) size (P &lt; 0.05). Growth was generally most favorable in young men. Percent change scores on fiber size revealed an age X gender interaction for type I fibers (P &lt; 0.05) as growth among Y (25%) exceeded that of O (4%) men. Myogenin and myogenic differentiation factor D (MyoD) mRNAs increased (P &lt; 0.05) in Y and O, whereas myogenic factor (myf)-5 mRNA increased in Y only (P &lt; 0.05). Myf-6 protein increased (P &lt; 0.05) in both Y and O. The results generally support our hypothesis as 3 days/wk training led to more robust hypertrophy in Y vs. O, particularly among men. However, this differential hypertrophy adaptation was not explained by age variation in MRF expression.","author":[{"dropping-particle":"","family":"Kosek","given":"David J.","non-dropping-particle":"","parse-names":false,"suffix":""},{"dropping-particle":"","family":"Kim","given":"Jeong Su","non-dropping-particle":"","parse-names":false,"suffix":""},{"dropping-particle":"","family":"Petrella","given":"John K.","non-dropping-particle":"","parse-names":false,"suffix":""},{"dropping-particle":"","family":"Cross","given":"James M.","non-dropping-particle":"","parse-names":false,"suffix":""},{"dropping-particle":"","family":"Bamman","given":"Marcas M.","non-dropping-particle":"","parse-names":false,"suffix":""}],"container-title":"Journal of applied physiology (Bethesda, Md. : 1985)","id":"ITEM-1","issue":"2","issued":{"date-parts":[["2006"]]},"page":"531-544","publisher":"J Appl Physiol (1985)","title":"Efficacy of 3 days/wk resistance training on myofiber hypertrophy and myogenic mechanisms in young vs. older adults","type":"article-journal","volume":"101"},"uris":["http://www.mendeley.com/documents/?uuid=e9dd04d5-3cd0-32af-8978-598d8e8cfb11"]},{"id":"ITEM-2","itemData":{"DOI":"10.1111/J.1748-1716.2010.02117.X","ISSN":"1748-1716","PMID":"20345416","abstract":"The assigned title for the Lindhard presentation was to examine the future of genes, physical activity and health. The current review is a summary of this presentation. Caution is expressed that technology is improving so rapidly that a future view is limited to a few years as opposed to the 100 years passing since Lindhard's achievements. The near futuristic opportunities and challenges for four major topic topics are reviewed here. Concerns are expressed over current usage of the terms 'control' group and 'non-responders' in exercise research. Our view is that 'control' needs to be differentiated between its usage for treatments of exercise to restore natural functions in individuals with less than healthy levels of physical activity and the inherited genome's expectation for physical activity levels to maintain normal function. For the second discussed topic, it is proposed that the term 'non-responders' should be replaced by the term 'low sensitivity' as there may be no such human who is a non-responder to every exercise adaptation. The third futuristic topic is exercise prescription as envisioned for individualized medicine. However, numerous limitations and challenges exist to truly optimal exercise medicine at the level of one individual. Finally, preventative physical activity medicine is discussed. Physical activity as a therapy now exists to prevent most of the chronic diseases. The future needs to understand the molecular basis for how the body becomes dysfunctional when its level of physical activity does not match the norm of physical activity that selected our inherited genome. © 2010 Scandinavian Physiological Society.","author":[{"dropping-particle":"","family":"Booth","given":"F. W.","non-dropping-particle":"","parse-names":false,"suffix":""},{"dropping-particle":"","family":"Laye","given":"M. J.","non-dropping-particle":"","parse-names":false,"suffix":""}],"container-title":"Acta physiologica (Oxford, England)","id":"ITEM-2","issue":"4","issued":{"date-parts":[["2010","8"]]},"page":"549-556","publisher":"Acta Physiol (Oxf)","title":"The future: genes, physical activity and health","type":"article-journal","volume":"199"},"uris":["http://www.mendeley.com/documents/?uuid=d0399a7d-b384-39f6-9ba1-db692a5f9bc6"]}],"mendeley":{"formattedCitation":"(129,130)","plainTextFormattedCitation":"(129,130)","previouslyFormattedCitation":"(129,130)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(129,130)</w:t>
      </w:r>
      <w:r w:rsidRPr="00F56683">
        <w:rPr>
          <w:rFonts w:cstheme="minorHAnsi"/>
          <w:color w:val="000000" w:themeColor="text1"/>
        </w:rPr>
        <w:fldChar w:fldCharType="end"/>
      </w:r>
      <w:r w:rsidRPr="00F56683">
        <w:rPr>
          <w:rFonts w:cstheme="minorHAnsi"/>
          <w:color w:val="000000" w:themeColor="text1"/>
        </w:rPr>
        <w:t xml:space="preserve"> respectively, are lessened in comparison to their younger counterparts. Comparisons looking at fractional synthesis rates of myofibrillar protein muscle (examined by determining the incorporation of [1,2-</w:t>
      </w:r>
      <w:r w:rsidRPr="00F56683">
        <w:rPr>
          <w:rFonts w:cstheme="minorHAnsi"/>
          <w:color w:val="000000" w:themeColor="text1"/>
          <w:vertAlign w:val="superscript"/>
        </w:rPr>
        <w:t>13</w:t>
      </w:r>
      <w:r w:rsidRPr="00F56683">
        <w:rPr>
          <w:rFonts w:cstheme="minorHAnsi"/>
          <w:color w:val="000000" w:themeColor="text1"/>
        </w:rPr>
        <w:t>C</w:t>
      </w:r>
      <w:r w:rsidRPr="00F56683">
        <w:rPr>
          <w:rFonts w:cstheme="minorHAnsi"/>
          <w:color w:val="000000" w:themeColor="text1"/>
          <w:vertAlign w:val="subscript"/>
        </w:rPr>
        <w:t>2</w:t>
      </w:r>
      <w:r w:rsidRPr="00F56683">
        <w:rPr>
          <w:rFonts w:cstheme="minorHAnsi"/>
          <w:color w:val="000000" w:themeColor="text1"/>
        </w:rPr>
        <w:t xml:space="preserve">] leucine), </w:t>
      </w:r>
      <w:r w:rsidR="00904AFD" w:rsidRPr="00F56683">
        <w:rPr>
          <w:rFonts w:cstheme="minorHAnsi"/>
          <w:color w:val="000000" w:themeColor="text1"/>
        </w:rPr>
        <w:t>from</w:t>
      </w:r>
      <w:r w:rsidRPr="00F56683">
        <w:rPr>
          <w:rFonts w:cstheme="minorHAnsi"/>
          <w:color w:val="000000" w:themeColor="text1"/>
        </w:rPr>
        <w:t xml:space="preserve"> biopsies </w:t>
      </w:r>
      <w:r w:rsidR="00904AFD" w:rsidRPr="00F56683">
        <w:rPr>
          <w:rFonts w:cstheme="minorHAnsi"/>
          <w:color w:val="000000" w:themeColor="text1"/>
        </w:rPr>
        <w:t xml:space="preserve">of </w:t>
      </w:r>
      <w:r w:rsidRPr="00F56683">
        <w:rPr>
          <w:rFonts w:cstheme="minorHAnsi"/>
          <w:color w:val="000000" w:themeColor="text1"/>
        </w:rPr>
        <w:t xml:space="preserve">vastus lateralis </w:t>
      </w:r>
      <w:r w:rsidR="00904AFD" w:rsidRPr="00F56683">
        <w:rPr>
          <w:rFonts w:cstheme="minorHAnsi"/>
          <w:color w:val="000000" w:themeColor="text1"/>
        </w:rPr>
        <w:t>tissue, showed</w:t>
      </w:r>
      <w:r w:rsidRPr="00F56683">
        <w:rPr>
          <w:rFonts w:cstheme="minorHAnsi"/>
          <w:color w:val="000000" w:themeColor="text1"/>
        </w:rPr>
        <w:t xml:space="preserve"> higher phosphorylation rates of  S6K1</w:t>
      </w:r>
      <w:r w:rsidRPr="00F56683">
        <w:rPr>
          <w:rFonts w:cstheme="minorHAnsi"/>
          <w:color w:val="000000" w:themeColor="text1"/>
          <w:vertAlign w:val="superscript"/>
        </w:rPr>
        <w:t>Thr389</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{"citationItems":[{"id":"ITEM-1","itemData":{"DOI":"10.1113/jphysiol.2008.164483","ISSN":"00223751","PMID":"19001042","abstract":"We investigated how myofibrillar protein synthesis (MPS) and muscle anabolic signalling were affected by resistance exercise at 20-90% of 1 repetition maximum (1 RM) in two groups (25 each) of post-absorptive, healthy, young (24 ± 6 years) and old (70 ± 5 years) men with identical body mass indices (24 ± 2 kg m-2). We hypothesized that, in response to exercise, anabolic signalling molecule phosphorylation and MPS would be modified in a dose-dependant fashion, but to a lesser extent in older men. Vastus lateralis muscle was sampled before, immediately after, and 1, 2 and 4 h post-exercise. MPS was measured by incorporation of [1,2-13C]leucine (gas chromatography-combustion-mass spectrometry using plasma [1,2-13 C]α-ketoisocaparoate as surrogate precursor); the phosphorylation of p70 ribosomal S6 kinase (p70s6K) and eukaryotic initiation factor 4E binding protein 1 (4EBP1) was measured using Western analysis with anti-phosphoantibodies. In each group, there was a sigmoidal dose-response relationship between MPS at 1-2 h post-exercise and exercise intensity, which was blunted (P &lt; 0.05) in the older men. At all intensities, MPS fell in both groups to near-basal values by 2-4 h post-exercise. The phosphorylation of p70s6K and 4EBP1 at 60-90% 1 RM was blunted in older men. At 1 h post-exercise at 60-90% 1 RM, p70s6K phosphorylation predicted the rate of MPS at 1-2 h post-exercise in the young but not in the old. The results suggest that in the post-absorptive state: (i) MPS is dose dependant on intensity rising to a plateau at 60-90% 1 RM; (ii) older men show anabolic resistance of signalling and MPS to resistance exercise. © 2009 The Authors. Journal compilation © 2009 The Physiological Society.","author":[{"dropping-particle":"","family":"Kumar","given":"Vinod","non-dropping-particle":"","parse-names":false,"suffix":""},{"dropping-particle":"","family":"Selby","given":"Anna","non-dropping-particle":"","parse-names":false,"suffix":""},{"dropping-particle":"","family":"Rankin","given":"Debbie","non-dropping-particle":"","parse-names":false,"suffix":""},{"dropping-particle":"","family":"Patel","given":"Rekha","non-dropping-particle":"","parse-names":false,"suffix":""},{"dropping-particle":"","family":"Atherton","given":"Philip","non-dropping-particle":"","parse-names":false,"suffix":""},{"dropping-particle":"","family":"Hildebrandt","given":"Wulf","non-dropping-particle":"","parse-names":false,"suffix":""},{"dropping-particle":"","family":"Williams","given":"John","non-dropping-particle":"","parse-names":false,"suffix":""},{"dropping-particle":"","family":"Smith","given":"Kenneth","non-dropping-particle":"","parse-names":false,"suffix":""},{"dropping-particle":"","family":"Seynnes","given":"Olivier","non-dropping-particle":"","parse-names":false,"suffix":""},{"dropping-particle":"","family":"Hiscock","given":"Natalie","non-dropping-particle":"","parse-names":false,"suffix":""},{"dropping-particle":"","family":"Rennie","given":"Michael J.","non-dropping-particle":"","parse-names":false,"suffix":""}],"container-title":"Journal of Physiology","id":"ITEM-1","issue":"1","issued":{"date-parts":[["2009"]]},"page":"211-217","title":"Age-related differences in the dose-response relationship of muscle protein synthesis to resistance exercise in young and old men","type":"article-journal","volume":"587"},"uris":["http://www.mendeley.com/documents/?uuid=68577c30-f089-3933-ba81-4d738111eb7e"]}],"mendeley":{"formattedCitation":"(131)","plainTextFormattedCitation":"(131)","previouslyFormattedCitation":"(131)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(131)</w:t>
      </w:r>
      <w:r w:rsidRPr="00F56683">
        <w:rPr>
          <w:rFonts w:cstheme="minorHAnsi"/>
          <w:color w:val="000000" w:themeColor="text1"/>
        </w:rPr>
        <w:fldChar w:fldCharType="end"/>
      </w:r>
      <w:r w:rsidRPr="00F56683">
        <w:rPr>
          <w:rFonts w:cstheme="minorHAnsi"/>
          <w:color w:val="000000" w:themeColor="text1"/>
        </w:rPr>
        <w:t xml:space="preserve"> and 4EBP1</w:t>
      </w:r>
      <w:r w:rsidRPr="00F56683">
        <w:rPr>
          <w:rFonts w:cstheme="minorHAnsi"/>
          <w:color w:val="000000" w:themeColor="text1"/>
          <w:vertAlign w:val="superscript"/>
        </w:rPr>
        <w:t>Thr37/46</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{"citationItems":[{"id":"ITEM-1","itemData":{"DOI":"10.1186/2044-5040-1-11","ISSN":"2044-5040","PMID":"21798089","abstract":"Background: Sarcopenia, the loss of skeletal muscle mass during aging, increases the risk for falls and dependency. Resistance exercise (RE) training is an effective treatment to improve muscle mass and strength in older adults, but aging is associated with a smaller amount of training-induced hypertrophy. This may be due in part to an inability to stimulate muscle-protein synthesis (MPS) after an acute bout of RE. We hypothesized that older adults would have impaired mammalian target of rapamycin complex (mTORC)1 signaling and MPS response compared with young adults after acute RE.Methods: We measured intracellular signaling and MPS in 16 older (mean 70 ± 2 years) and 16 younger (27 ± 2 years) subjects. Muscle biopsies were sampled at baseline and at 3, 6 and 24 hr after exercise. Phosphorylation of regulatory signaling proteins and MPS were determined on successive muscle biopsies by immunoblotting and stable isotopic tracer techniques, respectively.Results: Increased phosphorylation was seen only in the younger group (P&lt; 0.05) for several key signaling proteins after exercise, including mammalian target of rapamycin (mTOR), ribosomal S6 kinase (S6K)1, eukaryotic initiation factor 4E-binding protein (4E-BP)1 and extracellular signal-regulated kinase (ERK)1/2, with no changes seen in the older group (P &gt;0.05). After exercise, MPS increased from baseline only in the younger group (P&lt; 0.05), with MPS being significantly greater than that in the older group (P &lt;0.05).Conclusions: We conclude that aging impairs contraction-induced human skeletal muscle mTORC1 signaling and protein synthesis. These age-related differences may contribute to the blunted hypertrophic response seen after resistance-exercise training in older adults, and highlight the mTORC1 pathway as a key therapeutic target to prevent sarcopenia. © 2011 Fry et al; licensee BioMed Central Ltd.","author":[{"dropping-particle":"","family":"Fry","given":"Christopher S.","non-dropping-particle":"","parse-names":false,"suffix":""},{"dropping-particle":"","family":"Drummond","given":"Micah J.","non-dropping-particle":"","parse-names":false,"suffix":""},{"dropping-particle":"","family":"Glynn","given":"Erin L.","non-dropping-particle":"","parse-names":false,"suffix":""},{"dropping-particle":"","family":"Dickinson","given":"Jared M.","non-dropping-particle":"","parse-names":false,"suffix":""},{"dropping-particle":"","family":"Gundermann","given":"David M.","non-dropping-particle":"","parse-names":false,"suffix":""},{"dropping-particle":"","family":"Timmerman","given":"Kyle L.","non-dropping-particle":"","parse-names":false,"suffix":""},{"dropping-particle":"","family":"Walker","given":"Dillon K.","non-dropping-particle":"","parse-names":false,"suffix":""},{"dropping-particle":"","family":"Dhanani","given":"Shaheen","non-dropping-particle":"","parse-names":false,"suffix":""},{"dropping-particle":"","family":"Volpi","given":"Elena","non-dropping-particle":"","parse-names":false,"suffix":""},{"dropping-particle":"","family":"Rasmussen","given":"Blake B.","non-dropping-particle":"","parse-names":false,"suffix":""}],"container-title":"Skeletal muscle","id":"ITEM-1","issue":"1","issued":{"date-parts":[["2011","3","2"]]},"publisher":"Skelet Muscle","title":"Aging impairs contraction-induced human skeletal muscle mTORC1 signaling and protein synthesis","type":"article-journal","volume":"1"},"uris":["http://www.mendeley.com/documents/?uuid=9b61e93d-fa18-37d3-9a81-897264b38997"]}],"mendeley":{"formattedCitation":"(132)","plainTextFormattedCitation":"(132)","previouslyFormattedCitation":"(132)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(132)</w:t>
      </w:r>
      <w:r w:rsidRPr="00F56683">
        <w:rPr>
          <w:rFonts w:cstheme="minorHAnsi"/>
          <w:color w:val="000000" w:themeColor="text1"/>
        </w:rPr>
        <w:fldChar w:fldCharType="end"/>
      </w:r>
      <w:r w:rsidRPr="00F56683">
        <w:rPr>
          <w:rFonts w:cstheme="minorHAnsi"/>
          <w:color w:val="000000" w:themeColor="text1"/>
        </w:rPr>
        <w:t>, in younger individuals in response to anabolic stimuli</w:t>
      </w:r>
      <w:r w:rsidR="00904AFD" w:rsidRPr="00F56683">
        <w:rPr>
          <w:rFonts w:cstheme="minorHAnsi"/>
          <w:color w:val="000000" w:themeColor="text1"/>
        </w:rPr>
        <w:t xml:space="preserve"> compared to older adults</w:t>
      </w:r>
      <w:r w:rsidRPr="00F56683">
        <w:rPr>
          <w:rFonts w:cstheme="minorHAnsi"/>
          <w:color w:val="000000" w:themeColor="text1"/>
        </w:rPr>
        <w:t xml:space="preserve">. </w:t>
      </w:r>
      <w:r w:rsidR="00904AFD" w:rsidRPr="00F56683">
        <w:rPr>
          <w:rFonts w:cstheme="minorHAnsi"/>
          <w:color w:val="000000" w:themeColor="text1"/>
        </w:rPr>
        <w:t>S</w:t>
      </w:r>
      <w:r w:rsidRPr="00F56683">
        <w:rPr>
          <w:rFonts w:cstheme="minorHAnsi"/>
          <w:color w:val="000000" w:themeColor="text1"/>
        </w:rPr>
        <w:t xml:space="preserve">ubjects exercised with their dominant legs at intensities randomly assigned from 20% to 90% of 1-RM. Those in the lower intensity groups may not have received a sufficient enough stimulus to induce MPS as studies have shown negligible MPS at intensities between 20-40%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{"citationItems":[{"id":"ITEM-1","itemData":{"DOI":"10.1113/JPHYSIOL.2011.225003","ISSN":"00223751","PMID":"22289911","abstract":"Muscle protein synthesis (MPS) is the driving force behind adaptive responses to exercise and represents a widely adopted proxy for gauging chronic efficacy of acute interventions, (i.e. exercise/nutrition). Recent findings in this arena have been progressive. Nutrient-driven increases in MPS are of finite duration (</w:instrText>
      </w:r>
      <w:r w:rsidR="00E86F8C">
        <w:rPr>
          <w:rFonts w:ascii="Cambria Math" w:hAnsi="Cambria Math" w:cs="Cambria Math"/>
          <w:color w:val="000000" w:themeColor="text1"/>
        </w:rPr>
        <w:instrText>∼</w:instrText>
      </w:r>
      <w:r w:rsidR="00E86F8C">
        <w:rPr>
          <w:rFonts w:cstheme="minorHAnsi"/>
          <w:color w:val="000000" w:themeColor="text1"/>
        </w:rPr>
        <w:instrText>1.5 h), switching off thereafter despite sustained amino acid availability and intramuscular anabolic signalling. Intriguingly, this 'muscle-full set-point' is delayed by resistance exercise (RE) (i.e. the feeding × exercise combination is 'more anabolic' than nutrition alone) even ≥24 h beyond a single exercise bout, casting doubt on the importance of nutrient timing vs. sufficiency per se. Studies manipulating exercise intensity/workload have shown that increases in MPS are negligible with RE at 20-40% but maximal at 70-90% of one-repetition maximum when workload is matched (according to load × repetition number). However, low-intensity exercise performed to failure equalises this response. Analysing distinct subcellular fractions (e.g. myofibrillar, sarcoplasmic, mitochondrial) may provide a readout of chronic exercise efficacy in addition to effect size in MPS per se, i.e. while 'mixed' MPS increases similarly with endurance and RE, increases in myofibrillar MPS are specific to RE, prophetic of adaptation (i.e. hypertrophy). Finally, the molecular regulation of MPS by exercise and its regulation via 'anabolic' hormones (e.g. IGF-1) has been questioned, leading to discovery of alternative mechanosensing-signalling to MPS. © 2012 The Authors. The Journal of Physiology © 2012 The Physiological Society.","author":[{"dropping-particle":"","family":"Atherton","given":"P. J.","non-dropping-particle":"","parse-names":false,"suffix":""},{"dropping-particle":"","family":"Smith","given":"K.","non-dropping-particle":"","parse-names":false,"suffix":""}],"container-title":"The Journal of Physiology","id":"ITEM-1","issue":"Pt 5","issued":{"date-parts":[["2012","3","3"]]},"page":"1049","publisher":"Wiley-Blackwell","title":"Muscle protein synthesis in response to nutrition and exercise","type":"article-journal","volume":"590"},"uris":["http://www.mendeley.com/documents/?uuid=32c0c90c-3af6-3894-9fea-ba1185500f52"]}],"mendeley":{"formattedCitation":"(133)","plainTextFormattedCitation":"(133)","previouslyFormattedCitation":"(133)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(133)</w:t>
      </w:r>
      <w:r w:rsidRPr="00F56683">
        <w:rPr>
          <w:rFonts w:cstheme="minorHAnsi"/>
          <w:color w:val="000000" w:themeColor="text1"/>
        </w:rPr>
        <w:fldChar w:fldCharType="end"/>
      </w:r>
      <w:r w:rsidRPr="00F56683">
        <w:rPr>
          <w:rFonts w:cstheme="minorHAnsi"/>
          <w:color w:val="000000" w:themeColor="text1"/>
        </w:rPr>
        <w:t xml:space="preserve">. The </w:t>
      </w:r>
      <w:r w:rsidR="008E4021" w:rsidRPr="00F56683">
        <w:rPr>
          <w:rFonts w:cstheme="minorHAnsi"/>
          <w:color w:val="000000" w:themeColor="text1"/>
        </w:rPr>
        <w:t>e</w:t>
      </w:r>
      <w:r w:rsidRPr="00F56683">
        <w:rPr>
          <w:rFonts w:cstheme="minorHAnsi"/>
          <w:color w:val="000000" w:themeColor="text1"/>
        </w:rPr>
        <w:t>xercise protocols utilised by Fry et al</w:t>
      </w:r>
      <w:r w:rsidR="008E4021"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{"citationItems":[{"id":"ITEM-1","itemData":{"DOI":"10.1186/2044-5040-1-11","ISSN":"2044-5040","PMID":"21798089","abstract":"Background: Sarcopenia, the loss of skeletal muscle mass during aging, increases the risk for falls and dependency. Resistance exercise (RE) training is an effective treatment to improve muscle mass and strength in older adults, but aging is associated with a smaller amount of training-induced hypertrophy. This may be due in part to an inability to stimulate muscle-protein synthesis (MPS) after an acute bout of RE. We hypothesized that older adults would have impaired mammalian target of rapamycin complex (mTORC)1 signaling and MPS response compared with young adults after acute RE.Methods: We measured intracellular signaling and MPS in 16 older (mean 70 ± 2 years) and 16 younger (27 ± 2 years) subjects. Muscle biopsies were sampled at baseline and at 3, 6 and 24 hr after exercise. Phosphorylation of regulatory signaling proteins and MPS were determined on successive muscle biopsies by immunoblotting and stable isotopic tracer techniques, respectively.Results: Increased phosphorylation was seen only in the younger group (P&lt; 0.05) for several key signaling proteins after exercise, including mammalian target of rapamycin (mTOR), ribosomal S6 kinase (S6K)1, eukaryotic initiation factor 4E-binding protein (4E-BP)1 and extracellular signal-regulated kinase (ERK)1/2, with no changes seen in the older group (P &gt;0.05). After exercise, MPS increased from baseline only in the younger group (P&lt; 0.05), with MPS being significantly greater than that in the older group (P &lt;0.05).Conclusions: We conclude that aging impairs contraction-induced human skeletal muscle mTORC1 signaling and protein synthesis. These age-related differences may contribute to the blunted hypertrophic response seen after resistance-exercise training in older adults, and highlight the mTORC1 pathway as a key therapeutic target to prevent sarcopenia. © 2011 Fry et al; licensee BioMed Central Ltd.","author":[{"dropping-particle":"","family":"Fry","given":"Christopher S.","non-dropping-particle":"","parse-names":false,"suffix":""},{"dropping-particle":"","family":"Drummond","given":"Micah J.","non-dropping-particle":"","parse-names":false,"suffix":""},{"dropping-particle":"","family":"Glynn","given":"Erin L.","non-dropping-particle":"","parse-names":false,"suffix":""},{"dropping-particle":"","family":"Dickinson","given":"Jared M.","non-dropping-particle":"","parse-names":false,"suffix":""},{"dropping-particle":"","family":"Gundermann","given":"David M.","non-dropping-particle":"","parse-names":false,"suffix":""},{"dropping-particle":"","family":"Timmerman","given":"Kyle L.","non-dropping-particle":"","parse-names":false,"suffix":""},{"dropping-particle":"","family":"Walker","given":"Dillon K.","non-dropping-particle":"","parse-names":false,"suffix":""},{"dropping-particle":"","family":"Dhanani","given":"Shaheen","non-dropping-particle":"","parse-names":false,"suffix":""},{"dropping-particle":"","family":"Volpi","given":"Elena","non-dropping-particle":"","parse-names":false,"suffix":""},{"dropping-particle":"","family":"Rasmussen","given":"Blake B.","non-dropping-particle":"","parse-names":false,"suffix":""}],"container-title":"Skeletal muscle","id":"ITEM-1","issue":"1","issued":{"date-parts":[["2011","3","2"]]},"publisher":"Skelet Muscle","title":"Aging impairs contraction-induced human skeletal muscle mTORC1 signaling and protein synthesis","type":"article-journal","volume":"1"},"uris":["http://www.mendeley.com/documents/?uuid=9b61e93d-fa18-37d3-9a81-897264b38997"]}],"mendeley":{"formattedCitation":"(132)","plainTextFormattedCitation":"(132)","previouslyFormattedCitation":"(132)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(132)</w:t>
      </w:r>
      <w:r w:rsidRPr="00F56683">
        <w:rPr>
          <w:rFonts w:cstheme="minorHAnsi"/>
          <w:color w:val="000000" w:themeColor="text1"/>
        </w:rPr>
        <w:fldChar w:fldCharType="end"/>
      </w:r>
      <w:r w:rsidRPr="00F56683">
        <w:rPr>
          <w:rFonts w:cstheme="minorHAnsi"/>
          <w:color w:val="000000" w:themeColor="text1"/>
        </w:rPr>
        <w:t xml:space="preserve"> w</w:t>
      </w:r>
      <w:r w:rsidR="002E4CCE" w:rsidRPr="00F56683">
        <w:rPr>
          <w:rFonts w:cstheme="minorHAnsi"/>
          <w:color w:val="000000" w:themeColor="text1"/>
        </w:rPr>
        <w:t>ere</w:t>
      </w:r>
      <w:r w:rsidRPr="00F56683">
        <w:rPr>
          <w:rFonts w:cstheme="minorHAnsi"/>
          <w:color w:val="000000" w:themeColor="text1"/>
        </w:rPr>
        <w:t xml:space="preserve"> eight sets of 10 repetitions at 70% 1RM with 3 minutes of rest between each set. This falls in line with guidelines suggested by the National Strength and Conditions Association for older adults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{"citationItems":[{"id":"ITEM-1","itemData":{"ISBN":"145,247,253,325,5","abstract":"Fragala, MS, Cadore, EL, Dorgo, S, Izquierdo, M, Kraemer, WJ, Peterson, MD, and Ryan, ED. Resistance training for older adults: position statement from the national strength and conditioning association. J Strength Cond Res XX(X): 000-000, 2019-Aging, even in the absence of chronic disease, is associated with a variety of biological changes that can contribute to decreases in skeletal muscle mass, strength, and function. Such losses decrease physiologic resilience and increase vulnerability to catastrophic events. As such, strategies for both prevention and treatment are necessary for the health and well-being of older adults. The purpose of this Position Statement is to provide an overview of the current and relevant literature and provide evidence-based recommendations for resistance training for older adults. As presented in this Position Statement, current research has demonstrated that countering muscle disuse through resistance training is a powerful intervention to combat the loss of muscle strength and muscle mass, physiological vulnerability, and their debilitating consequences on physical functioning, mobility, independence, chronic disease management, psychological well-being, quality of life, and healthy life expectancy. This Position Statement provides evidence to support recommendations for successful resistance training in older adults related to 4 parts: (a) program design variables, (b) physiological adaptations, (c) functional benefits, and (d) considerations for frailty, sarcopenia, and other chronic conditions. The goal of this Position Statement is to a) help foster a more unified and holistic approach to resistance training for older adults, b) promote the health and functional benefits of resistance training for older adults, and c) prevent or minimize fears and other barriers to implementation of resistance training programs for older adults. Summary Statements The purpose of this Position Statement is to provide an overview of the current and relevant literature, evaluate exercise program variables, and provide evidence-based recommendations for resistance training for older adults. Current research has demonstrated that countering muscle disuse through resistance training is a powerful intervention to combat muscle strength loss, muscle mass loss (sarcopenia), physiological vulnerability (frailty), and their debilitating consequences on physical functioning, mobility, independence, chronic disease management , psychological wel…","author":[{"dropping-particle":"","family":"Fragala","given":"Maren S","non-dropping-particle":"","parse-names":false,"suffix":""},{"dropping-particle":"","family":"Cadore","given":"Eduardo L","non-dropping-particle":"","parse-names":false,"suffix":""},{"dropping-particle":"","family":"Dorgo","given":"Sandor","non-dropping-particle":"","parse-names":false,"suffix":""},{"dropping-particle":"","family":"Izquierdo","given":"Mikel","non-dropping-particle":"","parse-names":false,"suffix":""},{"dropping-particle":"","family":"Kraemer","given":"William J","non-dropping-particle":"","parse-names":false,"suffix":""},{"dropping-particle":"","family":"Peterson","given":"Mark D","non-dropping-particle":"","parse-names":false,"suffix":""},{"dropping-particle":"","family":"Ryan","given":"Eric D","non-dropping-particle":"","parse-names":false,"suffix":""}],"id":"ITEM-1","issued":{"date-parts":[["2019"]]},"title":"Resistance Training for Older Adults: Position Statement From the National Strength and Conditioning Association","type":"article-journal"},"uris":["http://www.mendeley.com/documents/?uuid=eda51340-d3de-31c7-b7a6-135d16e6af88"]}],"mendeley":{"formattedCitation":"(134)","plainTextFormattedCitation":"(134)","previouslyFormattedCitation":"(134)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(134)</w:t>
      </w:r>
      <w:r w:rsidRPr="00F56683">
        <w:rPr>
          <w:rFonts w:cstheme="minorHAnsi"/>
          <w:color w:val="000000" w:themeColor="text1"/>
        </w:rPr>
        <w:fldChar w:fldCharType="end"/>
      </w:r>
      <w:r w:rsidRPr="00F56683">
        <w:rPr>
          <w:rFonts w:cstheme="minorHAnsi"/>
          <w:color w:val="000000" w:themeColor="text1"/>
        </w:rPr>
        <w:t xml:space="preserve">. </w:t>
      </w:r>
      <w:r w:rsidRPr="00F56683">
        <w:rPr>
          <w:rFonts w:cstheme="minorHAnsi"/>
          <w:color w:val="000000" w:themeColor="text1"/>
          <w:shd w:val="clear" w:color="auto" w:fill="FFFFFF"/>
        </w:rPr>
        <w:t>It would have been interesting to observe if protein feeding, post</w:t>
      </w:r>
      <w:r w:rsidR="002E4CCE"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exercise may have altered differences in FSR observed between the young and old due to the suggestions that RE can restore sensitivity to protein feeding in older adults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{"citationItems":[{"id":"ITEM-1","itemData":{"DOI":"10.3389/FNUT.2021.615849/BIBTEX","ISSN":"2296861X","abstract":"Anabolic resistance is defined by a blunted stimulation of muscle protein synthesis rates (MPS) to common anabolic stimuli in skeletal muscle tissue such as dietary protein and exercise. Generally, MPS is the target of most exercise and feeding interventions as muscle protein breakdown rates seem to be less responsive to these stimuli. Ultimately, the blunted responsiveness of MPS to dietary protein and exercise underpins the loss of the amount and quality of skeletal muscle mass leading to decrements in physical performance in these populations. The increase of both habitual physical activity (including structured exercise that targets general fitness characteristics) and protein dense food ingestion are frontline strategies utilized to support muscle mass, performance, and health. In this paper, we discuss anabolic resistance as a common denominator underpinning muscle mass loss with aging, obesity, and other disease states. Namely, we discuss the fact that anabolic resistance exists as a dimmer switch, capable of varying from higher to lower levels of resistance, to the main anabolic stimuli of feeding and exercise depending on the population. Moreover, we review the evidence on whether increased physical activity and targeted exercise can be leveraged to restore the sensitivity of skeletal muscle tissue to dietary amino acids regardless of the population.","author":[{"dropping-particle":"","family":"Paulussen","given":"Kevin J.M.","non-dropping-particle":"","parse-names":false,"suffix":""},{"dropping-particle":"","family":"McKenna","given":"Colleen F.","non-dropping-particle":"","parse-names":false,"suffix":""},{"dropping-particle":"","family":"Beals","given":"Joseph W.","non-dropping-particle":"","parse-names":false,"suffix":""},{"dropping-particle":"","family":"Wilund","given":"Kenneth R.","non-dropping-particle":"","parse-names":false,"suffix":""},{"dropping-particle":"","family":"Salvador","given":"Amadeo F.","non-dropping-particle":"","parse-names":false,"suffix":""},{"dropping-particle":"","family":"Burd","given":"Nicholas A.","non-dropping-particle":"","parse-names":false,"suffix":""}],"container-title":"Frontiers in Nutrition","id":"ITEM-1","issued":{"date-parts":[["2021","5","5"]]},"page":"115","publisher":"Frontiers Media S.A.","title":"Anabolic Resistance of Muscle Protein Turnover Comes in Various Shapes and Sizes","type":"article-journal","volume":"8"},"uris":["http://www.mendeley.com/documents/?uuid=7ea7acbd-ee6d-3bb9-ad42-d187a7284ef0"]}],"mendeley":{"formattedCitation":"(135)","plainTextFormattedCitation":"(135)","previouslyFormattedCitation":"(135)"},"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(135)</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 xml:space="preserve">. This may not have been possible to repeat, however, due to the invasive nature of biopsies, leading to a high participant burden. </w:t>
      </w:r>
    </w:p>
    <w:p w14:paraId="07D6DC70" w14:textId="77777777" w:rsidR="004F4AF8" w:rsidRPr="00F56683" w:rsidRDefault="004F4AF8" w:rsidP="00F42CB9">
      <w:pPr>
        <w:pStyle w:val="Heading3"/>
        <w:spacing w:line="360" w:lineRule="auto"/>
        <w:rPr>
          <w:rFonts w:asciiTheme="minorHAnsi" w:hAnsiTheme="minorHAnsi" w:cstheme="minorHAnsi"/>
          <w:color w:val="000000" w:themeColor="text1"/>
        </w:rPr>
      </w:pPr>
    </w:p>
    <w:p w14:paraId="58D357FA" w14:textId="1401EB7C"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59" w:name="_Toc135384254"/>
      <w:r w:rsidRPr="00F56683">
        <w:rPr>
          <w:rFonts w:asciiTheme="minorHAnsi" w:hAnsiTheme="minorHAnsi" w:cstheme="minorHAnsi"/>
          <w:b/>
          <w:bCs/>
          <w:color w:val="000000" w:themeColor="text1"/>
          <w:sz w:val="24"/>
          <w:szCs w:val="24"/>
        </w:rPr>
        <w:t>1.5 Protein and exercise in combination</w:t>
      </w:r>
      <w:bookmarkEnd w:id="59"/>
    </w:p>
    <w:p w14:paraId="3EE300DD" w14:textId="496517A8"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It has been demonstrated throughout this review that both resistance training and protein interventions are promotors of MPS. It is proposed that they </w:t>
      </w:r>
      <w:r w:rsidR="008E4021" w:rsidRPr="00F56683">
        <w:rPr>
          <w:rFonts w:cstheme="minorHAnsi"/>
          <w:color w:val="000000" w:themeColor="text1"/>
        </w:rPr>
        <w:t>can</w:t>
      </w:r>
      <w:r w:rsidRPr="00F56683">
        <w:rPr>
          <w:rFonts w:cstheme="minorHAnsi"/>
          <w:color w:val="000000" w:themeColor="text1"/>
        </w:rPr>
        <w:t xml:space="preserve"> work </w:t>
      </w:r>
      <w:r w:rsidRPr="00F56683">
        <w:rPr>
          <w:rFonts w:cstheme="minorHAnsi"/>
          <w:color w:val="000000" w:themeColor="text1"/>
        </w:rPr>
        <w:lastRenderedPageBreak/>
        <w:t>synergistically to enhance improvements related to muscle health. MPS can be promoted via MTORC-1-dependent and independent signalling pathways. These may integrate to further enhance and elevate MPS, especially following multiple anabolic stimuli.</w:t>
      </w:r>
    </w:p>
    <w:p w14:paraId="25A4FF78" w14:textId="77777777" w:rsidR="004F4AF8" w:rsidRPr="00F56683" w:rsidRDefault="004F4AF8" w:rsidP="00F42CB9">
      <w:pPr>
        <w:pStyle w:val="Heading3"/>
        <w:spacing w:line="360" w:lineRule="auto"/>
        <w:rPr>
          <w:rFonts w:asciiTheme="minorHAnsi" w:hAnsiTheme="minorHAnsi" w:cstheme="minorHAnsi"/>
          <w:color w:val="000000" w:themeColor="text1"/>
        </w:rPr>
      </w:pPr>
    </w:p>
    <w:p w14:paraId="45E9689F" w14:textId="0F43D63B" w:rsidR="004F4AF8" w:rsidRPr="00F56683" w:rsidRDefault="004F4AF8" w:rsidP="00F42CB9">
      <w:pPr>
        <w:pStyle w:val="Heading3"/>
        <w:spacing w:line="360" w:lineRule="auto"/>
        <w:rPr>
          <w:rFonts w:asciiTheme="minorHAnsi" w:hAnsiTheme="minorHAnsi" w:cstheme="minorHAnsi"/>
          <w:color w:val="000000" w:themeColor="text1"/>
        </w:rPr>
      </w:pPr>
      <w:bookmarkStart w:id="60" w:name="_Toc135384255"/>
      <w:r w:rsidRPr="00F56683">
        <w:rPr>
          <w:rFonts w:asciiTheme="minorHAnsi" w:hAnsiTheme="minorHAnsi" w:cstheme="minorHAnsi"/>
          <w:color w:val="000000" w:themeColor="text1"/>
        </w:rPr>
        <w:t>1.5.1 Protein and Exercise in combination interventions</w:t>
      </w:r>
      <w:bookmarkEnd w:id="60"/>
    </w:p>
    <w:p w14:paraId="265F8749" w14:textId="34A82CFE"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In 2017, Morton et al</w:t>
      </w:r>
      <w:r w:rsidR="008E4021"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{"citationItems":[{"id":"ITEM-1","itemData":{"DOI":"10.1136/bjsports-2017-097608","ISSN":"14730480","PMID":"28698222","abstract":"OBJECTIVE: We performed a systematic review, meta-analysis and meta-regression to determine if dietary protein supplementation augments resistance exercise training (RET)-induced gains in muscle mass and strength.\nDATA SOURCES: A systematic search of Medline, Embase, CINAHL and SportDiscus.\nELIGIBILITY CRITERIA: Only randomised controlled trials with RET ≥6 weeks in duration and dietary protein supplementation.\nDESIGN: Random-effects meta-analyses and meta-regressions with four a priori determined covariates. Two-phase break point analysis was used to determine the relationship between total protein intake and changes in fat-free mass (FFM).\nRESULTS: Data from 49 studies with 1863 participants showed that dietary protein supplementation significantly (all p&lt;0.05) increased changes (means (95% CI)) in: strength-one-repetition-maximum (2.49 kg (0.64, 4.33)), FFM (0.30 kg (0.09, 0.52)) and muscle size-muscle fibre cross-sectional area (CSA; 310 µm2 (51, 570)) and mid-femur CSA (7.2 mm2 (0.20, 14.30)) during periods of prolonged RET. The impact of protein supplementation on gains in FFM was reduced with increasing age (-0.01 kg (-0.02,-0.00), p=0.002) and was more effective in resistance-trained individuals (0.75 kg (0.09, 1.40), p=0.03). Protein supplementation beyond total protein intakes of 1.62 g/kg/day resulted in no further RET-induced gains in FFM.\nSUMMARY/CONCLUSION: Dietary protein supplementation significantly enhanced changes in muscle strength and size during prolonged RET in healthy adults. Increasing age reduces and training experience increases the efficacy of protein supplementation during RET. With protein supplementation, protein intakes at amounts greater than ~1.6 g/kg/day do not further contribute RET-induced gains in FFM.","author":[{"dropping-particle":"","family":"Morton","given":"Robert W.","non-dropping-particle":"","parse-names":false,"suffix":""},{"dropping-particle":"","family":"Murphy","given":"Kevin T.","non-dropping-particle":"","parse-names":false,"suffix":""},{"dropping-particle":"","family":"McKellar","given":"Sean R.","non-dropping-particle":"","parse-names":false,"suffix":""},{"dropping-particle":"","family":"Schoenfeld","given":"Brad J.","non-dropping-particle":"","parse-names":false,"suffix":""},{"dropping-particle":"","family":"Henselmans","given":"Menno","non-dropping-particle":"","parse-names":false,"suffix":""},{"dropping-particle":"","family":"Helms","given":"Eric","non-dropping-particle":"","parse-names":false,"suffix":""},{"dropping-particle":"","family":"Aragon","given":"Alan A.","non-dropping-particle":"","parse-names":false,"suffix":""},{"dropping-particle":"","family":"Devries","given":"Michaela C.","non-dropping-particle":"","parse-names":false,"suffix":""},{"dropping-particle":"","family":"Banfield","given":"Laura","non-dropping-particle":"","parse-names":false,"suffix":""},{"dropping-particle":"","family":"Krieger","given":"James W.","non-dropping-particle":"","parse-names":false,"suffix":""},{"dropping-particle":"","family":"Phillips","given":"Stuart M.","non-dropping-particle":"","parse-names":false,"suffix":""}],"container-title":"British journal of sports medicine","id":"ITEM-1","issue":"6","issued":{"date-parts":[["2018","3","1"]]},"page":"376-384","title":"A systematic review, meta-analysis and meta-regression of the effect of protein supplementation on resistance training-induced gains in muscle mass and strength in healthy adults","type":"article-journal","volume":"52"},"uris":["http://www.mendeley.com/documents/?uuid=f2062575-3be5-3252-9e3f-13dc9021efe9"]}],"mendeley":{"formattedCitation":"(136)","plainTextFormattedCitation":"(136)","previouslyFormattedCitation":"(136)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(136)</w:t>
      </w:r>
      <w:r w:rsidRPr="00F56683">
        <w:rPr>
          <w:rFonts w:cstheme="minorHAnsi"/>
          <w:color w:val="000000" w:themeColor="text1"/>
        </w:rPr>
        <w:fldChar w:fldCharType="end"/>
      </w:r>
      <w:r w:rsidRPr="00F56683">
        <w:rPr>
          <w:rFonts w:cstheme="minorHAnsi"/>
          <w:color w:val="000000" w:themeColor="text1"/>
        </w:rPr>
        <w:t xml:space="preserve"> evaluated the literature that investigated “protein supplementation on resistance training-induced gains in muscle mass and strength.” Any RCTs of at least six weeks in duration that combined resistance training and protein supplementation were considered, and a total of forty-nine papers were selected for inclusion. The meta-analysis demonstrated that protein supplementation alongside prolonged RET significant</w:t>
      </w:r>
      <w:r w:rsidR="00F35C3F" w:rsidRPr="00F56683">
        <w:rPr>
          <w:rFonts w:cstheme="minorHAnsi"/>
          <w:color w:val="000000" w:themeColor="text1"/>
        </w:rPr>
        <w:t>ly</w:t>
      </w:r>
      <w:r w:rsidRPr="00F56683">
        <w:rPr>
          <w:rFonts w:cstheme="minorHAnsi"/>
          <w:color w:val="000000" w:themeColor="text1"/>
        </w:rPr>
        <w:t xml:space="preserve"> improved 1RM strength (MD: 2.49kg (0.64, 4.33), p=0.01) and also improved fat (MD: -0.41kg (-0.70,-0.13), p=0.005) and fat</w:t>
      </w:r>
      <w:r w:rsidR="002E4CCE" w:rsidRPr="00F56683">
        <w:rPr>
          <w:rFonts w:cstheme="minorHAnsi"/>
          <w:color w:val="000000" w:themeColor="text1"/>
        </w:rPr>
        <w:t>-</w:t>
      </w:r>
      <w:r w:rsidRPr="00F56683">
        <w:rPr>
          <w:rFonts w:cstheme="minorHAnsi"/>
          <w:color w:val="000000" w:themeColor="text1"/>
        </w:rPr>
        <w:t>free mass (MD: 0.30kg (0.09, 0.52), p=0.007) and fibre cross</w:t>
      </w:r>
      <w:r w:rsidR="002E4CCE" w:rsidRPr="00F56683">
        <w:rPr>
          <w:rFonts w:cstheme="minorHAnsi"/>
          <w:color w:val="000000" w:themeColor="text1"/>
        </w:rPr>
        <w:t>-</w:t>
      </w:r>
      <w:r w:rsidRPr="00F56683">
        <w:rPr>
          <w:rFonts w:cstheme="minorHAnsi"/>
          <w:color w:val="000000" w:themeColor="text1"/>
        </w:rPr>
        <w:t>sectional area (MD: 310</w:t>
      </w:r>
      <w:r w:rsidRPr="00F56683">
        <w:rPr>
          <w:rFonts w:cstheme="minorHAnsi"/>
          <w:color w:val="000000" w:themeColor="text1"/>
        </w:rPr>
        <w:sym w:font="Symbol" w:char="F06D"/>
      </w:r>
      <w:r w:rsidRPr="00F56683">
        <w:rPr>
          <w:rFonts w:cstheme="minorHAnsi"/>
          <w:color w:val="000000" w:themeColor="text1"/>
        </w:rPr>
        <w:t>m</w:t>
      </w:r>
      <w:r w:rsidRPr="00F56683">
        <w:rPr>
          <w:rFonts w:cstheme="minorHAnsi"/>
          <w:color w:val="000000" w:themeColor="text1"/>
          <w:vertAlign w:val="superscript"/>
        </w:rPr>
        <w:t>2</w:t>
      </w:r>
      <w:r w:rsidRPr="00F56683">
        <w:rPr>
          <w:rFonts w:cstheme="minorHAnsi"/>
          <w:color w:val="000000" w:themeColor="text1"/>
        </w:rPr>
        <w:t xml:space="preserve"> (51, 570), p=0.02.) No effects were observed for maximal voluntary contraction or total body mass following</w:t>
      </w:r>
      <w:r w:rsidR="002E4CCE" w:rsidRPr="00F56683">
        <w:rPr>
          <w:rFonts w:cstheme="minorHAnsi"/>
          <w:color w:val="000000" w:themeColor="text1"/>
        </w:rPr>
        <w:t xml:space="preserve"> the</w:t>
      </w:r>
      <w:r w:rsidRPr="00F56683">
        <w:rPr>
          <w:rFonts w:cstheme="minorHAnsi"/>
          <w:color w:val="000000" w:themeColor="text1"/>
        </w:rPr>
        <w:t xml:space="preserve"> intervention, however. It should be noted that their population of interest were healthy adults with a mean age of 35 (</w:t>
      </w:r>
      <w:r w:rsidRPr="00F56683">
        <w:rPr>
          <w:rFonts w:cstheme="minorHAnsi"/>
          <w:color w:val="000000" w:themeColor="text1"/>
        </w:rPr>
        <w:sym w:font="Symbol" w:char="F0B1"/>
      </w:r>
      <w:r w:rsidRPr="00F56683">
        <w:rPr>
          <w:rFonts w:cstheme="minorHAnsi"/>
          <w:color w:val="000000" w:themeColor="text1"/>
        </w:rPr>
        <w:t xml:space="preserve"> 20 years) and this </w:t>
      </w:r>
      <w:r w:rsidR="008E4021" w:rsidRPr="00F56683">
        <w:rPr>
          <w:rFonts w:cstheme="minorHAnsi"/>
          <w:color w:val="000000" w:themeColor="text1"/>
        </w:rPr>
        <w:t>likely influenced their MPS responses</w:t>
      </w:r>
      <w:r w:rsidRPr="00F56683">
        <w:rPr>
          <w:rFonts w:cstheme="minorHAnsi"/>
          <w:color w:val="000000" w:themeColor="text1"/>
        </w:rPr>
        <w:t xml:space="preserve">. It was concluded that protein supplementation led to better improvements in muscle mass for young or resistance-trained individuals compared to older or untrained participants. </w:t>
      </w:r>
    </w:p>
    <w:p w14:paraId="39D5C819" w14:textId="643AA2E4" w:rsidR="004F4AF8" w:rsidRPr="00F56683" w:rsidRDefault="004F4AF8" w:rsidP="00F42CB9">
      <w:pPr>
        <w:spacing w:line="360" w:lineRule="auto"/>
        <w:rPr>
          <w:rFonts w:cstheme="minorHAnsi"/>
          <w:color w:val="000000" w:themeColor="text1"/>
        </w:rPr>
      </w:pPr>
      <w:r w:rsidRPr="00F56683">
        <w:rPr>
          <w:rFonts w:cstheme="minorHAnsi"/>
          <w:color w:val="000000" w:themeColor="text1"/>
        </w:rPr>
        <w:t>Furthermore, the importance of protein quality was outlined earlier for stimulating MPS. Morton et al</w:t>
      </w:r>
      <w:r w:rsidR="008E4021" w:rsidRPr="00F56683">
        <w:rPr>
          <w:rFonts w:cstheme="minorHAnsi"/>
          <w:color w:val="000000" w:themeColor="text1"/>
        </w:rPr>
        <w:t>.</w:t>
      </w:r>
      <w:r w:rsidRPr="00F56683">
        <w:rPr>
          <w:rFonts w:cstheme="minorHAnsi"/>
          <w:color w:val="000000" w:themeColor="text1"/>
        </w:rPr>
        <w:t>’s review demonstrated that the source of protein likely played a minor role in determining the impact protein supplementation has on muscle mass and strength improvements in response to RET.</w:t>
      </w:r>
    </w:p>
    <w:p w14:paraId="596A32FC" w14:textId="77777777" w:rsidR="004F4AF8" w:rsidRPr="00F56683" w:rsidRDefault="004F4AF8" w:rsidP="00F42CB9">
      <w:pPr>
        <w:spacing w:line="360" w:lineRule="auto"/>
        <w:rPr>
          <w:rFonts w:cstheme="minorHAnsi"/>
          <w:color w:val="000000" w:themeColor="text1"/>
        </w:rPr>
      </w:pPr>
    </w:p>
    <w:p w14:paraId="5A32C776" w14:textId="1045E0FD" w:rsidR="004F4AF8" w:rsidRPr="00F56683" w:rsidRDefault="004F4AF8" w:rsidP="00F42CB9">
      <w:pPr>
        <w:spacing w:line="360" w:lineRule="auto"/>
        <w:rPr>
          <w:rFonts w:cstheme="minorHAnsi"/>
          <w:color w:val="000000" w:themeColor="text1"/>
        </w:rPr>
      </w:pPr>
      <w:r w:rsidRPr="00F56683">
        <w:rPr>
          <w:rFonts w:cstheme="minorHAnsi"/>
          <w:color w:val="000000" w:themeColor="text1"/>
        </w:rPr>
        <w:t>Two additional systematic reviews looked into combination interventions. The first was carried out by Hou et al</w:t>
      </w:r>
      <w:r w:rsidR="008E4021"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{"citationItems":[{"id":"ITEM-1","itemData":{"DOI":"10.1007/s12603-019-1181-2","ISSN":"17604788","abstract":"Background: The loss of muscle mass, strength and function associated with increasing age has various health ramifications, including the elevated risk for falls, fractures, frailty, poor quality of life, and mortality. Several studies have confirmed the effects of protein supplementation and RT (resistance training) for this age-related change independently, but whether a combination of the two produces a stronger effect remains controversial. Objective: This study aims to explore whether a combination of protein supplementation and RT leads to reduction of muscle mass, strength and function in the elderly. Methods: We retrieved RCTs (randomized controlled trials) reporting the effects of protein supplementation combined with RT on muscle mass, strength and function in the elderly, published before May 2018 through PubMed, MEDLINE, Embase, and manual searches. Results: Twenty-one RCTs were included, involving 1,249 participants. The results showed that protein supplementation combine with RT significantly enhances the muscle mass and strength of the older adults, where FFM (fat-free mass) increased by 0.23 kg (95% CI: 0.09, 0.38; P=0.002), ASMM (appendicular skeletal muscle mass) by 0.39 kg (95% CI: 0.14, 0.64; P=0.002), handgrip strength by 0.29 kg (95% CI: 0.08, 0.50; P=0.008), knee extension strength by 0.27 kg (95% CI: 0.06, 0.47; P=0.013), leg press strength by 0.33 kg (95% CI: 0.01, 0.64; P=0.04), but no significant effects were seen on muscle function. Conclusion: Compared to simple RT, protein supplementation combine with RT is more effective in enhancing the muscle mass and strength in the elderly, and the findings do not support the benefit of combination treatment for muscle function.","author":[{"dropping-particle":"","family":"Hou","given":"L.","non-dropping-particle":"","parse-names":false,"suffix":""},{"dropping-particle":"","family":"Lei","given":"Y.","non-dropping-particle":"","parse-names":false,"suffix":""},{"dropping-particle":"","family":"Li","given":"X.","non-dropping-particle":"","parse-names":false,"suffix":""},{"dropping-particle":"","family":"Huo","given":"C.","non-dropping-particle":"","parse-names":false,"suffix":""},{"dropping-particle":"","family":"Jia","given":"X.","non-dropping-particle":"","parse-names":false,"suffix":""},{"dropping-particle":"","family":"Yang","given":"J.","non-dropping-particle":"","parse-names":false,"suffix":""},{"dropping-particle":"","family":"Xu","given":"R.","non-dropping-particle":"","parse-names":false,"suffix":""},{"dropping-particle":"","family":"Wang","given":"Xiao Ming","non-dropping-particle":"","parse-names":false,"suffix":""}],"container-title":"Journal of Nutrition, Health and Aging","id":"ITEM-1","issue":"5","issued":{"date-parts":[["2019","5","1"]]},"page":"451-458","publisher":"Springer-Verlag France","title":"Effect of Protein Supplementation Combined With Resistance Training on Muscle Mass, Strength and Function in the Elderly: A Systematic Review and Meta-Analysis","type":"article","volume":"23"},"uris":["http://www.mendeley.com/documents/?uuid=b586645b-fff4-3b24-8900-9eac52bf83be"]}],"mendeley":{"formattedCitation":"(137)","plainTextFormattedCitation":"(137)","previouslyFormattedCitation":"(137)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(137)</w:t>
      </w:r>
      <w:r w:rsidRPr="00F56683">
        <w:rPr>
          <w:rFonts w:cstheme="minorHAnsi"/>
          <w:color w:val="000000" w:themeColor="text1"/>
        </w:rPr>
        <w:fldChar w:fldCharType="end"/>
      </w:r>
      <w:r w:rsidRPr="00F56683">
        <w:rPr>
          <w:rFonts w:cstheme="minorHAnsi"/>
          <w:color w:val="000000" w:themeColor="text1"/>
        </w:rPr>
        <w:t xml:space="preserve"> who aimed to determine the “effect of protein supplementation combined with resistance training on muscle mass, strength and function in the elderly.” In total</w:t>
      </w:r>
      <w:r w:rsidR="00A26847" w:rsidRPr="00F56683">
        <w:rPr>
          <w:rFonts w:cstheme="minorHAnsi"/>
          <w:color w:val="000000" w:themeColor="text1"/>
        </w:rPr>
        <w:t>,</w:t>
      </w:r>
      <w:r w:rsidRPr="00F56683">
        <w:rPr>
          <w:rFonts w:cstheme="minorHAnsi"/>
          <w:color w:val="000000" w:themeColor="text1"/>
        </w:rPr>
        <w:t xml:space="preserve"> they included twenty-one papers in their analysis, with all participants receiving RET and 639 receiving protein or amino acids and 610 receiving either a placebo or nothing. Results of their analyses suggested that a combined intervention with both RET and the addition of protein supplementation led to improvements in muscle mass, as demonstrated by significant changes observed for FFM (SMD: 0.23kg (95% CI: 0.09, 0.38, </w:t>
      </w:r>
      <w:r w:rsidRPr="00F56683">
        <w:rPr>
          <w:rFonts w:cstheme="minorHAnsi"/>
          <w:color w:val="000000" w:themeColor="text1"/>
        </w:rPr>
        <w:lastRenderedPageBreak/>
        <w:t>p=0.002) and ASMM (SMD: 0.39kg (95% CI: 0.14, 0.64, p=0.003.) Muscle strength, was also improved following protein supplementation alongside an exercise intervention compared to RET alone. Handgrip, knee extension and leg press strength increased by 0.29kg (95% CI: 0.08, 0.50, p=0.008); 0.27kg (95% CI: 0.06, 0.47, p=0.013) and 0.33kg (95% CI: 0.01, 0.64, p=0.04)</w:t>
      </w:r>
      <w:r w:rsidR="008E4021" w:rsidRPr="00F56683">
        <w:rPr>
          <w:rFonts w:cstheme="minorHAnsi"/>
          <w:color w:val="000000" w:themeColor="text1"/>
        </w:rPr>
        <w:t>,</w:t>
      </w:r>
      <w:r w:rsidRPr="00F56683">
        <w:rPr>
          <w:rFonts w:cstheme="minorHAnsi"/>
          <w:color w:val="000000" w:themeColor="text1"/>
        </w:rPr>
        <w:t xml:space="preserve"> respectively. These finding</w:t>
      </w:r>
      <w:r w:rsidR="00F35C3F" w:rsidRPr="00F56683">
        <w:rPr>
          <w:rFonts w:cstheme="minorHAnsi"/>
          <w:color w:val="000000" w:themeColor="text1"/>
        </w:rPr>
        <w:t>s</w:t>
      </w:r>
      <w:r w:rsidRPr="00F56683">
        <w:rPr>
          <w:rFonts w:cstheme="minorHAnsi"/>
          <w:color w:val="000000" w:themeColor="text1"/>
        </w:rPr>
        <w:t xml:space="preserve"> appear to support </w:t>
      </w:r>
      <w:r w:rsidR="007E4654" w:rsidRPr="00F56683">
        <w:rPr>
          <w:rFonts w:cstheme="minorHAnsi"/>
          <w:color w:val="000000" w:themeColor="text1"/>
        </w:rPr>
        <w:t>using</w:t>
      </w:r>
      <w:r w:rsidRPr="00F56683">
        <w:rPr>
          <w:rFonts w:cstheme="minorHAnsi"/>
          <w:color w:val="000000" w:themeColor="text1"/>
        </w:rPr>
        <w:t xml:space="preserve"> strategies that may work synergistically to optimise muscle health. Despite this, no significant differences were observed for measurements of muscle function, including gait speed (p=0.83), TUG (p=0.10), chair rise time (p=0.80) and SPPB (p=0.07), which could have implications when translating findings to sarcopenia outcomes. </w:t>
      </w:r>
    </w:p>
    <w:p w14:paraId="691AD281" w14:textId="77777777" w:rsidR="004F4AF8" w:rsidRPr="00F56683" w:rsidRDefault="004F4AF8" w:rsidP="00F42CB9">
      <w:pPr>
        <w:spacing w:line="360" w:lineRule="auto"/>
        <w:rPr>
          <w:rFonts w:cstheme="minorHAnsi"/>
          <w:color w:val="000000" w:themeColor="text1"/>
        </w:rPr>
      </w:pPr>
    </w:p>
    <w:p w14:paraId="450A9A7F" w14:textId="3B9B72DF"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Liao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{"citationItems":[{"id":"ITEM-1","itemData":{"DOI":"10.3390/nu11081713","ISSN":"20726643","abstract":"Aging and frailty are associated with a high risk of lean mass (LM) loss, which leads to physical disability and can be effectively alleviated by protein supplementation (PS) and muscle strengthening exercise (MSE). In this study, the associations between LM gain and PS + MSE efficacy (measured using physical outcomes) in elderly patients with a high risk of sarcopenia or frailty were identified. A comprehensive search of online databases was performed to identify randomized controlled trials (RCTs) reporting the efficacy of PS + MSE in elderly patients with sarcopenia or frailty. The included RCTs were analyzed using meta-analysis and risk of bias assessment. We finally included 19 RCTs in this meta-analysis with a median (range/total) Physiotherapy Evidence Database score of 7/10 (5–9/10). The PS + MSE group exhibited significant improvements in the whole-body LM (standard mean difference (SMD) = 0.66; p &lt; 0.00001), appendicular LM (SMD = 0.35; p &lt; 0.00001), leg strength (SMD = 0.65; p &lt; 0.00001), and walking capability (SMD = 0.33; p = 0.0006). Meta-regression analyses showed that changes in appendicular LM were significantly associated with the effect sizes of leg strength (β = 0.08; p = 0.003) and walking capability (β = 0.17; p = 0.04), respectively. Our findings suggest that LM gain after PS + MSE significantly contributes to the efficacy of the intervention in terms of muscle strength and physical mobility in elderly patients with a high risk of sarcopenia or frailty.","author":[{"dropping-particle":"De","family":"Liao","given":"Chun","non-dropping-particle":"","parse-names":false,"suffix":""},{"dropping-particle":"","family":"Chen","given":"Hung Chou","non-dropping-particle":"","parse-names":false,"suffix":""},{"dropping-particle":"","family":"Huang","given":"Shih Wei","non-dropping-particle":"","parse-names":false,"suffix":""},{"dropping-particle":"","family":"Liou","given":"Tsan Hon","non-dropping-particle":"","parse-names":false,"suffix":""}],"container-title":"Nutrients","id":"ITEM-1","issue":"8","issued":{"date-parts":[["2019"]]},"publisher":"MDPI AG","title":"The role of muscle mass gain following protein supplementation plus exercise therapy in older adults with sarcopenia and frailty risks: A systematic review and meta-regression analysis of randomized trials","type":"article","volume":"11"},"uris":["http://www.mendeley.com/documents/?uuid=82b083cb-a3e7-3333-b19f-221770e55065"]}],"mendeley":{"formattedCitation":"(138)","plainTextFormattedCitation":"(138)","previouslyFormattedCitation":"(138)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(138)</w:t>
      </w:r>
      <w:r w:rsidRPr="00F56683">
        <w:rPr>
          <w:rFonts w:cstheme="minorHAnsi"/>
          <w:color w:val="000000" w:themeColor="text1"/>
        </w:rPr>
        <w:fldChar w:fldCharType="end"/>
      </w:r>
      <w:r w:rsidRPr="00F56683">
        <w:rPr>
          <w:rFonts w:cstheme="minorHAnsi"/>
          <w:color w:val="000000" w:themeColor="text1"/>
        </w:rPr>
        <w:t xml:space="preserve"> and colleagues conducted the second published review in 2019 and were interested in the role of muscle mass gains following protein supplementation plus exercise therapy. Liao et al</w:t>
      </w:r>
      <w:r w:rsidR="008E4021" w:rsidRPr="00F56683">
        <w:rPr>
          <w:rFonts w:cstheme="minorHAnsi"/>
          <w:color w:val="000000" w:themeColor="text1"/>
        </w:rPr>
        <w:t>.</w:t>
      </w:r>
      <w:r w:rsidRPr="00F56683">
        <w:rPr>
          <w:rFonts w:cstheme="minorHAnsi"/>
          <w:color w:val="000000" w:themeColor="text1"/>
        </w:rPr>
        <w:t xml:space="preserve"> carried out a more population-specific analysis, compared to Hou, as the</w:t>
      </w:r>
      <w:r w:rsidR="008E4021" w:rsidRPr="00F56683">
        <w:rPr>
          <w:rFonts w:cstheme="minorHAnsi"/>
          <w:color w:val="000000" w:themeColor="text1"/>
        </w:rPr>
        <w:t>ir inclusion criteria</w:t>
      </w:r>
      <w:r w:rsidRPr="00F56683">
        <w:rPr>
          <w:rFonts w:cstheme="minorHAnsi"/>
          <w:color w:val="000000" w:themeColor="text1"/>
        </w:rPr>
        <w:t xml:space="preserve"> focused on elderly adults who were at high risk of sarcopenia or frailty and physically limited</w:t>
      </w:r>
      <w:r w:rsidR="008E4021" w:rsidRPr="00F56683">
        <w:rPr>
          <w:rFonts w:cstheme="minorHAnsi"/>
          <w:color w:val="000000" w:themeColor="text1"/>
        </w:rPr>
        <w:t>.</w:t>
      </w:r>
      <w:r w:rsidRPr="00F56683">
        <w:rPr>
          <w:rFonts w:cstheme="minorHAnsi"/>
          <w:color w:val="000000" w:themeColor="text1"/>
        </w:rPr>
        <w:t xml:space="preserve"> In total, they identified a final sample of nineteen RCTs with 738 participants receiving both a protein and exercise intervention. The control groups</w:t>
      </w:r>
      <w:r w:rsidR="00B212FE" w:rsidRPr="00F56683">
        <w:rPr>
          <w:rFonts w:cstheme="minorHAnsi"/>
          <w:color w:val="000000" w:themeColor="text1"/>
        </w:rPr>
        <w:t xml:space="preserve"> either</w:t>
      </w:r>
      <w:r w:rsidRPr="00F56683">
        <w:rPr>
          <w:rFonts w:cstheme="minorHAnsi"/>
          <w:color w:val="000000" w:themeColor="text1"/>
        </w:rPr>
        <w:t xml:space="preserve"> received a placebo and/or no intervention (n=385), protein supplementation alone (n=209) or an exercise intervention alone (n=556, with or without placebo.) The overall effectiveness of a combined intervention of muscle mass were positive, with significant responses observed for both lean body mass (SMD 0.66 (95% CI: 0.41-0.91, p&lt;0.00001)) and ALM (SMD 0.40 (95% CI: 0.15-0.66, p=0.002)), compared to a single or no intervention protocol. </w:t>
      </w:r>
      <w:r w:rsidR="00B212FE" w:rsidRPr="00F56683">
        <w:rPr>
          <w:rFonts w:cstheme="minorHAnsi"/>
          <w:color w:val="000000" w:themeColor="text1"/>
        </w:rPr>
        <w:t>M</w:t>
      </w:r>
      <w:r w:rsidRPr="00F56683">
        <w:rPr>
          <w:rFonts w:cstheme="minorHAnsi"/>
          <w:color w:val="000000" w:themeColor="text1"/>
        </w:rPr>
        <w:t xml:space="preserve">uscle strength improvements in both handgrip (SMD 0.44 (95% CI: 0.26-0.62, p&lt;0.00001)) and leg strength (SMD 0.66 (95% CI: 0.39-0.90, p&lt;0.00001)) were </w:t>
      </w:r>
      <w:r w:rsidR="00B212FE" w:rsidRPr="00F56683">
        <w:rPr>
          <w:rFonts w:cstheme="minorHAnsi"/>
          <w:color w:val="000000" w:themeColor="text1"/>
        </w:rPr>
        <w:t xml:space="preserve">also </w:t>
      </w:r>
      <w:r w:rsidRPr="00F56683">
        <w:rPr>
          <w:rFonts w:cstheme="minorHAnsi"/>
          <w:color w:val="000000" w:themeColor="text1"/>
        </w:rPr>
        <w:t>reported.</w:t>
      </w:r>
      <w:r w:rsidR="00B212FE" w:rsidRPr="00F56683">
        <w:rPr>
          <w:rFonts w:cstheme="minorHAnsi"/>
          <w:color w:val="000000" w:themeColor="text1"/>
        </w:rPr>
        <w:t xml:space="preserve"> S</w:t>
      </w:r>
      <w:r w:rsidRPr="00F56683">
        <w:rPr>
          <w:rFonts w:cstheme="minorHAnsi"/>
          <w:color w:val="000000" w:themeColor="text1"/>
        </w:rPr>
        <w:t xml:space="preserve">imilarly to Hou, </w:t>
      </w:r>
      <w:r w:rsidR="00B212FE" w:rsidRPr="00F56683">
        <w:rPr>
          <w:rFonts w:cstheme="minorHAnsi"/>
          <w:color w:val="000000" w:themeColor="text1"/>
        </w:rPr>
        <w:t xml:space="preserve">however, </w:t>
      </w:r>
      <w:r w:rsidRPr="00F56683">
        <w:rPr>
          <w:rFonts w:cstheme="minorHAnsi"/>
          <w:color w:val="000000" w:themeColor="text1"/>
        </w:rPr>
        <w:t xml:space="preserve">parameters relating to muscle function capacity showed less measurable differences between treatment and control groups. Physical mobility outcomes measured included walking capability, chair-rise, timed up and go, stair climb tests, SPPB and single leg stance did not demonstrate significant group effects, with significant differences observed </w:t>
      </w:r>
      <w:r w:rsidR="00F35C3F" w:rsidRPr="00F56683">
        <w:rPr>
          <w:rFonts w:cstheme="minorHAnsi"/>
          <w:color w:val="000000" w:themeColor="text1"/>
        </w:rPr>
        <w:t xml:space="preserve">only </w:t>
      </w:r>
      <w:r w:rsidRPr="00F56683">
        <w:rPr>
          <w:rFonts w:cstheme="minorHAnsi"/>
          <w:color w:val="000000" w:themeColor="text1"/>
        </w:rPr>
        <w:t>for walking capabilities (SMD 0.33 (95% CI: 0.14-0.52, p=0.0006)).</w:t>
      </w:r>
    </w:p>
    <w:p w14:paraId="42D5C8BD" w14:textId="77777777" w:rsidR="004F4AF8" w:rsidRPr="00F56683" w:rsidRDefault="004F4AF8" w:rsidP="00F42CB9">
      <w:pPr>
        <w:spacing w:line="360" w:lineRule="auto"/>
        <w:rPr>
          <w:rFonts w:cstheme="minorHAnsi"/>
          <w:b/>
          <w:bCs/>
          <w:color w:val="000000" w:themeColor="text1"/>
        </w:rPr>
      </w:pPr>
    </w:p>
    <w:p w14:paraId="1E82C2E5" w14:textId="067A706F" w:rsidR="004F4AF8" w:rsidRPr="00F56683" w:rsidRDefault="004F4AF8" w:rsidP="00F42CB9">
      <w:pPr>
        <w:pStyle w:val="Heading3"/>
        <w:spacing w:line="360" w:lineRule="auto"/>
        <w:rPr>
          <w:rFonts w:asciiTheme="minorHAnsi" w:hAnsiTheme="minorHAnsi" w:cstheme="minorHAnsi"/>
          <w:color w:val="000000" w:themeColor="text1"/>
        </w:rPr>
      </w:pPr>
      <w:bookmarkStart w:id="61" w:name="_Toc135384256"/>
      <w:r w:rsidRPr="00F56683">
        <w:rPr>
          <w:rFonts w:asciiTheme="minorHAnsi" w:hAnsiTheme="minorHAnsi" w:cstheme="minorHAnsi"/>
          <w:color w:val="000000" w:themeColor="text1"/>
        </w:rPr>
        <w:t>1.5.2 Combination of protein and exercise and the anabolic response</w:t>
      </w:r>
      <w:bookmarkEnd w:id="61"/>
    </w:p>
    <w:p w14:paraId="197B8291" w14:textId="67099EF4"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Understanding if we can harness protein and RT in combination, to overcome anabolic resistance may be </w:t>
      </w:r>
      <w:r w:rsidR="007E4654" w:rsidRPr="00F56683">
        <w:rPr>
          <w:rFonts w:cstheme="minorHAnsi"/>
          <w:color w:val="000000" w:themeColor="text1"/>
        </w:rPr>
        <w:t>beneficial</w:t>
      </w:r>
      <w:r w:rsidRPr="00F56683">
        <w:rPr>
          <w:rFonts w:cstheme="minorHAnsi"/>
          <w:color w:val="000000" w:themeColor="text1"/>
        </w:rPr>
        <w:t xml:space="preserve"> to mitigate negative impacts on muscle mass, strength </w:t>
      </w:r>
      <w:r w:rsidRPr="00F56683">
        <w:rPr>
          <w:rFonts w:cstheme="minorHAnsi"/>
          <w:color w:val="000000" w:themeColor="text1"/>
        </w:rPr>
        <w:lastRenderedPageBreak/>
        <w:t xml:space="preserve">and function displayed with ageing. Furthermore, undertaking exercise before ingesting protein may allow for greater utilisation of dietary-derived amino acids and lead to increased de novo protein synthesis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{"citationItems":[{"id":"ITEM-1","itemData":{"DOI":"10.3945/AJCN.2010.29649","ISSN":"1938-3207","PMID":"21084649","abstract":"Background: Sarcopenia seems to be attributed to a blunted muscle protein synthetic response to food intake and exercise. This blunted response could be the result of impaired protein digestion and absorption kinetics and lead to lower postprandial plasma amino acid availability. Objective: The objective was to compare in vivo dietary protein digestion and absorption kinetics and subsequent postprandial muscle protein synthesis rates at rest and after exercise between young and elderly men. Design: Young and elderly men consumed a 20-g bolus of intrinsically L-[1-13C]phenylalanine-labeled protein at rest or after exercise. Continuous infusions with L-[ring-2H 5]phenylalanine were applied, and blood and muscle samples were collected to assess in vivo protein digestion and absorption kinetics and subsequent postprandial muscle protein synthesis rates. Results: Exogenous phenylalanine appearance rates expressed over time did not differ between groups. No differences were observed in plasma phenylalanine availability between the young (51 ± 2%) and elderly (51 ± 1%) men or between the rest (52 ± 1%) and exercise (49 ± 1%) conditions. Muscle protein synthesis rates calculated from the oral tracer were 0.0620 ± 0.0065%/h and 0.0560 ± 0.0039%/h for the rest condition and 0.0719 ± 0.0057%/h and 0.0727 ± 0.0040%/h for the exercise condition in young and elderly men, respectively (age effect: P = 0.62; exercise effect: P &lt; 0.05; interaction of age and exercise: P = 0.52). Conclusions: Dietary protein digestion and absorption kinetics are not impaired after exercise or at an older age. Exercising before protein intake allows for a greater use of dietary protein-derived amino acids for de novo muscle protein synthesis in both young and elderly men. This trial was registered at clinicaltrials.gov as NCT00557388. © 2011 American Society for Nutrition.","author":[{"dropping-particle":"","family":"Pennings","given":"Bart","non-dropping-particle":"","parse-names":false,"suffix":""},{"dropping-particle":"","family":"Koopman","given":"René","non-dropping-particle":"","parse-names":false,"suffix":""},{"dropping-particle":"","family":"Beelen","given":"Milou","non-dropping-particle":"","parse-names":false,"suffix":""},{"dropping-particle":"","family":"Senden","given":"Joan M.G.","non-dropping-particle":"","parse-names":false,"suffix":""},{"dropping-particle":"","family":"Saris","given":"Wim H.M.","non-dropping-particle":"","parse-names":false,"suffix":""},{"dropping-particle":"","family":"Loon","given":"Luc J.C.","non-dropping-particle":"Van","parse-names":false,"suffix":""}],"container-title":"The American journal of clinical nutrition","id":"ITEM-1","issue":"2","issued":{"date-parts":[["2011","2","1"]]},"page":"322-331","publisher":"Am J Clin Nutr","title":"Exercising before protein intake allows for greater use of dietary protein-derived amino acids for de novo muscle protein synthesis in both young and elderly men","type":"article-journal","volume":"93"},"uris":["http://www.mendeley.com/documents/?uuid=2806e76c-9564-31c9-9490-7098be822af7"]},{"id":"ITEM-2","itemData":{"DOI":"10.1152/AJPCELL.00209.2019/ASSET/IMAGES/LARGE/ZH00111985520003.JPEG","ISSN":"15221563","PMID":"31461340","abstract":"Skeletal muscle mass, a strong predictor of longevity and health in humans, is determined by the balance of two cellular processes, muscle protein synthesis (MPS) and muscle protein breakdown. MPS seems to be particularly sensitive to changes in mechanical load and/or nutritional status; therefore, much research has focused on understanding the molecular mechanisms that underpin this cellular process. Furthermore, older individuals display an attenuated MPS response to anabolic stimuli, termed anabolic resistance, which has a negative impact on muscle mass and function, as well as quality of life. Therefore, an understanding of which, if any, molecular mechanisms contribute to anabolic resistance of MPS is of vital importance in formulation of therapeutic interventions for such populations. This review summarizes the current knowledge of the mechanisms that underpin MPS, which are broadly divided into mechanistic target of rapamycin complex 1 (mTORC1)-dependent, mTORC1-independent, and ribosomal biogenesis- related, and describes the evidence that shows how they are regulated by anabolic stimuli (exercise and/or nutrition) in healthy human skeletal muscle. This review also summarizes evidence regarding which of these mechanisms may be implicated in age-related skeletal muscle anabolic resistance and provides recommendations for future avenues of research that can expand our knowledge of this area.","author":[{"dropping-particle":"","family":"Hodson","given":"Nathan","non-dropping-particle":"","parse-names":false,"suffix":""},{"dropping-particle":"","family":"West","given":"Daniel W.D.","non-dropping-particle":"","parse-names":false,"suffix":""},{"dropping-particle":"","family":"Philp","given":"Andrew","non-dropping-particle":"","parse-names":false,"suffix":""},{"dropping-particle":"","family":"Burd","given":"Nicholas A.","non-dropping-particle":"","parse-names":false,"suffix":""},{"dropping-particle":"","family":"Moore","given":"Daniel R.","non-dropping-particle":"","parse-names":false,"suffix":""}],"container-title":"American Journal of Physiology - Cell Physiology","id":"ITEM-2","issue":"6","issued":{"date-parts":[["2019"]]},"page":"C1061-C1078","publisher":"American Physiological Society","title":"Molecular regulation of human skeletal muscle protein synthesis in response to exercise and nutrients: A compass for overcoming age-related anabolic resistance","type":"article-journal","volume":"317"},"uris":["http://www.mendeley.com/documents/?uuid=91a63aac-f8b3-3ba7-b301-a3888ea07fff"]}],"mendeley":{"formattedCitation":"(139,140)","plainTextFormattedCitation":"(139,140)","previouslyFormattedCitation":"(139,140)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(139,140)</w:t>
      </w:r>
      <w:r w:rsidRPr="00F56683">
        <w:rPr>
          <w:rFonts w:cstheme="minorHAnsi"/>
          <w:color w:val="000000" w:themeColor="text1"/>
        </w:rPr>
        <w:fldChar w:fldCharType="end"/>
      </w:r>
      <w:r w:rsidRPr="00F56683">
        <w:rPr>
          <w:rFonts w:cstheme="minorHAnsi"/>
          <w:color w:val="000000" w:themeColor="text1"/>
        </w:rPr>
        <w:t xml:space="preserve">. </w:t>
      </w:r>
    </w:p>
    <w:p w14:paraId="324CB112" w14:textId="77777777" w:rsidR="004F4AF8" w:rsidRPr="00F56683" w:rsidRDefault="004F4AF8" w:rsidP="00F42CB9">
      <w:pPr>
        <w:spacing w:line="360" w:lineRule="auto"/>
        <w:rPr>
          <w:rFonts w:cstheme="minorHAnsi"/>
          <w:color w:val="000000" w:themeColor="text1"/>
        </w:rPr>
      </w:pPr>
    </w:p>
    <w:p w14:paraId="4331C273" w14:textId="3467B024" w:rsidR="004F4AF8" w:rsidRPr="00F56683" w:rsidRDefault="004F4AF8" w:rsidP="00F42CB9">
      <w:pPr>
        <w:spacing w:line="360" w:lineRule="auto"/>
        <w:rPr>
          <w:rFonts w:cstheme="minorHAnsi"/>
          <w:color w:val="000000" w:themeColor="text1"/>
        </w:rPr>
      </w:pPr>
      <w:r w:rsidRPr="00F56683">
        <w:rPr>
          <w:rFonts w:cstheme="minorHAnsi"/>
          <w:color w:val="000000" w:themeColor="text1"/>
        </w:rPr>
        <w:t>When dose</w:t>
      </w:r>
      <w:r w:rsidR="007E4654" w:rsidRPr="00F56683">
        <w:rPr>
          <w:rFonts w:cstheme="minorHAnsi"/>
          <w:color w:val="000000" w:themeColor="text1"/>
        </w:rPr>
        <w:t xml:space="preserve"> </w:t>
      </w:r>
      <w:r w:rsidRPr="00F56683">
        <w:rPr>
          <w:rFonts w:cstheme="minorHAnsi"/>
          <w:color w:val="000000" w:themeColor="text1"/>
        </w:rPr>
        <w:t xml:space="preserve">responses to protein feeding following exercise was initially investigated, it was observed that even small amounts of protein (5 and 10g) were sufficient to increase MPS </w:t>
      </w:r>
      <w:r w:rsidRPr="00F56683">
        <w:rPr>
          <w:rFonts w:cstheme="minorHAnsi"/>
          <w:color w:val="000000" w:themeColor="text1"/>
        </w:rPr>
        <w:fldChar w:fldCharType="begin" w:fldLock="1"/>
      </w:r>
      <w:r w:rsidR="005B258E" w:rsidRPr="00F56683">
        <w:rPr>
          <w:rFonts w:cstheme="minorHAnsi"/>
          <w:color w:val="000000" w:themeColor="text1"/>
        </w:rPr>
        <w:instrText>ADDIN CSL_CITATION {"citationItems":[{"id":"ITEM-1","itemData":{"DOI":"10.1093/GERONA/GLU103","ISSN":"1758-535X","PMID":"25056502","abstract":"Background. Adequate protein ingestion-mediated stimulation of myofibrillar protein synthesis (MPS) is required to maintain skeletal muscle mass. It is currently unknown what per meal protein intake is required to maximally stimulate the response in older men and whether it differs from that of younger men. Methods. We retrospectively analyzed data from our laboratories that measured MPS in healthy older (~71 years) and younger (~22 years) men by primed constant infusion of l-ring-[13C6]phenylalanine after ingestion of varying amounts (0-40 g) of high-quality dietary protein as a single bolus and normalized to body mass and, where available, lean body mass (LBM). Results. There was no difference (p =. 53) in basal MPS rates between older (0.027±0.04%/h; means ± 95% CI) and young (0.028 ± 0.03%/h) men. Biphase linear regression and breakpoint analysis revealed the slope of first line segment was lower (p &lt;. 05) in older men and that MPS reached a plateau after ingestion of 0.40 ± 0.19 and 0.24 ± 0.06 g/kg body mass (p =. 055) and 0.60 ± 0.29 and 0.25 ± 0.13 g/kg lean body mass (p &lt;. 01) in older and younger men, respectively. Conclusions. This is the first report of the relative (to body weight) protein ingested dose response of MPS in younger and older men. Our data suggest that healthy older men are less sensitive to low protein intakes and require a greater relative protein intake, in a single meal, than young men to maximally stimulate postprandial rates of MPS. These results should be considered when developing nutritional solutions to maximize MPS for the maintenance or enhancement of muscle mass with advancing age.","author":[{"dropping-particle":"","family":"Moore","given":"Daniel R.","non-dropping-particle":"","parse-names":false,"suffix":""},{"dropping-particle":"","family":"Churchward-Venne","given":"Tyler A.","non-dropping-particle":"","parse-names":false,"suffix":""},{"dropping-particle":"","family":"Witard","given":"Oliver","non-dropping-particle":"","parse-names":false,"suffix":""},{"dropping-particle":"","family":"Breen","given":"Leigh","non-dropping-particle":"","parse-names":false,"suffix":""},{"dropping-particle":"","family":"Burd","given":"Nicholas A.","non-dropping-particle":"","parse-names":false,"suffix":""},{"dropping-particle":"","family":"Tipton","given":"Kevin D.","non-dropping-particle":"","parse-names":false,"suffix":""},{"dropping-particle":"","family":"Phillips","given":"Stuart M.","non-dropping-particle":"","parse-names":false,"suffix":""}],"container-title":"The journals of gerontology. Series A, Biological sciences and medical sciences","id":"ITEM-1","issue":"1","issued":{"date-parts":[["2015","1","1"]]},"page":"57-62","publisher":"J Gerontol A Biol Sci Med Sci","title":"Protein ingestion to stimulate myofibrillar protein synthesis requires greater relative protein intakes in healthy older versus younger men","type":"article-journal","volume":"70"},"uris":["http://www.mendeley.com/documents/?uuid=aac6d1e7-d8de-356a-a095-cef33585fbfa"]}],"mendeley":{"formattedCitation":"(51)","plainTextFormattedCitation":"(51)","previouslyFormattedCitation":"(51)"},"properties":{"noteIndex":0},"schema":"https://github.com/citation-style-language/schema/raw/master/csl-citation.json"}</w:instrText>
      </w:r>
      <w:r w:rsidRPr="00F56683">
        <w:rPr>
          <w:rFonts w:cstheme="minorHAnsi"/>
          <w:color w:val="000000" w:themeColor="text1"/>
        </w:rPr>
        <w:fldChar w:fldCharType="separate"/>
      </w:r>
      <w:r w:rsidR="00AD72F0" w:rsidRPr="00F56683">
        <w:rPr>
          <w:rFonts w:cstheme="minorHAnsi"/>
          <w:noProof/>
          <w:color w:val="000000" w:themeColor="text1"/>
        </w:rPr>
        <w:t>(51)</w:t>
      </w:r>
      <w:r w:rsidRPr="00F56683">
        <w:rPr>
          <w:rFonts w:cstheme="minorHAnsi"/>
          <w:color w:val="000000" w:themeColor="text1"/>
        </w:rPr>
        <w:fldChar w:fldCharType="end"/>
      </w:r>
      <w:r w:rsidRPr="00F56683">
        <w:rPr>
          <w:rFonts w:cstheme="minorHAnsi"/>
          <w:color w:val="000000" w:themeColor="text1"/>
        </w:rPr>
        <w:t xml:space="preserve">, highlighting that exercise can sensitise the muscle to anabolic stimuli.  Optimal MPS levels were observed after the consumption of approximately ~20g, whereby a plateau in MPS rates was observed following increases </w:t>
      </w:r>
      <w:r w:rsidR="007E4654" w:rsidRPr="00F56683">
        <w:rPr>
          <w:rFonts w:cstheme="minorHAnsi"/>
          <w:color w:val="000000" w:themeColor="text1"/>
        </w:rPr>
        <w:t>i</w:t>
      </w:r>
      <w:r w:rsidRPr="00F56683">
        <w:rPr>
          <w:rFonts w:cstheme="minorHAnsi"/>
          <w:color w:val="000000" w:themeColor="text1"/>
        </w:rPr>
        <w:t xml:space="preserve">n this dose. </w:t>
      </w:r>
    </w:p>
    <w:p w14:paraId="66FD977B" w14:textId="77777777" w:rsidR="004F4AF8" w:rsidRPr="00F56683" w:rsidRDefault="004F4AF8" w:rsidP="00F42CB9">
      <w:pPr>
        <w:spacing w:line="360" w:lineRule="auto"/>
        <w:rPr>
          <w:rFonts w:cstheme="minorHAnsi"/>
          <w:color w:val="000000" w:themeColor="text1"/>
        </w:rPr>
      </w:pPr>
    </w:p>
    <w:p w14:paraId="29A9447E" w14:textId="0EA8B93D"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Of interesting note, as </w:t>
      </w:r>
      <w:r w:rsidR="00B212FE" w:rsidRPr="00F56683">
        <w:rPr>
          <w:rFonts w:cstheme="minorHAnsi"/>
          <w:color w:val="000000" w:themeColor="text1"/>
        </w:rPr>
        <w:t xml:space="preserve">suggested </w:t>
      </w:r>
      <w:r w:rsidRPr="00F56683">
        <w:rPr>
          <w:rFonts w:cstheme="minorHAnsi"/>
          <w:color w:val="000000" w:themeColor="text1"/>
        </w:rPr>
        <w:t>by Witard et al</w:t>
      </w:r>
      <w:r w:rsidR="00B212FE"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{"citationItems":[{"id":"ITEM-1","itemData":{"DOI":"10.3945/AJCN.112.055517","ISSN":"1938-3207","PMID":"24257722","abstract":"Background: The intake of whey, compared with casein and soy protein intakes, stimulates a greater acute response of muscle protein synthesis (MPS) to protein ingestion in rested and exercised muscle. Objective: We characterized the dose-response relation of postabsorptive rates of myofibrillar MPS to increasing amounts of whey protein at rest and after exercise in resistance-trained, young men. Design: Volunteers (n = 48) consumed a standardized, high-protein (0.54 g/kg body mass) breakfast. Three hours later, a bout of unilateral exercise (8 × 10 leg presses and leg extensions; 80% onerepetition maximum) was performed. Volunteers ingested 0, 10, 20, or 40 g whey protein isolate immediately (~10 min) after exercise. Postabsorptive rates of myofibrillar MPS and whole-body rates of phenylalanine oxidation and urea production were measured over a 4-h postdrink period by continuous tracer infusion of labeled [13C6] phenylalanine and [ 15N2] urea. Results: Myofibrillar MPS (mean ± SD) increased (P &lt; 0.05) above 0 g whey protein (0.041 ± 0.015%/h) by 49% and 56% with the ingestion of 20 and 40 g whey protein, respectively, whereas no additional stimulation was observed with 10 g whey protein (P &gt; 0.05). Rates of phenylalanine oxidation and urea production increased with the ingestion of 40 g whey protein. Conclusions: A 20-g dose of whey protein is sufficient for the maximal stimulation of postabsorptive rates of myofibrillar MPS in rested and exercised muscle of ~80-kg resistance-trained, young men. A dose of whey protein &gt;20 g stimulates amino acid oxidation and ureagenesis. This trial was registered at http://www.isrctn.org/as ISRCTN92528122. © 2014 American Society for Nutrition.","author":[{"dropping-particle":"","family":"Witard","given":"Oliver C.","non-dropping-particle":"","parse-names":false,"suffix":""},{"dropping-particle":"","family":"Jackman","given":"Sarah R.","non-dropping-particle":"","parse-names":false,"suffix":""},{"dropping-particle":"","family":"Breen","given":"Leigh","non-dropping-particle":"","parse-names":false,"suffix":""},{"dropping-particle":"","family":"Smith","given":"Kenneth","non-dropping-particle":"","parse-names":false,"suffix":""},{"dropping-particle":"","family":"Selby","given":"Anna","non-dropping-particle":"","parse-names":false,"suffix":""},{"dropping-particle":"","family":"Tipton","given":"Kevin D.","non-dropping-particle":"","parse-names":false,"suffix":""}],"container-title":"The American journal of clinical nutrition","id":"ITEM-1","issue":"1","issued":{"date-parts":[["2014","1","1"]]},"page":"86-95","publisher":"Am J Clin Nutr","title":"Myofibrillar muscle protein synthesis rates subsequent to a meal in response to increasing doses of whey protein at rest and after resistance exercise","type":"article-journal","volume":"99"},"uris":["http://www.mendeley.com/documents/?uuid=661ff2c4-7d8e-3178-b22c-99e7f890f2bb"]}],"mendeley":{"formattedCitation":"(141)","plainTextFormattedCitation":"(141)","previouslyFormattedCitation":"(141)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(141)</w:t>
      </w:r>
      <w:r w:rsidRPr="00F56683">
        <w:rPr>
          <w:rFonts w:cstheme="minorHAnsi"/>
          <w:color w:val="000000" w:themeColor="text1"/>
        </w:rPr>
        <w:fldChar w:fldCharType="end"/>
      </w:r>
      <w:r w:rsidRPr="00F56683">
        <w:rPr>
          <w:rFonts w:cstheme="minorHAnsi"/>
          <w:color w:val="000000" w:themeColor="text1"/>
        </w:rPr>
        <w:t>, is th</w:t>
      </w:r>
      <w:r w:rsidR="00B212FE" w:rsidRPr="00F56683">
        <w:rPr>
          <w:rFonts w:cstheme="minorHAnsi"/>
          <w:color w:val="000000" w:themeColor="text1"/>
        </w:rPr>
        <w:t>at</w:t>
      </w:r>
      <w:r w:rsidRPr="00F56683">
        <w:rPr>
          <w:rFonts w:cstheme="minorHAnsi"/>
          <w:color w:val="000000" w:themeColor="text1"/>
        </w:rPr>
        <w:t xml:space="preserve"> MPS remains elevated</w:t>
      </w:r>
      <w:r w:rsidR="00B212FE" w:rsidRPr="00F56683">
        <w:rPr>
          <w:rFonts w:cstheme="minorHAnsi"/>
          <w:color w:val="000000" w:themeColor="text1"/>
        </w:rPr>
        <w:t xml:space="preserve"> for a longer time period (24-48 hours)</w:t>
      </w:r>
      <w:r w:rsidRPr="00F56683">
        <w:rPr>
          <w:rFonts w:cstheme="minorHAnsi"/>
          <w:color w:val="000000" w:themeColor="text1"/>
        </w:rPr>
        <w:t xml:space="preserve"> </w:t>
      </w:r>
      <w:r w:rsidR="00F35C3F" w:rsidRPr="00F56683">
        <w:rPr>
          <w:rFonts w:cstheme="minorHAnsi"/>
          <w:color w:val="000000" w:themeColor="text1"/>
        </w:rPr>
        <w:t>following</w:t>
      </w:r>
      <w:r w:rsidRPr="00F56683">
        <w:rPr>
          <w:rFonts w:cstheme="minorHAnsi"/>
          <w:color w:val="000000" w:themeColor="text1"/>
        </w:rPr>
        <w:t xml:space="preserve"> protein consumption when prior resistance training has been performed. This </w:t>
      </w:r>
      <w:r w:rsidR="00B212FE" w:rsidRPr="00F56683">
        <w:rPr>
          <w:rFonts w:cstheme="minorHAnsi"/>
          <w:color w:val="000000" w:themeColor="text1"/>
        </w:rPr>
        <w:t xml:space="preserve">further </w:t>
      </w:r>
      <w:r w:rsidRPr="00F56683">
        <w:rPr>
          <w:rFonts w:cstheme="minorHAnsi"/>
          <w:color w:val="000000" w:themeColor="text1"/>
        </w:rPr>
        <w:t>emphasise</w:t>
      </w:r>
      <w:r w:rsidR="00B212FE" w:rsidRPr="00F56683">
        <w:rPr>
          <w:rFonts w:cstheme="minorHAnsi"/>
          <w:color w:val="000000" w:themeColor="text1"/>
        </w:rPr>
        <w:t>s</w:t>
      </w:r>
      <w:r w:rsidRPr="00F56683">
        <w:rPr>
          <w:rFonts w:cstheme="minorHAnsi"/>
          <w:color w:val="000000" w:themeColor="text1"/>
        </w:rPr>
        <w:t xml:space="preserve"> the importance of ensuring that protein </w:t>
      </w:r>
      <w:r w:rsidR="00B212FE" w:rsidRPr="00F56683">
        <w:rPr>
          <w:rFonts w:cstheme="minorHAnsi"/>
          <w:color w:val="000000" w:themeColor="text1"/>
        </w:rPr>
        <w:t xml:space="preserve">is </w:t>
      </w:r>
      <w:r w:rsidRPr="00F56683">
        <w:rPr>
          <w:rFonts w:cstheme="minorHAnsi"/>
          <w:color w:val="000000" w:themeColor="text1"/>
        </w:rPr>
        <w:t xml:space="preserve">equally distributed throughout the day. </w:t>
      </w:r>
      <w:r w:rsidR="00B212FE" w:rsidRPr="00F56683">
        <w:rPr>
          <w:rFonts w:cstheme="minorHAnsi"/>
          <w:color w:val="000000" w:themeColor="text1"/>
        </w:rPr>
        <w:t>F</w:t>
      </w:r>
      <w:r w:rsidRPr="00F56683">
        <w:rPr>
          <w:rFonts w:cstheme="minorHAnsi"/>
          <w:color w:val="000000" w:themeColor="text1"/>
        </w:rPr>
        <w:t>or example,</w:t>
      </w:r>
      <w:r w:rsidR="00B212FE" w:rsidRPr="00F56683">
        <w:rPr>
          <w:rFonts w:cstheme="minorHAnsi"/>
          <w:color w:val="000000" w:themeColor="text1"/>
        </w:rPr>
        <w:t xml:space="preserve"> if</w:t>
      </w:r>
      <w:r w:rsidRPr="00F56683">
        <w:rPr>
          <w:rFonts w:cstheme="minorHAnsi"/>
          <w:color w:val="000000" w:themeColor="text1"/>
        </w:rPr>
        <w:t xml:space="preserve"> exercise </w:t>
      </w:r>
      <w:r w:rsidR="00B212FE" w:rsidRPr="00F56683">
        <w:rPr>
          <w:rFonts w:cstheme="minorHAnsi"/>
          <w:color w:val="000000" w:themeColor="text1"/>
        </w:rPr>
        <w:t>is</w:t>
      </w:r>
      <w:r w:rsidRPr="00F56683">
        <w:rPr>
          <w:rFonts w:cstheme="minorHAnsi"/>
          <w:color w:val="000000" w:themeColor="text1"/>
        </w:rPr>
        <w:t xml:space="preserve"> performed in the evening, the</w:t>
      </w:r>
      <w:r w:rsidR="00B212FE" w:rsidRPr="00F56683">
        <w:rPr>
          <w:rFonts w:cstheme="minorHAnsi"/>
          <w:color w:val="000000" w:themeColor="text1"/>
        </w:rPr>
        <w:t>n</w:t>
      </w:r>
      <w:r w:rsidRPr="00F56683">
        <w:rPr>
          <w:rFonts w:cstheme="minorHAnsi"/>
          <w:color w:val="000000" w:themeColor="text1"/>
        </w:rPr>
        <w:t xml:space="preserve"> breakfast the next day would be an important opportunity to augment MPS rates </w:t>
      </w:r>
      <w:r w:rsidR="00B212FE" w:rsidRPr="00F56683">
        <w:rPr>
          <w:rFonts w:cstheme="minorHAnsi"/>
          <w:color w:val="000000" w:themeColor="text1"/>
        </w:rPr>
        <w:t>through</w:t>
      </w:r>
      <w:r w:rsidRPr="00F56683">
        <w:rPr>
          <w:rFonts w:cstheme="minorHAnsi"/>
          <w:color w:val="000000" w:themeColor="text1"/>
        </w:rPr>
        <w:t xml:space="preserve"> ensuring protein intakes </w:t>
      </w:r>
      <w:r w:rsidR="005B046A" w:rsidRPr="00F56683">
        <w:rPr>
          <w:rFonts w:cstheme="minorHAnsi"/>
          <w:color w:val="000000" w:themeColor="text1"/>
        </w:rPr>
        <w:t>are</w:t>
      </w:r>
      <w:r w:rsidRPr="00F56683">
        <w:rPr>
          <w:rFonts w:cstheme="minorHAnsi"/>
          <w:color w:val="000000" w:themeColor="text1"/>
        </w:rPr>
        <w:t xml:space="preserve"> sufficient (20g). </w:t>
      </w:r>
    </w:p>
    <w:p w14:paraId="5DB56472" w14:textId="77777777" w:rsidR="004F4AF8" w:rsidRPr="00F56683" w:rsidRDefault="004F4AF8" w:rsidP="00F42CB9">
      <w:pPr>
        <w:spacing w:line="360" w:lineRule="auto"/>
        <w:rPr>
          <w:rFonts w:cstheme="minorHAnsi"/>
          <w:color w:val="000000" w:themeColor="text1"/>
        </w:rPr>
      </w:pPr>
    </w:p>
    <w:p w14:paraId="12DB5EFB" w14:textId="32C2A14C"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If exercise sensitises the muscle to anabolic stimuli, then the amount of protein required to stimulate MPS consumed could be lower. Despite this rationale, although it has been demonstrated that older adults are also capable of mounting an enhanced MPS response after RE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{"citationItems":[{"id":"ITEM-1","itemData":{"DOI":"10.1152/AJPENDO.2001.280.2.E203","ISSN":"0193-1849","PMID":"11158921","abstract":"Experimental evidence indicates that a lower synthesis rate of muscle contractile protein myosin heavy chain (MHC) occurs in age-related muscle wasting and weakness. To determine the molecular mechanism of this lower synthesis of MHC, we measured transcript levels of isoforms of MHC (MHCI, MHCIIa, and MHCIIx) in muscle biopsy samples of 7 young (20-27 yr), 12 middle-aged (47-60 yr), and 14 older (&gt;65 yr) people. We further determined the effect of 3 mo of resistance exercise training (exercise) vs. nonintervention (control) on transcript levels of MHC isoforms on these subjects and the fractional synthesis rate (FSR) of MHC in 39 people aged 46-79 yr. MHCI mRNA levels did not significantly change with age, but MHCIIa decreased 38% (P &lt; 0.05) from young to middle age and further decreased 50% (P &lt; 0.05) from middle to old age. MHCIIx decreased 84% (P &lt; 0.05) from young to middle age and 48% from middle to old age (P &lt; 0.05). Exercise increased FSR of MHC by 47% (P &lt; 0.01) and mixed muscle protein by 56% (P &lt; 0.05). Exercise training results in an increase (85%) in transcript levels of MHCI and a decrease in the transcript levels of MHCIIa and MHCIIx. In conclusion, an age-related lowering of the transcript levels of MHCIIa and MHCIIx is not reversed by exercise, whereas exercise results in a higher synthesis rate of MHC in association with an increase in MHCI isoform transcript levels.","author":[{"dropping-particle":"","family":"Balagopal","given":"Prabhakaran","non-dropping-particle":"","parse-names":false,"suffix":""},{"dropping-particle":"","family":"Schimke","given":"Jill Coenen","non-dropping-particle":"","parse-names":false,"suffix":""},{"dropping-particle":"","family":"Ades","given":"Philip","non-dropping-particle":"","parse-names":false,"suffix":""},{"dropping-particle":"","family":"Adey","given":"Deborah","non-dropping-particle":"","parse-names":false,"suffix":""},{"dropping-particle":"","family":"Nair","given":"K. Sreekumaran","non-dropping-particle":"","parse-names":false,"suffix":""}],"container-title":"American journal of physiology. Endocrinology and metabolism","id":"ITEM-1","issue":"2","issued":{"date-parts":[["2001"]]},"publisher":"Am J Physiol Endocrinol Metab","title":"Age effect on transcript levels and synthesis rate of muscle MHC and response to resistance exercise","type":"article-journal","volume":"280"},"uris":["http://www.mendeley.com/documents/?uuid=225577a6-c513-3576-8784-74c7b2733150"]}],"mendeley":{"formattedCitation":"(142)","plainTextFormattedCitation":"(142)","previouslyFormattedCitation":"(142)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(142)</w:t>
      </w:r>
      <w:r w:rsidRPr="00F56683">
        <w:rPr>
          <w:rFonts w:cstheme="minorHAnsi"/>
          <w:color w:val="000000" w:themeColor="text1"/>
        </w:rPr>
        <w:fldChar w:fldCharType="end"/>
      </w:r>
      <w:r w:rsidRPr="00F56683">
        <w:rPr>
          <w:rFonts w:cstheme="minorHAnsi"/>
          <w:color w:val="000000" w:themeColor="text1"/>
        </w:rPr>
        <w:t xml:space="preserve">, this may be delayed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{"citationItems":[{"id":"ITEM-1","itemData":{"DOI":"10.1152/JAPPLPHYSIOL.00021.2008","ISSN":"8750-7587","PMID":"18323467","abstract":"Skeletal muscle loss during aging leads to an increased risk of falls, fractures, and eventually loss of independence. Resistance exercise is a useful intervention to prevent sarcopenia; however, the muscle protein synthesis (MPS) response to resistance exercise is less in elderly compared with young subjects. On the other hand, essential amino acids (EAA) increase MPS equally in both young and old subjects when sufficient EAA is ingested. We hypothesized that EAA ingestion following a bout of resistance exercise would stimulate anabolic signaling and MPS similarly between young and old men. Each subject ingested 20 g of EAA 1 h following leg resistance exercise. Muscle biopsies were obtained before and 1, 3, and 6 h after exercise to measure the rate of MPS and signaling pathways that regulate translation initiation. MPS increased early in young (1-3 h postexercise) and later in old (3-6 h postexercise). At 1 h postexercise, ERK1/2 MNK1 phosphorylation increased and eIF2α phosphorylation decreased only in the young. mTOR signaling (mTOR, S6K1, 4E-BP1, eEF2) was similar between groups at all time points, but MNK1 phosphorylation was lower at 3 h and AMP-activated protein kinase-α (AMPKα) phosphorylation was higher in old 1-3 h postexercise. We conclude that the acute MPS response after resistance exercise and EAA ingestion is similar between young and old men; however, the response is delayed with aging. Unresponsive ERK1/2 signaling and AMPK activation in old muscle may be playing a role in the delayed activation of MPS. Notwithstanding, the combination of resistance exercise and EAA ingestion should be a useful strategy to combat sarcopenia. Copyright © 2008 the American Physiological Society.","author":[{"dropping-particle":"","family":"Drummond","given":"Micah J.","non-dropping-particle":"","parse-names":false,"suffix":""},{"dropping-particle":"","family":"Dreyer","given":"Hans C.","non-dropping-particle":"","parse-names":false,"suffix":""},{"dropping-particle":"","family":"Pennings","given":"Bart","non-dropping-particle":"","parse-names":false,"suffix":""},{"dropping-particle":"","family":"Fry","given":"Christopher S.","non-dropping-particle":"","parse-names":false,"suffix":""},{"dropping-particle":"","family":"Dhanani","given":"Shaheen","non-dropping-particle":"","parse-names":false,"suffix":""},{"dropping-particle":"","family":"Dillon","given":"Edgar L.","non-dropping-particle":"","parse-names":false,"suffix":""},{"dropping-particle":"","family":"Sheffield-Moore","given":"Melinda","non-dropping-particle":"","parse-names":false,"suffix":""},{"dropping-particle":"","family":"Volpi","given":"Elena","non-dropping-particle":"","parse-names":false,"suffix":""},{"dropping-particle":"","family":"Rasmussen","given":"Blake B.","non-dropping-particle":"","parse-names":false,"suffix":""}],"container-title":"Journal of applied physiology (Bethesda, Md. : 1985)","id":"ITEM-1","issue":"5","issued":{"date-parts":[["2008","5"]]},"page":"1452-1461","publisher":"J Appl Physiol (1985)","title":"Skeletal muscle protein anabolic response to resistance exercise and essential amino acids is delayed with aging","type":"article-journal","volume":"104"},"uris":["http://www.mendeley.com/documents/?uuid=500f66dd-1a6a-3b8b-a209-4e5928d94519"]}],"mendeley":{"formattedCitation":"(143)","plainTextFormattedCitation":"(143)","previouslyFormattedCitation":"(143)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(143)</w:t>
      </w:r>
      <w:r w:rsidRPr="00F56683">
        <w:rPr>
          <w:rFonts w:cstheme="minorHAnsi"/>
          <w:color w:val="000000" w:themeColor="text1"/>
        </w:rPr>
        <w:fldChar w:fldCharType="end"/>
      </w:r>
      <w:r w:rsidRPr="00F56683">
        <w:rPr>
          <w:rFonts w:cstheme="minorHAnsi"/>
          <w:color w:val="000000" w:themeColor="text1"/>
        </w:rPr>
        <w:t xml:space="preserve"> or even still blunted slightly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{"citationItems":[{"id":"ITEM-1","itemData":{"DOI":"10.1046/J.1532-5415.2001.4911233.X","ISSN":"0002-8614","PMID":"11890579","abstract":"OBJECTIVES: To examine the possible influences of age and gender on muscle volume responses to strength training (ST). DESIGN: Prospective intervention study. SETTING: University of Maryland Exercise Science and Wellness Research Laboratories. PARTICIPANTS: Eight young men (age 20-30 years), six young women (age 20-30 years), nine older men (age 65-75 years), and ten older women (age 65-75 years). INTERVENTION: A 6-month whole-body ST program that exercised all major muscle groups of the upper and lower body 3 days/week. MEASUREMENTS: Thigh and quadriceps muscle volumes and mid-thigh muscle cross-sectional area (CSA) were assessed by magnetic resonance imaging before and after the ST program. RESULTS: Thigh and quadriceps muscle volume increased significantly in all age and gender groups as a result of ST (P &lt; .001), with no significant differences between the groups. Modest correlations were observed between both the change in quadriceps versus the change in total thigh muscle volume (r = 0.65; P &lt; .001) and the change in thigh muscle volume versus the change in mid-thigh CSA (r = 0.76, P &lt; .001). CONCLUSIONS: The results indicate that neither age nor gender affects muscle volume response to whole-body ST. Muscle volume, rather than muscle CSA, is recommended for studying muscle mass responses to ST.","author":[{"dropping-particle":"","family":"Roth","given":"Stephen M.","non-dropping-particle":"","parse-names":false,"suffix":""},{"dropping-particle":"","family":"Ivey","given":"Fred M.","non-dropping-particle":"","parse-names":false,"suffix":""},{"dropping-particle":"","family":"Martel","given":"Greg F.","non-dropping-particle":"","parse-names":false,"suffix":""},{"dropping-particle":"","family":"Lemmer","given":"Jeff T.","non-dropping-particle":"","parse-names":false,"suffix":""},{"dropping-particle":"","family":"Hurlbut","given":"Diane E.","non-dropping-particle":"","parse-names":false,"suffix":""},{"dropping-particle":"","family":"Siegel","given":"Eliot L.","non-dropping-particle":"","parse-names":false,"suffix":""},{"dropping-particle":"","family":"Jeffrey Metter","given":"E.","non-dropping-particle":"","parse-names":false,"suffix":""},{"dropping-particle":"","family":"Fleg","given":"Jerome L.","non-dropping-particle":"","parse-names":false,"suffix":""},{"dropping-particle":"","family":"Fozard","given":"James L.","non-dropping-particle":"","parse-names":false,"suffix":""},{"dropping-particle":"","family":"Kostek","given":"Matthew C.","non-dropping-particle":"","parse-names":false,"suffix":""},{"dropping-particle":"","family":"Wernick","given":"David M.","non-dropping-particle":"","parse-names":false,"suffix":""},{"dropping-particle":"","family":"Hurley","given":"Ben F.","non-dropping-particle":"","parse-names":false,"suffix":""}],"container-title":"Journal of the American Geriatrics Society","id":"ITEM-1","issue":"11","issued":{"date-parts":[["2001"]]},"page":"1428-1433","publisher":"J Am Geriatr Soc","title":"Muscle size responses to strength training in young and older men and women","type":"article-journal","volume":"49"},"uris":["http://www.mendeley.com/documents/?uuid=19c0120d-f718-363e-af05-308a3dfd62fc"]}],"mendeley":{"formattedCitation":"(144)","plainTextFormattedCitation":"(144)","previouslyFormattedCitation":"(144)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(144)</w:t>
      </w:r>
      <w:r w:rsidRPr="00F56683">
        <w:rPr>
          <w:rFonts w:cstheme="minorHAnsi"/>
          <w:color w:val="000000" w:themeColor="text1"/>
        </w:rPr>
        <w:fldChar w:fldCharType="end"/>
      </w:r>
      <w:r w:rsidRPr="00F56683">
        <w:rPr>
          <w:rFonts w:cstheme="minorHAnsi"/>
          <w:color w:val="000000" w:themeColor="text1"/>
        </w:rPr>
        <w:t xml:space="preserve"> in comparison to their younger counterparts. This suggests that the hindered sensitivity to protein is still present, even following exercise for older adults and that protein doses should not be compromised. With younger adults, MPS rates appear to plateau following 20g of protein. For older adults, this may not be the case and consuming 40g may have benefits over and above consuming 20g of protein, following RE </w:t>
      </w:r>
      <w:r w:rsidRPr="00F56683">
        <w:rPr>
          <w:rFonts w:cstheme="minorHAnsi"/>
          <w:color w:val="000000" w:themeColor="text1"/>
        </w:rPr>
        <w:fldChar w:fldCharType="begin" w:fldLock="1"/>
      </w:r>
      <w:r w:rsidR="005B258E" w:rsidRPr="00F56683">
        <w:rPr>
          <w:rFonts w:cstheme="minorHAnsi"/>
          <w:color w:val="000000" w:themeColor="text1"/>
        </w:rPr>
        <w:instrText>ADDIN CSL_CITATION {"citationItems":[{"id":"ITEM-1","itemData":{"DOI":"10.1017/S0007114511007422","ISSN":"1475-2662","PMID":"22313809","abstract":"Feeding stimulates robust increases in muscle protein synthesis (MPS); however, ageing may alter the anabolic response to protein ingestion and the subsequent aminoacidaemia. With this as background, we aimed to determine in the present study the dose-response of MPS with the ingestion of isolated whey protein, with and without prior resistance exercise, in the elderly. For the purpose of this study, thirty-seven elderly men (age 71 (sd 4) years) completed a bout of unilateral leg-based resistance exercise before ingesting 0, 10, 20 or 40g of whey protein isolate (W0-W40, respectively). Infusion of l-[1- 13C]leucine and l-[ring-13C6]phenylalanine with bilateral vastus lateralis muscle biopsies were used to ascertain whole-body leucine oxidation and 4h post-protein consumption of MPS in the fed-state of non-exercised and exercised leg muscles. It was determined that whole-body leucine oxidation increased in a stepwise, dose-dependent manner. MPS increased above basal, fasting values by approximately 65 and 90% for W20 and W40, respectively (P&lt;0.05), but not with lower doses of whey. While resistance exercise was generally effective at stimulating MPS, W20 and W40 ingestion post-exercise increased MPS above W0 and W10 exercised values (P&lt;0.05) and W40 was greater than W20 (P&lt;0.05). Based on the study, the following conclusions were drawn. At rest, the optimal whey protein dose for non-frail older adults to consume, to increase myofibrillar MPS above fasting rates, was 20g. Resistance exercise increases MPS in the elderly at all protein doses, but to a greater extent with 40g of whey ingestion. These data suggest that, in contrast to younger adults, in whom post-exercise rates of MPS are saturated with 20g of protein, exercised muscles of older adults respond to higher protein doses. © 2012 The Authors.","author":[{"dropping-particle":"","family":"Yang","given":"Yifan","non-dropping-particle":"","parse-names":false,"suffix":""},{"dropping-particle":"","family":"Breen","given":"Leigh","non-dropping-particle":"","parse-names":false,"suffix":""},{"dropping-particle":"","family":"Burd","given":"Nicholas A.","non-dropping-particle":"","parse-names":false,"suffix":""},{"dropping-particle":"","family":"Hector","given":"Amy J.","non-dropping-particle":"","parse-names":false,"suffix":""},{"dropping-particle":"","family":"Churchward-Venne","given":"Tyler A.","non-dropping-particle":"","parse-names":false,"suffix":""},{"dropping-particle":"","family":"Josse","given":"Andrea R.","non-dropping-particle":"","parse-names":false,"suffix":""},{"dropping-particle":"","family":"Tarnopolsky","given":"M. A.","non-dropping-particle":"","parse-names":false,"suffix":""},{"dropping-particle":"","family":"Phillips","given":"Stuart M.","non-dropping-particle":"","parse-names":false,"suffix":""}],"container-title":"The British journal of nutrition","id":"ITEM-1","issue":"10","issued":{"date-parts":[["2012","11","28"]]},"page":"1780-1788","publisher":"Br J Nutr","title":"Resistance exercise enhances myofibrillar protein synthesis with graded intakes of whey protein in older men","type":"article-journal","volume":"108"},"uris":["http://www.mendeley.com/documents/?uuid=16cef224-a5ba-34ed-a7bf-363fe1b64947"]}],"mendeley":{"formattedCitation":"(43)","plainTextFormattedCitation":"(43)","previouslyFormattedCitation":"(43)"},"properties":{"noteIndex":0},"schema":"https://github.com/citation-style-language/schema/raw/master/csl-citation.json"}</w:instrText>
      </w:r>
      <w:r w:rsidRPr="00F56683">
        <w:rPr>
          <w:rFonts w:cstheme="minorHAnsi"/>
          <w:color w:val="000000" w:themeColor="text1"/>
        </w:rPr>
        <w:fldChar w:fldCharType="separate"/>
      </w:r>
      <w:r w:rsidR="00AD72F0" w:rsidRPr="00F56683">
        <w:rPr>
          <w:rFonts w:cstheme="minorHAnsi"/>
          <w:noProof/>
          <w:color w:val="000000" w:themeColor="text1"/>
        </w:rPr>
        <w:t>(43)</w:t>
      </w:r>
      <w:r w:rsidRPr="00F56683">
        <w:rPr>
          <w:rFonts w:cstheme="minorHAnsi"/>
          <w:color w:val="000000" w:themeColor="text1"/>
        </w:rPr>
        <w:fldChar w:fldCharType="end"/>
      </w:r>
      <w:r w:rsidRPr="00F56683">
        <w:rPr>
          <w:rFonts w:cstheme="minorHAnsi"/>
          <w:color w:val="000000" w:themeColor="text1"/>
        </w:rPr>
        <w:t>. Despite these suggestions, Holwerda</w:t>
      </w:r>
      <w:r w:rsidR="00F35C3F" w:rsidRPr="00F56683">
        <w:rPr>
          <w:rFonts w:cstheme="minorHAnsi"/>
          <w:color w:val="000000" w:themeColor="text1"/>
        </w:rPr>
        <w:t xml:space="preserve"> et</w:t>
      </w:r>
      <w:r w:rsidRPr="00F56683">
        <w:rPr>
          <w:rFonts w:cstheme="minorHAnsi"/>
          <w:color w:val="000000" w:themeColor="text1"/>
        </w:rPr>
        <w:t xml:space="preserve"> al</w:t>
      </w:r>
      <w:r w:rsidR="00D30D52">
        <w:rPr>
          <w:rFonts w:cstheme="minorHAnsi"/>
          <w:color w:val="000000" w:themeColor="text1"/>
        </w:rPr>
        <w:t>.</w:t>
      </w:r>
      <w:r w:rsidRPr="00F56683">
        <w:rPr>
          <w:rFonts w:cstheme="minorHAnsi"/>
          <w:color w:val="000000" w:themeColor="text1"/>
        </w:rPr>
        <w:t xml:space="preserve"> showed that 45g of protein did not exceed post-exercise myofibrillary protein synthetic rates observed following 30g of protein in healthy, older</w:t>
      </w:r>
      <w:r w:rsidR="007E4654" w:rsidRPr="00F56683">
        <w:rPr>
          <w:rFonts w:cstheme="minorHAnsi"/>
          <w:color w:val="000000" w:themeColor="text1"/>
        </w:rPr>
        <w:t xml:space="preserve"> </w:t>
      </w:r>
      <w:r w:rsidRPr="00F56683">
        <w:rPr>
          <w:rFonts w:cstheme="minorHAnsi"/>
          <w:color w:val="000000" w:themeColor="text1"/>
        </w:rPr>
        <w:t xml:space="preserve">men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{"citationItems":[{"id":"ITEM-1","itemData":{"DOI":"10.1093/JN/NXY263","ISSN":"1541-6100","PMID":"30722014","abstract":"Age-related decline in skeletal muscle mass is at least partly attributed to anabolic resistance to food intake. Resistance exercise sensitizes skeletal muscle tissue to the anabolic properties of amino acids. Objective: The present study assessed protein digestion and amino acid absorption kinetics, whole-body protein balance, and the myofibrillar protein synthetic response to ingestion of different amounts of protein during recovery from resistance exercise in older men. Methods: Forty-eight healthy older men [mean SEM age: 66 1 y; body mass index (kg/m2): 25.4 0.3] were randomly assigned to ingest 0, 15, 30, or 45 gmilk protein concentrate after a single bout of resistance exercise consisting of 4 sets of 10 repetitions of leg press and leg extension and 2 sets of 10 repetitions of lateral pulldown and chest press performed at 75-80% 1-repetition maximum. Postprandial protein digestion and amino acid absorption kinetics, wholebody protein metabolism, and myofibrillar protein synthesis rates were assessed using primed, continuous infusions of L-[ring-2H5]-phenylalanine, L-[ring-2H2]-tyrosine, and L-[1-13C]-leucine combined with ingestion of intrinsically L-[1-13C]- phenylalanine and L-[1-13C]-leucine labeled protein. Results: Whole-body net protein balance showed a dose-dependent increase after ingestion of 0, 15, 30, or 45 g of protein (0.015 0.002, 0.108 0.004, 0.162 0.008, and 0.215 0.009 Umol Phe kg-1 min-1, respectively; P &lt; 0.001). Myofibrillar protein synthesis rates were higher after ingesting 30 (0.0951% 0.0062%/h, P = 0.07) or 45 g of protein (0.0970% 0.0062%/h, P &lt; 0.05) than after 0 g (0.0746% 0.0051%/h). Incorporation of dietary protein- derived amino acids (L-[1-13C]-phenylalanine) into de novo myofibrillar protein showed a dose-dependent increase after ingestion of 15, 30, or 45 g protein (0.0171 0.0017, 0.0296 0.0030, and 0.0397 0.0026 mole percentage excess, respectively; P &lt; 0.05). Conclusions: Dietary protein ingested during recovery from resistance exercise is rapidly digested and absorbed. Whole-body net protein balance and dietary protein-derived amino acid incorporation into myofibrillar protein show dosedependent increases. Ingestion of =30 g protein increases postexercisemyofibrillar protein synthesis rates in older men. This trial was registered at Nederlands Trial Register as NTR4492. J Nutr 2019;149:221-230.","author":[{"dropping-particle":"","family":"Holwerda","given":"Andrew M.","non-dropping-particle":"","parse-names":false,"suffix":""},{"dropping-particle":"","family":"Paulussen","given":"Kevin J.M.","non-dropping-particle":"","parse-names":false,"suffix":""},{"dropping-particle":"","family":"Overkamp","given":"Maarten","non-dropping-particle":"","parse-names":false,"suffix":""},{"dropping-particle":"","family":"Goessens","given":"Joy P.B.","non-dropping-particle":"","parse-names":false,"suffix":""},{"dropping-particle":"","family":"Kramer","given":"Irene Fleur","non-dropping-particle":"","parse-names":false,"suffix":""},{"dropping-particle":"","family":"Wodzig","given":"Will K.W.H.","non-dropping-particle":"","parse-names":false,"suffix":""},{"dropping-particle":"","family":"Verdijk","given":"Lex B.","non-dropping-particle":"","parse-names":false,"suffix":""},{"dropping-particle":"","family":"Loon","given":"Luc J.C.","non-dropping-particle":"Van","parse-names":false,"suffix":""}],"container-title":"The Journal of nutrition","id":"ITEM-1","issue":"2","issued":{"date-parts":[["2019","2","1"]]},"page":"221-230","publisher":"J Nutr","title":"Dose-Dependent Increases in Whole-Body Net Protein Balance and Dietary Protein-Derived Amino Acid Incorporation into Myofibrillar Protein During Recovery from Resistance Exercise in Older Men","type":"article-journal","volume":"149"},"uris":["http://www.mendeley.com/documents/?uuid=aeff41c1-8ee6-39b4-acad-a738a4b6338d"]}],"mendeley":{"formattedCitation":"(145)","plainTextFormattedCitation":"(145)","previouslyFormattedCitation":"(145)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(145)</w:t>
      </w:r>
      <w:r w:rsidRPr="00F56683">
        <w:rPr>
          <w:rFonts w:cstheme="minorHAnsi"/>
          <w:color w:val="000000" w:themeColor="text1"/>
        </w:rPr>
        <w:fldChar w:fldCharType="end"/>
      </w:r>
      <w:r w:rsidRPr="00F56683">
        <w:rPr>
          <w:rFonts w:cstheme="minorHAnsi"/>
          <w:color w:val="000000" w:themeColor="text1"/>
        </w:rPr>
        <w:t>.</w:t>
      </w:r>
    </w:p>
    <w:p w14:paraId="04D77670" w14:textId="77777777" w:rsidR="004F4AF8" w:rsidRPr="00F56683" w:rsidRDefault="004F4AF8" w:rsidP="00F42CB9">
      <w:pPr>
        <w:spacing w:line="360" w:lineRule="auto"/>
        <w:rPr>
          <w:rFonts w:cstheme="minorHAnsi"/>
          <w:color w:val="000000" w:themeColor="text1"/>
        </w:rPr>
      </w:pPr>
    </w:p>
    <w:p w14:paraId="58E76374" w14:textId="18F2A75A" w:rsidR="004F4AF8" w:rsidRPr="00F56683" w:rsidRDefault="004F4AF8" w:rsidP="00F42CB9">
      <w:pPr>
        <w:spacing w:line="360" w:lineRule="auto"/>
        <w:rPr>
          <w:rFonts w:cstheme="minorHAnsi"/>
          <w:b/>
          <w:bCs/>
          <w:color w:val="000000" w:themeColor="text1"/>
        </w:rPr>
      </w:pPr>
      <w:bookmarkStart w:id="62" w:name="_Toc122957625"/>
      <w:bookmarkStart w:id="63" w:name="_Toc122958273"/>
      <w:r w:rsidRPr="00F56683">
        <w:rPr>
          <w:rFonts w:cstheme="minorHAnsi"/>
          <w:color w:val="000000" w:themeColor="text1"/>
        </w:rPr>
        <w:t>Symonsi et al</w:t>
      </w:r>
      <w:r w:rsidR="007E4654"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{"citationItems":[{"id":"ITEM-1","itemData":{"DOI":"10.1007/S12603-010-0319-Z","ISSN":"1760-4788","PMID":"21528164","abstract":"Objectives: The synergistic effect of resistance exercise and protein ingestion on muscle protein anabolism in young adults has been well described. However, it is unclear if this relationship is maintained in older adults who are at greater risk of sarcopenic muscle loss. To this end, we sought to determine if the synergistic response to a bout of resistance exercise and a protein-rich lean beef meal was altered by age. Setting: The University of Texas Medical Branch, Clinical Research Center, Galveston, Texas. Participants: Healthy young (n=7, 29±3 y) and older (n=7, 67±2 y) adults. Design: Mixed muscle fractional synthesis rate (FSR) was calculated during a 3 h post-absorptive/rest period and again during a 5 h period following ingestion of a protein-rich meal (340 g lean beef) and bout of resistance exercise (6 sets of 8 repetitions of isotonic knee extension exercise at 80% one repetition maximum). Measurements: Venous blood samples and vastus lateralis muscle biopsy samples were obtained during a primed (2.0 μmol/kg) constant infusion (0.08 μmol•kg-1min1) of L- [ring-13C 6] phenylalanine. Results: Mixed muscle FSR increased by approximately 108% in both young [pre: 0.073+0.008; post: 0.156±0.021 (SE) %/h, p&lt;0.001] and older adults (pre: 0.075+0.004; post: 0.152+0.017 %/h, p=0.003) following the meal and resistance exercise bout. Conclusion: Aging does not diminish the increase in muscle protein synthesis following a high-quality protein rich meal and bout of resistance exercise. © 2011 Serdi and Springer Verlag France.","author":[{"dropping-particle":"","family":"Symonsi","given":"T. B.","non-dropping-particle":"","parse-names":false,"suffix":""},{"dropping-particle":"","family":"Sheffield-Moore","given":"M.","non-dropping-particle":"","parse-names":false,"suffix":""},{"dropping-particle":"","family":"Mamerow","given":"M. M.","non-dropping-particle":"","parse-names":false,"suffix":""},{"dropping-particle":"","family":"Wolfe","given":"R. R.","non-dropping-particle":"","parse-names":false,"suffix":""},{"dropping-particle":"","family":"Paddon-Jones","given":"Douglas","non-dropping-particle":"","parse-names":false,"suffix":""}],"container-title":"The journal of nutrition, health &amp; aging","id":"ITEM-1","issue":"5","issued":{"date-parts":[["2011"]]},"page":"376-381","publisher":"J Nutr Health Aging","title":"The anabolic response to resistance exercise and a protein-rich meal is not diminished by age","type":"article-journal","volume":"15"},"uris":["http://www.mendeley.com/documents/?uuid=f65f01e3-13b6-35cc-9d44-fe1bc761fc8d"]}],"mendeley":{"formattedCitation":"(146)","plainTextFormattedCitation":"(146)","previouslyFormattedCitation":"(146)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(146)</w:t>
      </w:r>
      <w:r w:rsidRPr="00F56683">
        <w:rPr>
          <w:rFonts w:cstheme="minorHAnsi"/>
          <w:color w:val="000000" w:themeColor="text1"/>
        </w:rPr>
        <w:fldChar w:fldCharType="end"/>
      </w:r>
      <w:r w:rsidRPr="00F56683">
        <w:rPr>
          <w:rFonts w:cstheme="minorHAnsi"/>
          <w:color w:val="000000" w:themeColor="text1"/>
        </w:rPr>
        <w:t xml:space="preserve"> refuted the notation that lower levels of MPS are observed in older adults compared to their younger counterpart</w:t>
      </w:r>
      <w:r w:rsidR="007E4654" w:rsidRPr="00F56683">
        <w:rPr>
          <w:rFonts w:cstheme="minorHAnsi"/>
          <w:color w:val="000000" w:themeColor="text1"/>
        </w:rPr>
        <w:t>s</w:t>
      </w:r>
      <w:r w:rsidRPr="00F56683">
        <w:rPr>
          <w:rFonts w:cstheme="minorHAnsi"/>
          <w:color w:val="000000" w:themeColor="text1"/>
        </w:rPr>
        <w:t xml:space="preserve"> and demonstrated that the anabolic response to resistance exercise and a protein-rich meal was not diminished by age.  In their </w:t>
      </w:r>
      <w:r w:rsidRPr="00F56683">
        <w:rPr>
          <w:rFonts w:cstheme="minorHAnsi"/>
          <w:color w:val="000000" w:themeColor="text1"/>
        </w:rPr>
        <w:lastRenderedPageBreak/>
        <w:t>trial, they took readings of mixed muscle fractional synthetic rates (FSR), obtained from muscle biopsies, 3 and 5 hours after 340g of lean beef and a bout of resistance exercise was undertaken (6 set</w:t>
      </w:r>
      <w:r w:rsidR="007E4654" w:rsidRPr="00F56683">
        <w:rPr>
          <w:rFonts w:cstheme="minorHAnsi"/>
          <w:color w:val="000000" w:themeColor="text1"/>
        </w:rPr>
        <w:t>s</w:t>
      </w:r>
      <w:r w:rsidRPr="00F56683">
        <w:rPr>
          <w:rFonts w:cstheme="minorHAnsi"/>
          <w:color w:val="000000" w:themeColor="text1"/>
        </w:rPr>
        <w:t xml:space="preserve"> of 8 repetitions of isotonic knee extension exercise at 80% 1RM). In the younger adults (aged 29±3 y</w:t>
      </w:r>
      <w:r w:rsidR="005B046A" w:rsidRPr="00F56683">
        <w:rPr>
          <w:rFonts w:cstheme="minorHAnsi"/>
          <w:color w:val="000000" w:themeColor="text1"/>
        </w:rPr>
        <w:t>ears</w:t>
      </w:r>
      <w:r w:rsidRPr="00F56683">
        <w:rPr>
          <w:rFonts w:cstheme="minorHAnsi"/>
          <w:color w:val="000000" w:themeColor="text1"/>
        </w:rPr>
        <w:t>) FSR rates were similar to those observed in the older adults aged group (67±2 y</w:t>
      </w:r>
      <w:r w:rsidR="005B046A" w:rsidRPr="00F56683">
        <w:rPr>
          <w:rFonts w:cstheme="minorHAnsi"/>
          <w:color w:val="000000" w:themeColor="text1"/>
        </w:rPr>
        <w:t>ears</w:t>
      </w:r>
      <w:r w:rsidRPr="00F56683">
        <w:rPr>
          <w:rFonts w:cstheme="minorHAnsi"/>
          <w:color w:val="000000" w:themeColor="text1"/>
        </w:rPr>
        <w:t>) (both approximately 108% above basal levels.)</w:t>
      </w:r>
      <w:bookmarkEnd w:id="62"/>
      <w:bookmarkEnd w:id="63"/>
      <w:r w:rsidR="00F35C3F" w:rsidRPr="00F56683">
        <w:rPr>
          <w:rFonts w:cstheme="minorHAnsi"/>
          <w:color w:val="000000" w:themeColor="text1"/>
        </w:rPr>
        <w:t xml:space="preserve"> The time window in which muscle biopsies were taken may </w:t>
      </w:r>
      <w:r w:rsidR="008A40AC" w:rsidRPr="00F56683">
        <w:rPr>
          <w:rFonts w:cstheme="minorHAnsi"/>
          <w:color w:val="000000" w:themeColor="text1"/>
        </w:rPr>
        <w:t>influence the FSR rates</w:t>
      </w:r>
      <w:r w:rsidR="00F35C3F" w:rsidRPr="00F56683">
        <w:rPr>
          <w:rFonts w:cstheme="minorHAnsi"/>
          <w:color w:val="000000" w:themeColor="text1"/>
        </w:rPr>
        <w:t>, due to</w:t>
      </w:r>
      <w:r w:rsidR="008A40AC" w:rsidRPr="00F56683">
        <w:rPr>
          <w:rFonts w:cstheme="minorHAnsi"/>
          <w:color w:val="000000" w:themeColor="text1"/>
        </w:rPr>
        <w:t xml:space="preserve"> the</w:t>
      </w:r>
      <w:r w:rsidR="00F35C3F" w:rsidRPr="00F56683">
        <w:rPr>
          <w:rFonts w:cstheme="minorHAnsi"/>
          <w:color w:val="000000" w:themeColor="text1"/>
        </w:rPr>
        <w:t xml:space="preserve"> delay</w:t>
      </w:r>
      <w:r w:rsidR="008A40AC" w:rsidRPr="00F56683">
        <w:rPr>
          <w:rFonts w:cstheme="minorHAnsi"/>
          <w:color w:val="000000" w:themeColor="text1"/>
        </w:rPr>
        <w:t>ed</w:t>
      </w:r>
      <w:r w:rsidR="00F35C3F" w:rsidRPr="00F56683">
        <w:rPr>
          <w:rFonts w:cstheme="minorHAnsi"/>
          <w:color w:val="000000" w:themeColor="text1"/>
        </w:rPr>
        <w:t xml:space="preserve"> sensitivity of older muscles to anabolic stimuli.</w:t>
      </w:r>
    </w:p>
    <w:p w14:paraId="3FDF3EE5" w14:textId="678FB31D" w:rsidR="004F4AF8" w:rsidRPr="00F56683" w:rsidRDefault="004F4AF8" w:rsidP="00F42CB9">
      <w:pPr>
        <w:spacing w:line="360" w:lineRule="auto"/>
        <w:rPr>
          <w:rFonts w:cstheme="minorHAnsi"/>
          <w:color w:val="000000" w:themeColor="text1"/>
        </w:rPr>
      </w:pPr>
      <w:r w:rsidRPr="00F56683">
        <w:rPr>
          <w:rFonts w:cstheme="minorHAnsi"/>
          <w:color w:val="000000" w:themeColor="text1"/>
        </w:rPr>
        <w:t>Overall, it can be stated that exercise and protein in combination can enhance anabolism, but there are still questions to be asked a</w:t>
      </w:r>
      <w:r w:rsidR="007E4654" w:rsidRPr="00F56683">
        <w:rPr>
          <w:rFonts w:cstheme="minorHAnsi"/>
          <w:color w:val="000000" w:themeColor="text1"/>
        </w:rPr>
        <w:t>bout</w:t>
      </w:r>
      <w:r w:rsidRPr="00F56683">
        <w:rPr>
          <w:rFonts w:cstheme="minorHAnsi"/>
          <w:color w:val="000000" w:themeColor="text1"/>
        </w:rPr>
        <w:t xml:space="preserve"> what influences factors such as age, chronic energy status, sex and baseline muscle mass levels may have on the level of anabolic responses.</w:t>
      </w:r>
    </w:p>
    <w:p w14:paraId="727CA44A" w14:textId="77777777" w:rsidR="004F4AF8" w:rsidRPr="00F56683" w:rsidRDefault="004F4AF8" w:rsidP="00F42CB9">
      <w:pPr>
        <w:autoSpaceDE w:val="0"/>
        <w:autoSpaceDN w:val="0"/>
        <w:adjustRightInd w:val="0"/>
        <w:spacing w:line="360" w:lineRule="auto"/>
        <w:rPr>
          <w:rFonts w:cstheme="minorHAnsi"/>
          <w:b/>
          <w:bCs/>
          <w:color w:val="000000" w:themeColor="text1"/>
        </w:rPr>
      </w:pPr>
    </w:p>
    <w:p w14:paraId="32B7A791" w14:textId="5A60F5B4"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64" w:name="_Toc135384257"/>
      <w:r w:rsidRPr="00F56683">
        <w:rPr>
          <w:rFonts w:asciiTheme="minorHAnsi" w:hAnsiTheme="minorHAnsi" w:cstheme="minorHAnsi"/>
          <w:b/>
          <w:bCs/>
          <w:color w:val="000000" w:themeColor="text1"/>
          <w:sz w:val="24"/>
          <w:szCs w:val="24"/>
        </w:rPr>
        <w:t>1.6 Considerations in designing protein and exercise intervention trials.</w:t>
      </w:r>
      <w:bookmarkEnd w:id="64"/>
    </w:p>
    <w:p w14:paraId="4AA422BE" w14:textId="41E50B3A" w:rsidR="004F4AF8" w:rsidRPr="00F56683" w:rsidRDefault="000938EF" w:rsidP="00F42CB9">
      <w:pPr>
        <w:spacing w:line="360" w:lineRule="auto"/>
        <w:ind w:firstLine="720"/>
        <w:rPr>
          <w:rFonts w:cstheme="minorHAnsi"/>
          <w:b/>
          <w:bCs/>
          <w:color w:val="000000" w:themeColor="text1"/>
        </w:rPr>
      </w:pPr>
      <w:r w:rsidRPr="00F56683">
        <w:rPr>
          <w:rFonts w:cstheme="minorHAnsi"/>
          <w:color w:val="000000" w:themeColor="text1"/>
        </w:rPr>
        <w:t>When</w:t>
      </w:r>
      <w:r w:rsidR="00F35C3F" w:rsidRPr="00F56683">
        <w:rPr>
          <w:rFonts w:cstheme="minorHAnsi"/>
          <w:color w:val="000000" w:themeColor="text1"/>
        </w:rPr>
        <w:t xml:space="preserve"> </w:t>
      </w:r>
      <w:r w:rsidR="007E4654" w:rsidRPr="00F56683">
        <w:rPr>
          <w:rFonts w:cstheme="minorHAnsi"/>
          <w:color w:val="000000" w:themeColor="text1"/>
        </w:rPr>
        <w:t>interpreting</w:t>
      </w:r>
      <w:r w:rsidR="00F35C3F" w:rsidRPr="00F56683">
        <w:rPr>
          <w:rFonts w:cstheme="minorHAnsi"/>
          <w:color w:val="000000" w:themeColor="text1"/>
        </w:rPr>
        <w:t xml:space="preserve"> protein and exercise interaction trials for the prevention/enhancement of muscle mass and/or function, a</w:t>
      </w:r>
      <w:r w:rsidR="004F4AF8" w:rsidRPr="00F56683">
        <w:rPr>
          <w:rFonts w:cstheme="minorHAnsi"/>
          <w:color w:val="000000" w:themeColor="text1"/>
        </w:rPr>
        <w:t xml:space="preserve">ttention needs to be paid to why results may or may not have been observed in the literature previously. </w:t>
      </w:r>
      <w:r w:rsidR="00A43560" w:rsidRPr="00F56683">
        <w:rPr>
          <w:rFonts w:cstheme="minorHAnsi"/>
          <w:color w:val="000000" w:themeColor="text1"/>
        </w:rPr>
        <w:t>I</w:t>
      </w:r>
      <w:r w:rsidR="004F4AF8" w:rsidRPr="00F56683">
        <w:rPr>
          <w:rFonts w:cstheme="minorHAnsi"/>
          <w:color w:val="000000" w:themeColor="text1"/>
        </w:rPr>
        <w:t>nsight</w:t>
      </w:r>
      <w:r w:rsidR="008A40AC" w:rsidRPr="00F56683">
        <w:rPr>
          <w:rFonts w:cstheme="minorHAnsi"/>
          <w:color w:val="000000" w:themeColor="text1"/>
        </w:rPr>
        <w:t>s</w:t>
      </w:r>
      <w:r w:rsidR="00A43560" w:rsidRPr="00F56683">
        <w:rPr>
          <w:rFonts w:cstheme="minorHAnsi"/>
          <w:color w:val="000000" w:themeColor="text1"/>
        </w:rPr>
        <w:t xml:space="preserve"> can then be drawn upon to understand</w:t>
      </w:r>
      <w:r w:rsidR="004F4AF8" w:rsidRPr="00F56683">
        <w:rPr>
          <w:rFonts w:cstheme="minorHAnsi"/>
          <w:color w:val="000000" w:themeColor="text1"/>
        </w:rPr>
        <w:t xml:space="preserve"> modifications required in future research for optimising outcomes. It is also important that the intervention does not lead to harm or unwanted outcomes. This once again demonstrates why taking appropriate outcome measurements </w:t>
      </w:r>
      <w:r w:rsidRPr="00F56683">
        <w:rPr>
          <w:rFonts w:cstheme="minorHAnsi"/>
          <w:color w:val="000000" w:themeColor="text1"/>
        </w:rPr>
        <w:t>is</w:t>
      </w:r>
      <w:r w:rsidR="004F4AF8" w:rsidRPr="00F56683">
        <w:rPr>
          <w:rFonts w:cstheme="minorHAnsi"/>
          <w:color w:val="000000" w:themeColor="text1"/>
        </w:rPr>
        <w:t xml:space="preserve"> vital. If the intervention has knock-on impacts or overspill behaviours that are undesirable, the cost-effectiveness and appropriateness of the trial will be compromised</w:t>
      </w:r>
      <w:r w:rsidRPr="00F56683">
        <w:rPr>
          <w:rFonts w:cstheme="minorHAnsi"/>
          <w:color w:val="000000" w:themeColor="text1"/>
        </w:rPr>
        <w:t>,</w:t>
      </w:r>
      <w:r w:rsidR="004F4AF8" w:rsidRPr="00F56683">
        <w:rPr>
          <w:rFonts w:cstheme="minorHAnsi"/>
          <w:color w:val="000000" w:themeColor="text1"/>
        </w:rPr>
        <w:t xml:space="preserve"> so monitoring and avoiding their occurrences are necessary. </w:t>
      </w:r>
    </w:p>
    <w:p w14:paraId="15D5AE4A" w14:textId="77777777" w:rsidR="004F4AF8" w:rsidRPr="00F56683" w:rsidRDefault="004F4AF8" w:rsidP="00F42CB9">
      <w:pPr>
        <w:spacing w:line="360" w:lineRule="auto"/>
        <w:rPr>
          <w:rFonts w:cstheme="minorHAnsi"/>
          <w:color w:val="000000" w:themeColor="text1"/>
        </w:rPr>
      </w:pPr>
    </w:p>
    <w:p w14:paraId="418C0980" w14:textId="2663FEFC" w:rsidR="004F4AF8" w:rsidRPr="00F56683" w:rsidRDefault="004F4AF8" w:rsidP="00F42CB9">
      <w:pPr>
        <w:pStyle w:val="Heading3"/>
        <w:spacing w:line="360" w:lineRule="auto"/>
        <w:rPr>
          <w:rFonts w:asciiTheme="minorHAnsi" w:hAnsiTheme="minorHAnsi" w:cstheme="minorHAnsi"/>
          <w:color w:val="000000" w:themeColor="text1"/>
        </w:rPr>
      </w:pPr>
      <w:bookmarkStart w:id="65" w:name="_Toc135384258"/>
      <w:r w:rsidRPr="00F56683">
        <w:rPr>
          <w:rFonts w:asciiTheme="minorHAnsi" w:hAnsiTheme="minorHAnsi" w:cstheme="minorHAnsi"/>
          <w:color w:val="000000" w:themeColor="text1"/>
        </w:rPr>
        <w:t>1.6.1 Low habitual protein consumers and supplementation</w:t>
      </w:r>
      <w:bookmarkEnd w:id="65"/>
    </w:p>
    <w:p w14:paraId="34554B51" w14:textId="65F12FA8"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As previously outlined, it appears that participants included in protein supplementation trials </w:t>
      </w:r>
      <w:r w:rsidR="00A43560" w:rsidRPr="00F56683">
        <w:rPr>
          <w:rFonts w:cstheme="minorHAnsi"/>
          <w:color w:val="000000" w:themeColor="text1"/>
        </w:rPr>
        <w:t>are</w:t>
      </w:r>
      <w:r w:rsidRPr="00F56683">
        <w:rPr>
          <w:rFonts w:cstheme="minorHAnsi"/>
          <w:color w:val="000000" w:themeColor="text1"/>
        </w:rPr>
        <w:t xml:space="preserve"> already consuming adequate </w:t>
      </w:r>
      <w:r w:rsidR="00A43560" w:rsidRPr="00F56683">
        <w:rPr>
          <w:rFonts w:cstheme="minorHAnsi"/>
          <w:color w:val="000000" w:themeColor="text1"/>
        </w:rPr>
        <w:t xml:space="preserve">dietary </w:t>
      </w:r>
      <w:r w:rsidRPr="00F56683">
        <w:rPr>
          <w:rFonts w:cstheme="minorHAnsi"/>
          <w:color w:val="000000" w:themeColor="text1"/>
        </w:rPr>
        <w:t>protein</w:t>
      </w:r>
      <w:r w:rsidR="000938EF" w:rsidRPr="00F56683">
        <w:rPr>
          <w:rFonts w:cstheme="minorHAnsi"/>
          <w:color w:val="000000" w:themeColor="text1"/>
        </w:rPr>
        <w:t>,</w:t>
      </w:r>
      <w:r w:rsidRPr="00F56683">
        <w:rPr>
          <w:rFonts w:cstheme="minorHAnsi"/>
          <w:color w:val="000000" w:themeColor="text1"/>
        </w:rPr>
        <w:t xml:space="preserve"> and</w:t>
      </w:r>
      <w:r w:rsidR="00A43560" w:rsidRPr="00F56683">
        <w:rPr>
          <w:rFonts w:cstheme="minorHAnsi"/>
          <w:color w:val="000000" w:themeColor="text1"/>
        </w:rPr>
        <w:t xml:space="preserve"> this</w:t>
      </w:r>
      <w:r w:rsidRPr="00F56683">
        <w:rPr>
          <w:rFonts w:cstheme="minorHAnsi"/>
          <w:color w:val="000000" w:themeColor="text1"/>
        </w:rPr>
        <w:t xml:space="preserve"> may contribute to the lack of </w:t>
      </w:r>
      <w:r w:rsidR="00A43560" w:rsidRPr="00F56683">
        <w:rPr>
          <w:rFonts w:cstheme="minorHAnsi"/>
          <w:color w:val="000000" w:themeColor="text1"/>
        </w:rPr>
        <w:t>intervention efficiency</w:t>
      </w:r>
      <w:r w:rsidRPr="00F56683">
        <w:rPr>
          <w:rFonts w:cstheme="minorHAnsi"/>
          <w:color w:val="000000" w:themeColor="text1"/>
        </w:rPr>
        <w:t xml:space="preserve">. To address the impact of protein supplementation on low habitual protein consumers, recent dietary protein intervention studies have aimed to specifically recruit older adults who consumed &lt;1.0g/kg body mass/day of protein. Ten Haaf and colleagues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{"citationItems":[{"id":"ITEM-1","itemData":{"DOI":"10.1002/jcsm.12394","ISSN":"21906009","PMID":"30848096","abstract":"Background: An inadequate protein intake may offset the muscle protein synthetic response after physical activity, reducing the possible benefits of an active lifestyle for muscle mass. We examined the effects of 12 weeks of daily protein supplementation on lean body mass, muscle strength, and physical performance in physically active older adults with a low habitual protein intake (&lt;1.0 g/kg/day). Methods: A randomized double-blinded controlled trial was performed among 116 physically active older adults [age 69 (interquartile range: 67–73) years, 82% male] who were training for a 4 day walking event of 30, 40, or 50 km/day. Participants were randomly allocated to either 31 g of milk protein or iso-caloric placebo supplementation for 12 weeks. Body composition (dual-energy X-ray absorptiometry), strength (isometric leg extension and grip strength), quadriceps contractile function, and physical performance [Short Physical Performance Battery, Timed Up-and-Go test, and cardiorespiratory fitness (Åstrand–Rhyming submaximal exercise test)] were measured at baseline and after 12 weeks. We assessed vitamin D status and markers of muscle damage and renal function in blood and urine samples before and after intervention. Results: A larger increase in relative lean body mass was observed in the protein vs. placebo group (∆0.93 ± 1.22% vs. ∆0.44 ± 1.40%, P Interaction  = 0.046). Absolute and relative fat mass decreased more in the protein group than in the placebo group (∆−0.90 ± 1.22 kg vs. ∆−0.31 ± 1.28 kg, P Interaction  = 0.013 and ∆−0.92 ± 1.19% vs. ∆−0.39 ± 1.36%, P Interaction  = 0.029, respectively). Strength and contractile function did not change in both groups. Gait speed, chair-rise ability, Timed Up-and-Go, and cardiorespiratory fitness improved in both groups (P &lt; 0.001), but no between-group differences were observed. Serum urea increased in the protein group, whereas no changes were observed in the placebo group (P Interaction  &lt; 0.001). No between-group differences were observed for vitamin D status, muscle damage, and renal function markers. Conclusions: In physically active older adults with relatively low habitual dietary protein consumption, an improvement in physical performance, an increase in lean body mass, and a decrease in fat mass were observed after walking exercise training. A larger increase in relative lean body mass and larger reduction in fat mass were observed in participants receiving 12 weeks of daily protein supplementation …","author":[{"dropping-particle":"","family":"Haaf","given":"Dominique S.M.","non-dropping-particle":"ten","parse-names":false,"suffix":""},{"dropping-particle":"","family":"Eijsvogels","given":"Thijs M.H.","non-dropping-particle":"","parse-names":false,"suffix":""},{"dropping-particle":"","family":"Bongers","given":"Coen C.W.G.","non-dropping-particle":"","parse-names":false,"suffix":""},{"dropping-particle":"","family":"Horstman","given":"Astrid M.H.","non-dropping-particle":"","parse-names":false,"suffix":""},{"dropping-particle":"","family":"Timmers","given":"Silvie","non-dropping-particle":"","parse-names":false,"suffix":""},{"dropping-particle":"","family":"Groot","given":"Lisette C.P.G.M.","non-dropping-particle":"de","parse-names":false,"suffix":""},{"dropping-particle":"","family":"Hopman","given":"Maria T.E.","non-dropping-particle":"","parse-names":false,"suffix":""}],"container-title":"Journal of Cachexia, Sarcopenia and Muscle","id":"ITEM-1","issue":"2","issued":{"date-parts":[["2019","4","1"]]},"page":"298-310","publisher":"Wiley Blackwell","title":"Protein supplementation improves lean body mass in physically active older adults: a randomized placebo-controlled trial","type":"article-journal","volume":"10"},"uris":["http://www.mendeley.com/documents/?uuid=4140a911-971c-339f-bf2e-28a4188b7539"]}],"mendeley":{"formattedCitation":"(147)","plainTextFormattedCitation":"(147)","previouslyFormattedCitation":"(147)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(147)</w:t>
      </w:r>
      <w:r w:rsidRPr="00F56683">
        <w:rPr>
          <w:rFonts w:cstheme="minorHAnsi"/>
          <w:color w:val="000000" w:themeColor="text1"/>
        </w:rPr>
        <w:fldChar w:fldCharType="end"/>
      </w:r>
      <w:r w:rsidRPr="00F56683">
        <w:rPr>
          <w:rFonts w:cstheme="minorHAnsi"/>
          <w:color w:val="000000" w:themeColor="text1"/>
        </w:rPr>
        <w:t xml:space="preserve"> assigned participants (aged 65 years or older) who were training for a four day walking event (30/40/50km/day) to either receive </w:t>
      </w:r>
      <w:r w:rsidRPr="00F56683">
        <w:rPr>
          <w:rFonts w:cstheme="minorHAnsi"/>
          <w:color w:val="000000" w:themeColor="text1"/>
        </w:rPr>
        <w:lastRenderedPageBreak/>
        <w:t xml:space="preserve">two supplements a day, for twelve weeks, containing either a total </w:t>
      </w:r>
      <w:r w:rsidR="00A43560" w:rsidRPr="00F56683">
        <w:rPr>
          <w:rFonts w:cstheme="minorHAnsi"/>
          <w:color w:val="000000" w:themeColor="text1"/>
        </w:rPr>
        <w:t>o</w:t>
      </w:r>
      <w:r w:rsidRPr="00F56683">
        <w:rPr>
          <w:rFonts w:cstheme="minorHAnsi"/>
          <w:color w:val="000000" w:themeColor="text1"/>
        </w:rPr>
        <w:t>f 31g of milk and protein 14.5g lactose (carbohydrate) (n=58) or an iso-caloric placebo, contain</w:t>
      </w:r>
      <w:r w:rsidR="000938EF" w:rsidRPr="00F56683">
        <w:rPr>
          <w:rFonts w:cstheme="minorHAnsi"/>
          <w:color w:val="000000" w:themeColor="text1"/>
        </w:rPr>
        <w:t>ing</w:t>
      </w:r>
      <w:r w:rsidRPr="00F56683">
        <w:rPr>
          <w:rFonts w:cstheme="minorHAnsi"/>
          <w:color w:val="000000" w:themeColor="text1"/>
        </w:rPr>
        <w:t xml:space="preserve"> 1.1g of protein and 36g of carbohydrates (n=56). They report a large relative increase in lean body mass percentage (p=0.046), alongside a decrease in fat mass percentage (p=0.029), in the intervention group vs the control. Despite this, these results did not translate to muscle strength o</w:t>
      </w:r>
      <w:r w:rsidR="00A43560" w:rsidRPr="00F56683">
        <w:rPr>
          <w:rFonts w:cstheme="minorHAnsi"/>
          <w:color w:val="000000" w:themeColor="text1"/>
        </w:rPr>
        <w:t>r</w:t>
      </w:r>
      <w:r w:rsidRPr="00F56683">
        <w:rPr>
          <w:rFonts w:cstheme="minorHAnsi"/>
          <w:color w:val="000000" w:themeColor="text1"/>
        </w:rPr>
        <w:t xml:space="preserve"> physical function differences between the two groups and these are likely to be measurements of clinical significance. </w:t>
      </w:r>
      <w:r w:rsidR="00A43560" w:rsidRPr="00F56683">
        <w:rPr>
          <w:rFonts w:cstheme="minorHAnsi"/>
          <w:color w:val="000000" w:themeColor="text1"/>
        </w:rPr>
        <w:t>In contrast</w:t>
      </w:r>
      <w:r w:rsidRPr="00F56683">
        <w:rPr>
          <w:rFonts w:cstheme="minorHAnsi"/>
          <w:color w:val="000000" w:themeColor="text1"/>
        </w:rPr>
        <w:t>, Reinders et al</w:t>
      </w:r>
      <w:r w:rsidR="00D30D52">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{"citationItems":[{"id":"ITEM-1","itemData":{"DOI":"10.1007/S00394-021-02675-0","ISSN":"1436-6215","PMID":"34609621","abstract":"Purpose: To examine the cost effectiveness of dietary advice to increase protein intake on 6-month change in physical functioning among older adults. Methods: In this multicenter randomized controlled trial, 276 community-dwelling older adults with a habitual protein intake &lt; 1.0 g/kg adjusted body weight (aBW)/d were randomly assigned to either Intervention 1; advice to increase protein intake to ≥ 1.2 g/kg aBW/d (PROT, n = 96), Intervention 2; similar advice and in addition advice to consume protein (en)rich(ed) foods within half an hour after usual physical activity (PROT + TIMING, n = 89), or continue the habitual diet with no advice (CON, n = 91). Primary outcome was 6-month change in 400-m walk time. Secondary outcomes were 6-month change in physical performance, leg extension strength, grip strength, body composition, self-reported mobility limitations and quality of life. We evaluated cost effectiveness from a societal perspective. Results: Compared to CON, a positive effect on walk time was observed for PROT; – 12.4 s (95%CI, – 21.8 to – 2.9), and for PROT + TIMING; – 4.9 s (95%CI, – 14.5 to 4.7). Leg extension strength significantly increased in PROT (+ 32.6 N (95%CI, 10.6–54.5)) and PROT + TIMING (+ 24.3 N (95%CI, 0.2–48.5)) compared to CON. No significant intervention effects were observed for the other secondary outcomes. From a societal perspective, PROT was cost effective compared to CON. Conclusion: Dietary advice to increase protein intake to ≥ 1.2 g/kg aBW/d improved 400-m walk time and leg strength among older adults with a lower habitual protein intake. From a societal perspective, PROT was considered cost-effective compared to CON. These findings support the need for re-evaluating the protein RDA of 0.8 g/kg BW/d for older adults. Trial registration: The trial has been registered at ClinicalTrials.gov (NCT03712306). Date of registration: October 2018. Registry name: The (Cost) Effectiveness of Increasing Protein Intake on Physical Functioning in Older Adults. Trial Identifier: NCT03712306.","author":[{"dropping-particle":"","family":"I","given":"Reinders","non-dropping-particle":"","parse-names":false,"suffix":""},{"dropping-particle":"","family":"M","given":"Visser","non-dropping-particle":"","parse-names":false,"suffix":""},{"dropping-particle":"","family":"SK","given":"Jyväkorpi","non-dropping-particle":"","parse-names":false,"suffix":""},{"dropping-particle":"","family":"RT","given":"Niskanen","non-dropping-particle":"","parse-names":false,"suffix":""},{"dropping-particle":"","family":"JE","given":"Bosmans","non-dropping-particle":"","parse-names":false,"suffix":""},{"dropping-particle":"Ben","family":"Â","given":"Jornada","non-dropping-particle":"","parse-names":false,"suffix":""},{"dropping-particle":"","family":"IA","given":"Brouwer","non-dropping-particle":"","parse-names":false,"suffix":""},{"dropping-particle":"","family":"LD","given":"Kuijper","non-dropping-particle":"","parse-names":false,"suffix":""},{"dropping-particle":"","family":"MR","given":"Olthof","non-dropping-particle":"","parse-names":false,"suffix":""},{"dropping-particle":"","family":"KH","given":"Pitkälä","non-dropping-particle":"","parse-names":false,"suffix":""},{"dropping-particle":"","family":"R","given":"Vijlbrief","non-dropping-particle":"","parse-names":false,"suffix":""},{"dropping-particle":"","family":"MH","given":"Suominen","non-dropping-particle":"","parse-names":false,"suffix":""},{"dropping-particle":"","family":"HAH","given":"Wijnhoven","non-dropping-particle":"","parse-names":false,"suffix":""}],"container-title":"European journal of nutrition","id":"ITEM-1","issued":{"date-parts":[["2021"]]},"publisher":"Eur J Nutr","title":"The cost effectiveness of personalized dietary advice to increase protein intake in older adults with lower habitual protein intake: a randomized controlled trial","type":"article-journal"},"uris":["http://www.mendeley.com/documents/?uuid=3c79b7ba-5162-382e-b2e8-7d7a1d2d4d0b"]}],"mendeley":{"formattedCitation":"(148)","plainTextFormattedCitation":"(148)","previouslyFormattedCitation":"(148)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(148)</w:t>
      </w:r>
      <w:r w:rsidRPr="00F56683">
        <w:rPr>
          <w:rFonts w:cstheme="minorHAnsi"/>
          <w:color w:val="000000" w:themeColor="text1"/>
        </w:rPr>
        <w:fldChar w:fldCharType="end"/>
      </w:r>
      <w:r w:rsidRPr="00F56683">
        <w:rPr>
          <w:rFonts w:cstheme="minorHAnsi"/>
          <w:color w:val="000000" w:themeColor="text1"/>
        </w:rPr>
        <w:t xml:space="preserve"> did see function improvements in low protein consumers,</w:t>
      </w:r>
      <w:r w:rsidR="00550788" w:rsidRPr="00F56683">
        <w:rPr>
          <w:rFonts w:cstheme="minorHAnsi"/>
          <w:color w:val="000000" w:themeColor="text1"/>
        </w:rPr>
        <w:t xml:space="preserve"> aged 65 years or older,</w:t>
      </w:r>
      <w:r w:rsidRPr="00F56683">
        <w:rPr>
          <w:rFonts w:cstheme="minorHAnsi"/>
          <w:color w:val="000000" w:themeColor="text1"/>
        </w:rPr>
        <w:t xml:space="preserve"> following an intervention whereby participants were assigned to one of three groups. Group one were given advice on how to increase their protein consumption to &gt;1.2g/kg BM/day. Group </w:t>
      </w:r>
      <w:r w:rsidR="000938EF" w:rsidRPr="00F56683">
        <w:rPr>
          <w:rFonts w:cstheme="minorHAnsi"/>
          <w:color w:val="000000" w:themeColor="text1"/>
        </w:rPr>
        <w:t>two</w:t>
      </w:r>
      <w:r w:rsidRPr="00F56683">
        <w:rPr>
          <w:rFonts w:cstheme="minorHAnsi"/>
          <w:color w:val="000000" w:themeColor="text1"/>
        </w:rPr>
        <w:t xml:space="preserve"> received similar advice and w</w:t>
      </w:r>
      <w:r w:rsidR="000938EF" w:rsidRPr="00F56683">
        <w:rPr>
          <w:rFonts w:cstheme="minorHAnsi"/>
          <w:color w:val="000000" w:themeColor="text1"/>
        </w:rPr>
        <w:t>as</w:t>
      </w:r>
      <w:r w:rsidRPr="00F56683">
        <w:rPr>
          <w:rFonts w:cstheme="minorHAnsi"/>
          <w:color w:val="000000" w:themeColor="text1"/>
        </w:rPr>
        <w:t xml:space="preserve"> also encouraged to eat protein-rich foods with half an hour of physical activity. The final group was the control group who received no dietary advice. Groups </w:t>
      </w:r>
      <w:r w:rsidR="008A40AC" w:rsidRPr="00F56683">
        <w:rPr>
          <w:rFonts w:cstheme="minorHAnsi"/>
          <w:color w:val="000000" w:themeColor="text1"/>
        </w:rPr>
        <w:t>one</w:t>
      </w:r>
      <w:r w:rsidRPr="00F56683">
        <w:rPr>
          <w:rFonts w:cstheme="minorHAnsi"/>
          <w:color w:val="000000" w:themeColor="text1"/>
        </w:rPr>
        <w:t xml:space="preserve"> and </w:t>
      </w:r>
      <w:r w:rsidR="008A40AC" w:rsidRPr="00F56683">
        <w:rPr>
          <w:rFonts w:cstheme="minorHAnsi"/>
          <w:color w:val="000000" w:themeColor="text1"/>
        </w:rPr>
        <w:t>two</w:t>
      </w:r>
      <w:r w:rsidRPr="00F56683">
        <w:rPr>
          <w:rFonts w:cstheme="minorHAnsi"/>
          <w:color w:val="000000" w:themeColor="text1"/>
        </w:rPr>
        <w:t xml:space="preserve"> displayed positive outcomes for </w:t>
      </w:r>
      <w:r w:rsidR="000938EF" w:rsidRPr="00F56683">
        <w:rPr>
          <w:rFonts w:cstheme="minorHAnsi"/>
          <w:color w:val="000000" w:themeColor="text1"/>
        </w:rPr>
        <w:t xml:space="preserve">the </w:t>
      </w:r>
      <w:r w:rsidRPr="00F56683">
        <w:rPr>
          <w:rFonts w:cstheme="minorHAnsi"/>
          <w:color w:val="000000" w:themeColor="text1"/>
        </w:rPr>
        <w:t>time taken to walk 400-metres; -12.4s (95%CI, -21.8 to -2.9), and -4.9s (95%CI, -14.5 to 4.7) respectively and leg extension strength (+32.6 N (95%CI, 10.6–54.5)) and (+24.3 N (95%CI, 0.2–48.5) respectively compared to the control group. The functional findings may translate to clinically significant outcomes, if independence can be maintained.  When considering protein supplementation, targeting those most at risk of consuming insufficient levels may be advantageous. Developing ways to quickly and inexpensively identify these individuals would therefore likely be worthwhile and cost-effective.</w:t>
      </w:r>
    </w:p>
    <w:p w14:paraId="473737C5" w14:textId="77777777" w:rsidR="004F4AF8" w:rsidRPr="00F56683" w:rsidRDefault="004F4AF8" w:rsidP="00F42CB9">
      <w:pPr>
        <w:spacing w:line="360" w:lineRule="auto"/>
        <w:rPr>
          <w:rFonts w:cstheme="minorHAnsi"/>
          <w:color w:val="000000" w:themeColor="text1"/>
        </w:rPr>
      </w:pPr>
    </w:p>
    <w:p w14:paraId="2C635623" w14:textId="11587AB9" w:rsidR="004F4AF8" w:rsidRPr="00F56683" w:rsidRDefault="004F4AF8" w:rsidP="00F42CB9">
      <w:pPr>
        <w:pStyle w:val="Heading3"/>
        <w:spacing w:line="360" w:lineRule="auto"/>
        <w:rPr>
          <w:rFonts w:asciiTheme="minorHAnsi" w:hAnsiTheme="minorHAnsi" w:cstheme="minorHAnsi"/>
          <w:color w:val="000000" w:themeColor="text1"/>
        </w:rPr>
      </w:pPr>
      <w:bookmarkStart w:id="66" w:name="_Toc135384259"/>
      <w:r w:rsidRPr="00F56683">
        <w:rPr>
          <w:rFonts w:asciiTheme="minorHAnsi" w:hAnsiTheme="minorHAnsi" w:cstheme="minorHAnsi"/>
          <w:color w:val="000000" w:themeColor="text1"/>
        </w:rPr>
        <w:t>1.6.2 Protein and appetite</w:t>
      </w:r>
      <w:bookmarkEnd w:id="66"/>
    </w:p>
    <w:p w14:paraId="79EC40D2" w14:textId="3FC7B61F"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Increasing protein intakes may lead to possible advantageous outcomes in terms of muscle health. </w:t>
      </w:r>
      <w:r w:rsidR="00550788" w:rsidRPr="00F56683">
        <w:rPr>
          <w:rFonts w:cstheme="minorHAnsi"/>
          <w:color w:val="000000" w:themeColor="text1"/>
        </w:rPr>
        <w:t>However</w:t>
      </w:r>
      <w:r w:rsidR="008A7F74" w:rsidRPr="00F56683">
        <w:rPr>
          <w:rFonts w:cstheme="minorHAnsi"/>
          <w:color w:val="000000" w:themeColor="text1"/>
        </w:rPr>
        <w:t>,</w:t>
      </w:r>
      <w:r w:rsidR="00550788" w:rsidRPr="00F56683">
        <w:rPr>
          <w:rFonts w:cstheme="minorHAnsi"/>
          <w:color w:val="000000" w:themeColor="text1"/>
        </w:rPr>
        <w:t xml:space="preserve"> this </w:t>
      </w:r>
      <w:r w:rsidRPr="00F56683">
        <w:rPr>
          <w:rFonts w:cstheme="minorHAnsi"/>
          <w:color w:val="000000" w:themeColor="text1"/>
        </w:rPr>
        <w:t>may be a double</w:t>
      </w:r>
      <w:r w:rsidR="008A7F74" w:rsidRPr="00F56683">
        <w:rPr>
          <w:rFonts w:cstheme="minorHAnsi"/>
          <w:color w:val="000000" w:themeColor="text1"/>
        </w:rPr>
        <w:t>-</w:t>
      </w:r>
      <w:r w:rsidRPr="00F56683">
        <w:rPr>
          <w:rFonts w:cstheme="minorHAnsi"/>
          <w:color w:val="000000" w:themeColor="text1"/>
        </w:rPr>
        <w:t xml:space="preserve">edged sword, as protein is known to be the most satiating macronutrient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{"citationItems":[{"id":"ITEM-1","itemData":{"DOI":"10.1016/J.FOODHYD.2016.08.003","ISSN":"0268-005X","abstract":"‘Satiation’ and ‘satiety’ are key terms that have come to be widely used to help understand processes involved in appetite control. Satiation is considered to be the signals or processes that bring a meal to an end, whereas satiety is the signals or processes, following the end of a meal, that inhibit eating before hunger returns. Protein is the most effective food macronutrient providing a satiating effect. Thus, formulating foods with increased protein contents can help to modulate food intake, promoting body weight loss and body weight maintenance thereafter. Mechanisms explaining protein-induced satiety are primarily nutrient-specific, but they are of course not mathematically related to satiety. Different proteins cause different nutrient-related responses of anorexigenic hormones. Glucagon-like peptide-1 (GLP-1) release evoked by a high protein meal is stimulated by the carbohydrate content. Also, cholecystokinin (CCK) and peptide YY (PYY) release is stimulated by a high-protein meal. Sensory, cognitive, post-ingestive and post-absorptive signals will determine jointly the feeling of satiation and satiety. Oral perception cues also contribute increased expectations of satiating capacity when the oral residence time and in-mouth handling are longer and more laborious. In the present review, the authors want to obtain an overview of the satiating ability of dietary protein and its role in satiation and satiety. This could be really significant in showing the food industry the path for developing protein-rich satiating foods in response to consumer demand.","author":[{"dropping-particle":"","family":"Morell","given":"P.","non-dropping-particle":"","parse-names":false,"suffix":""},{"dropping-particle":"","family":"Fiszman","given":"S.","non-dropping-particle":"","parse-names":false,"suffix":""}],"container-title":"Food Hydrocolloids","id":"ITEM-1","issued":{"date-parts":[["2017","7","1"]]},"page":"199-210","publisher":"Elsevier","title":"Revisiting the role of protein-induced satiation and satiety","type":"article-journal","volume":"68"},"uris":["http://www.mendeley.com/documents/?uuid=3e657bbc-17fc-36c1-8669-bc5b50f3912d"]}],"mendeley":{"formattedCitation":"(149)","plainTextFormattedCitation":"(149)","previouslyFormattedCitation":"(149)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(149)</w:t>
      </w:r>
      <w:r w:rsidRPr="00F56683">
        <w:rPr>
          <w:rFonts w:cstheme="minorHAnsi"/>
          <w:color w:val="000000" w:themeColor="text1"/>
        </w:rPr>
        <w:fldChar w:fldCharType="end"/>
      </w:r>
      <w:r w:rsidRPr="00F56683">
        <w:rPr>
          <w:rFonts w:cstheme="minorHAnsi"/>
          <w:color w:val="000000" w:themeColor="text1"/>
        </w:rPr>
        <w:t>, meaning i</w:t>
      </w:r>
      <w:r w:rsidR="008A7F74" w:rsidRPr="00F56683">
        <w:rPr>
          <w:rFonts w:cstheme="minorHAnsi"/>
          <w:color w:val="000000" w:themeColor="text1"/>
        </w:rPr>
        <w:t>t</w:t>
      </w:r>
      <w:r w:rsidRPr="00F56683">
        <w:rPr>
          <w:rFonts w:cstheme="minorHAnsi"/>
          <w:color w:val="000000" w:themeColor="text1"/>
        </w:rPr>
        <w:t xml:space="preserve"> can lead to feelings of fullness. In some settings, such as for those striving to lose weight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{"citationItems":[{"id":"ITEM-1","itemData":{"DOI":"10.1093/ajcn.82.1.1","ISSN":"0002-9165","PMID":"16002791","author":[{"dropping-particle":"","family":"Astrup","given":"Arne","non-dropping-particle":"","parse-names":false,"suffix":""}],"container-title":"The American journal of clinical nutrition","id":"ITEM-1","issue":"1","issued":{"date-parts":[["2005","7"]]},"page":"1-2","title":"The satiating power of protein--a key to obesity prevention?","type":"article-journal","volume":"82"},"uris":["http://www.mendeley.com/documents/?uuid=8ea7029b-c41f-3d87-81f2-65442ffc4ff9"]}],"mendeley":{"formattedCitation":"(150)","plainTextFormattedCitation":"(150)","previouslyFormattedCitation":"(150)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(150)</w:t>
      </w:r>
      <w:r w:rsidRPr="00F56683">
        <w:rPr>
          <w:rFonts w:cstheme="minorHAnsi"/>
          <w:color w:val="000000" w:themeColor="text1"/>
        </w:rPr>
        <w:fldChar w:fldCharType="end"/>
      </w:r>
      <w:r w:rsidRPr="00F56683">
        <w:rPr>
          <w:rFonts w:cstheme="minorHAnsi"/>
          <w:color w:val="000000" w:themeColor="text1"/>
        </w:rPr>
        <w:t xml:space="preserve">, this has been thought to be an advantageous feature of protein. On the contrary, in </w:t>
      </w:r>
      <w:r w:rsidR="00550788" w:rsidRPr="00F56683">
        <w:rPr>
          <w:rFonts w:cstheme="minorHAnsi"/>
          <w:color w:val="000000" w:themeColor="text1"/>
        </w:rPr>
        <w:t>individuals without weight loss goals</w:t>
      </w:r>
      <w:r w:rsidR="00566ED4" w:rsidRPr="00F56683">
        <w:rPr>
          <w:rFonts w:cstheme="minorHAnsi"/>
          <w:color w:val="000000" w:themeColor="text1"/>
        </w:rPr>
        <w:t>,</w:t>
      </w:r>
      <w:r w:rsidR="00550788" w:rsidRPr="00F56683">
        <w:rPr>
          <w:rFonts w:cstheme="minorHAnsi"/>
          <w:color w:val="000000" w:themeColor="text1"/>
        </w:rPr>
        <w:t xml:space="preserve"> and</w:t>
      </w:r>
      <w:r w:rsidRPr="00F56683">
        <w:rPr>
          <w:rFonts w:cstheme="minorHAnsi"/>
          <w:color w:val="000000" w:themeColor="text1"/>
        </w:rPr>
        <w:t xml:space="preserve"> whose energy intake </w:t>
      </w:r>
      <w:r w:rsidR="008A7F74" w:rsidRPr="00F56683">
        <w:rPr>
          <w:rFonts w:cstheme="minorHAnsi"/>
          <w:color w:val="000000" w:themeColor="text1"/>
        </w:rPr>
        <w:t>is</w:t>
      </w:r>
      <w:r w:rsidR="008A40AC" w:rsidRPr="00F56683">
        <w:rPr>
          <w:rFonts w:cstheme="minorHAnsi"/>
          <w:color w:val="000000" w:themeColor="text1"/>
        </w:rPr>
        <w:t xml:space="preserve"> already</w:t>
      </w:r>
      <w:r w:rsidRPr="00F56683">
        <w:rPr>
          <w:rFonts w:cstheme="minorHAnsi"/>
          <w:color w:val="000000" w:themeColor="text1"/>
        </w:rPr>
        <w:t xml:space="preserve"> inadequate, factors </w:t>
      </w:r>
      <w:r w:rsidR="008A40AC" w:rsidRPr="00F56683">
        <w:rPr>
          <w:rFonts w:cstheme="minorHAnsi"/>
          <w:color w:val="000000" w:themeColor="text1"/>
        </w:rPr>
        <w:t>that further exacerbate in</w:t>
      </w:r>
      <w:r w:rsidRPr="00F56683">
        <w:rPr>
          <w:rFonts w:cstheme="minorHAnsi"/>
          <w:color w:val="000000" w:themeColor="text1"/>
        </w:rPr>
        <w:t>sufficient dietary intake</w:t>
      </w:r>
      <w:r w:rsidR="00566ED4" w:rsidRPr="00F56683">
        <w:rPr>
          <w:rFonts w:cstheme="minorHAnsi"/>
          <w:color w:val="000000" w:themeColor="text1"/>
        </w:rPr>
        <w:t>s</w:t>
      </w:r>
      <w:r w:rsidRPr="00F56683">
        <w:rPr>
          <w:rFonts w:cstheme="minorHAnsi"/>
          <w:color w:val="000000" w:themeColor="text1"/>
        </w:rPr>
        <w:t xml:space="preserve"> would be detrimental</w:t>
      </w:r>
      <w:r w:rsidR="00566ED4" w:rsidRPr="00F56683">
        <w:rPr>
          <w:rFonts w:cstheme="minorHAnsi"/>
          <w:color w:val="000000" w:themeColor="text1"/>
        </w:rPr>
        <w:t>. Malnutrition risk may be heighted due to the potential for other macronutrient and micronutrient intakes to drop and m</w:t>
      </w:r>
      <w:r w:rsidRPr="00F56683">
        <w:rPr>
          <w:rFonts w:cstheme="minorHAnsi"/>
          <w:color w:val="000000" w:themeColor="text1"/>
        </w:rPr>
        <w:t>alnutrition is associated with muscle wasting</w:t>
      </w:r>
      <w:r w:rsidR="00352BCD" w:rsidRPr="00F56683">
        <w:rPr>
          <w:rFonts w:cstheme="minorHAnsi"/>
          <w:color w:val="000000" w:themeColor="text1"/>
        </w:rPr>
        <w:t xml:space="preserve"> and</w:t>
      </w:r>
      <w:r w:rsidRPr="00F56683">
        <w:rPr>
          <w:rFonts w:cstheme="minorHAnsi"/>
          <w:color w:val="000000" w:themeColor="text1"/>
        </w:rPr>
        <w:t xml:space="preserve"> decreased mobility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{"citationItems":[{"id":"ITEM-1","itemData":{"DOI":"10.1046/J.1464-410X.2000.00480.X","ISSN":"1464-4096","PMID":"10691813","author":[{"dropping-particle":"","family":"Lennard-Jones","given":"J. E.","non-dropping-particle":"","parse-names":false,"suffix":""}],"container-title":"BJU international","id":"ITEM-1","issue":"4","issued":{"date-parts":[["2000"]]},"page":"398-403","publisher":"BJU Int","title":"Ethical and legal aspects of clinical hydration and nutritional support","type":"article-journal","volume":"85"},"uris":["http://www.mendeley.com/documents/?uuid=0f73a748-1752-39fd-bacb-4579cd86300d"]}],"mendeley":{"formattedCitation":"(151)","plainTextFormattedCitation":"(151)","previouslyFormattedCitation":"(151)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(151)</w:t>
      </w:r>
      <w:r w:rsidRPr="00F56683">
        <w:rPr>
          <w:rFonts w:cstheme="minorHAnsi"/>
          <w:color w:val="000000" w:themeColor="text1"/>
        </w:rPr>
        <w:fldChar w:fldCharType="end"/>
      </w:r>
      <w:r w:rsidR="008A40AC" w:rsidRPr="00F56683">
        <w:rPr>
          <w:rFonts w:cstheme="minorHAnsi"/>
          <w:color w:val="000000" w:themeColor="text1"/>
        </w:rPr>
        <w:t>. This</w:t>
      </w:r>
      <w:r w:rsidRPr="00F56683">
        <w:rPr>
          <w:rFonts w:cstheme="minorHAnsi"/>
          <w:color w:val="000000" w:themeColor="text1"/>
        </w:rPr>
        <w:t xml:space="preserve"> is a risk factor for mortality and various morbidities including impaired respiratory and cardiac function, </w:t>
      </w:r>
      <w:r w:rsidRPr="00F56683">
        <w:rPr>
          <w:rFonts w:cstheme="minorHAnsi"/>
          <w:color w:val="000000" w:themeColor="text1"/>
        </w:rPr>
        <w:lastRenderedPageBreak/>
        <w:t xml:space="preserve">susceptibility to infection and mental health issues. It was demonstrated by </w:t>
      </w:r>
      <w:r w:rsidRPr="00F56683">
        <w:rPr>
          <w:rFonts w:cstheme="minorHAnsi"/>
          <w:color w:val="000000" w:themeColor="text1"/>
          <w:shd w:val="clear" w:color="auto" w:fill="FFFFFF"/>
        </w:rPr>
        <w:t>Weigle et al</w:t>
      </w:r>
      <w:r w:rsidR="00566ED4"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{"citationItems":[{"id":"ITEM-1","itemData":{"abstract":"Background: Ad libitum, low-carbohydrate diets decrease caloric intake and cause weight loss. It is unclear whether these effects are due to the reduced carbohydrate content of such diets or to their associated increase in protein intake. Objective: We tested the hypothesis that increasing the protein content while maintaining the carbohydrate content of the diet lowers body weight by decreasing appetite and spontaneous caloric intake. Design: Appetite, caloric intake, body weight, and fat mass were measured in 19 subjects placed sequentially on the following diets: a weight-maintaining diet (15% protein, 35% fat, and 50% carbohydrate) for 2 wk, an isocaloric diet (30% protein, 20% fat, and 50% carbohydrate) for 2 wk, and an ad libitum diet (30% protein, 20% fat, and 50% carbohydrate) for 12 wk. Blood was sampled frequently at the end of each diet phase to measure the area under the plasma concentration versus time curve (AUC) for insulin, leptin, and gh-relin. Results: Satiety was markedly increased with the isocaloric high-protein diet despite an unchanged leptin AUC. Mean (SE) spontaneous energy intake decreased by 441 63 kcal/d, body weight decreased by 4.9 0.5 kg, and fat mass decreased by 3.7 0.4 kg with the ad libitum, high-protein diet, despite a significantly decreased leptin AUC and increased ghrelin AUC. Conclusions: An increase in dietary protein from 15% to 30% of energy at a constant carbohydrate intake produces a sustained decrease in ad libitum caloric intake that may be mediated by increased central nervous system leptin sensitivity and results in significant weight loss. This anorexic effect of protein may contribute to the weight loss produced by low-carbohydrate diets. Am J Clin Nutr 2005;82:41-8.","author":[{"dropping-particle":"","family":"Weigle","given":"David S","non-dropping-particle":"","parse-names":false,"suffix":""},{"dropping-particle":"","family":"Breen","given":"Patricia A","non-dropping-particle":"","parse-names":false,"suffix":""},{"dropping-particle":"","family":"Matthys","given":"Colleen C","non-dropping-particle":"","parse-names":false,"suffix":""},{"dropping-particle":"","family":"Callahan","given":"Holly S","non-dropping-particle":"","parse-names":false,"suffix":""},{"dropping-particle":"","family":"Meeuws","given":"Kaatje E","non-dropping-particle":"","parse-names":false,"suffix":""},{"dropping-particle":"","family":"Burden","given":"Verna R","non-dropping-particle":"","parse-names":false,"suffix":""},{"dropping-particle":"","family":"Purnell","given":"Jonathan Q","non-dropping-particle":"","parse-names":false,"suffix":""}],"id":"ITEM-1","issued":{"date-parts":[["2005"]]},"title":"A high-protein diet induces sustained reductions in appetite, ad libitum caloric intake, and body weight despite compensatory changes in diurnal plasma leptin and ghrelin concentrations 1-3","type":"report"},"uris":["http://www.mendeley.com/documents/?uuid=9b78d73e-89b0-39b9-8e95-8cda36bff970"]}],"mendeley":{"formattedCitation":"(152)","plainTextFormattedCitation":"(152)","previouslyFormattedCitation":"(152)"},"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(152)</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 xml:space="preserve"> that a high protein diet for two weeks, whereby 30% of energy intake came from protein and 20% of energy was from fat, led to decreases in self-reported levels of hunger and an increase in fullness compared to an isocaloric diet, that was lower in protein (15% of energy) but higher in fat (35% of energy.) Carbohydrate intake was kept consistent for both diets.  Mean (+/-SE) spontaneous energy intake decreased by 441 +/- 63 kcal/d in the high protein group, which was also reflected by declines in body weight decreases (4.9 +/- 0.5 kg.)</w:t>
      </w:r>
    </w:p>
    <w:p w14:paraId="777FBCC2" w14:textId="4EC8D462" w:rsidR="004F4AF8" w:rsidRPr="00F56683" w:rsidRDefault="004F4AF8" w:rsidP="00F42CB9">
      <w:pPr>
        <w:spacing w:line="360" w:lineRule="auto"/>
        <w:rPr>
          <w:rFonts w:cstheme="minorHAnsi"/>
          <w:color w:val="000000" w:themeColor="text1"/>
          <w:shd w:val="clear" w:color="auto" w:fill="FFFFFF"/>
        </w:rPr>
      </w:pPr>
      <w:r w:rsidRPr="00F56683">
        <w:rPr>
          <w:rFonts w:cstheme="minorHAnsi"/>
          <w:color w:val="000000" w:themeColor="text1"/>
          <w:shd w:val="clear" w:color="auto" w:fill="FFFFFF"/>
        </w:rPr>
        <w:t>A 3-day study protocol was conducted by Irvine et al</w:t>
      </w:r>
      <w:r w:rsidR="00566ED4"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{"citationItems":[{"id":"ITEM-1","itemData":{"DOI":"10.1016/j.clnu.2004.02.011","ISSN":"02615614","abstract":"Background &amp; aims: Malnutrition is a risk factor for mortality and various morbidities in the elderly. A low-energy intake often prevails and therapeutic interventions include the administration of dietary supplements, sometimes rich in proteins. We have tested the hypothesis that a protein-rich supplement inhibits appetite and decreases voluntary food intake. Methods: Twelve mildly undernourished (BMI 21.3±2.4 kg/m2) elderly (84±7.8 yr) diseased persons were each studied under 3 conditions, in which they were given in random order at breakfast, and on consecutive days: either no supplement, a 250 kcal, 20 g protein supplement or a 250 kcal, 3.5 g protein supplement. Hunger, fullness, and desire to eat sensations were monitored half-hourly from before breakfast until lunch, and hourly from lunch until dinner. Food intake was assessed by weighing food before and after meals. Total energy and macronutrient intakes were calculated over 24 h. Results: Both supplements increased energy intake (+185 kcal protein supplement, +176 kcal). Protein supplementation induced a net 17 g increase in protein intake (P≤0.0003). Neither supplement affected spontaneous food intake at lunch, dinner, or over the 24 h. Protein supplementation significantly depressed appetite in the breakfast to lunch period. Conclusion: A 250 kcal, 20 g protein supplement depresses hunger without affecting food intake in elderly diseased mildly undernourished persons. © 2004 Elsevier Ltd. All rights reserved.","author":[{"dropping-particle":"","family":"Irvine","given":"Paul","non-dropping-particle":"","parse-names":false,"suffix":""},{"dropping-particle":"","family":"Mouzet","given":"Jean Baptiste","non-dropping-particle":"","parse-names":false,"suffix":""},{"dropping-particle":"","family":"Marteau","given":"Cécile","non-dropping-particle":"","parse-names":false,"suffix":""},{"dropping-particle":"","family":"Sallé","given":"Agnes","non-dropping-particle":"","parse-names":false,"suffix":""},{"dropping-particle":"","family":"Genaitay","given":"Manon","non-dropping-particle":"","parse-names":false,"suffix":""},{"dropping-particle":"","family":"Favreau","given":"Anne Marie","non-dropping-particle":"","parse-names":false,"suffix":""},{"dropping-particle":"","family":"Berrut","given":"Gilles","non-dropping-particle":"","parse-names":false,"suffix":""},{"dropping-particle":"","family":"Ritz","given":"Patrick","non-dropping-particle":"","parse-names":false,"suffix":""}],"container-title":"Clinical Nutrition","id":"ITEM-1","issue":"5","issued":{"date-parts":[["2004","10"]]},"page":"1146-1152","publisher":"Clin Nutr","title":"Short-term effect of a protein load on appetite and food intake in diseased mildly undernourished elderly people","type":"article-journal","volume":"23"},"uris":["http://www.mendeley.com/documents/?uuid=749ce175-655f-3484-a83f-158540175bfc"]}],"mendeley":{"formattedCitation":"(153)","plainTextFormattedCitation":"(153)","previouslyFormattedCitation":"(153)"},"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(153)</w:t>
      </w:r>
      <w:r w:rsidRPr="00F56683">
        <w:rPr>
          <w:rFonts w:cstheme="minorHAnsi"/>
          <w:color w:val="000000" w:themeColor="text1"/>
          <w:shd w:val="clear" w:color="auto" w:fill="FFFFFF"/>
        </w:rPr>
        <w:fldChar w:fldCharType="end"/>
      </w:r>
      <w:r w:rsidRPr="00F56683">
        <w:rPr>
          <w:rFonts w:cstheme="minorHAnsi"/>
          <w:color w:val="000000" w:themeColor="text1"/>
          <w:shd w:val="clear" w:color="auto" w:fill="FFFFFF"/>
        </w:rPr>
        <w:t>, where participants received either no supplement, a 250kcal supplement containing 20g of protein or a 250kcal supplement containing 3.5g of protein</w:t>
      </w:r>
      <w:r w:rsidR="00566ED4" w:rsidRPr="00F56683">
        <w:rPr>
          <w:rFonts w:cstheme="minorHAnsi"/>
          <w:color w:val="000000" w:themeColor="text1"/>
          <w:shd w:val="clear" w:color="auto" w:fill="FFFFFF"/>
        </w:rPr>
        <w:t>, in a randomised order</w:t>
      </w:r>
      <w:r w:rsidRPr="00F56683">
        <w:rPr>
          <w:rFonts w:cstheme="minorHAnsi"/>
          <w:color w:val="000000" w:themeColor="text1"/>
          <w:shd w:val="clear" w:color="auto" w:fill="FFFFFF"/>
        </w:rPr>
        <w:t>. Supplements were given at breakfast and participants were classed as mildly undernourished. It was found that appetite declined in the breakfast to lunch period in the high protein groups, as demonstrated by self-reported rated hunger; a finding not reported in the low protein group. Despite this, protein levels did not alter voluntary energy intakes over the subsequent 24 h</w:t>
      </w:r>
      <w:r w:rsidR="00566ED4" w:rsidRPr="00F56683">
        <w:rPr>
          <w:rFonts w:cstheme="minorHAnsi"/>
          <w:color w:val="000000" w:themeColor="text1"/>
          <w:shd w:val="clear" w:color="auto" w:fill="FFFFFF"/>
        </w:rPr>
        <w:t>ours</w:t>
      </w:r>
      <w:r w:rsidRPr="00F56683">
        <w:rPr>
          <w:rFonts w:cstheme="minorHAnsi"/>
          <w:color w:val="000000" w:themeColor="text1"/>
          <w:shd w:val="clear" w:color="auto" w:fill="FFFFFF"/>
        </w:rPr>
        <w:t>, as calculated by weighed food intakes. When the supplement energy was accounted for, overall intakes were higher regardless of the supplement type</w:t>
      </w:r>
      <w:r w:rsidR="00352BCD" w:rsidRPr="00F56683">
        <w:rPr>
          <w:rFonts w:cstheme="minorHAnsi"/>
          <w:color w:val="000000" w:themeColor="text1"/>
          <w:shd w:val="clear" w:color="auto" w:fill="FFFFFF"/>
        </w:rPr>
        <w:t>,</w:t>
      </w:r>
      <w:r w:rsidR="00550788" w:rsidRPr="00F56683">
        <w:rPr>
          <w:rFonts w:cstheme="minorHAnsi"/>
          <w:color w:val="000000" w:themeColor="text1"/>
          <w:shd w:val="clear" w:color="auto" w:fill="FFFFFF"/>
        </w:rPr>
        <w:t xml:space="preserve"> and a</w:t>
      </w:r>
      <w:r w:rsidRPr="00F56683">
        <w:rPr>
          <w:rFonts w:cstheme="minorHAnsi"/>
          <w:color w:val="000000" w:themeColor="text1"/>
          <w:shd w:val="clear" w:color="auto" w:fill="FFFFFF"/>
        </w:rPr>
        <w:t xml:space="preserve">n average of 17.1 grams more protein was consumed following intake of the higher protein supplement.  </w:t>
      </w:r>
    </w:p>
    <w:p w14:paraId="7A796412" w14:textId="77777777" w:rsidR="004F4AF8" w:rsidRPr="00F56683" w:rsidRDefault="004F4AF8" w:rsidP="00F42CB9">
      <w:pPr>
        <w:spacing w:line="360" w:lineRule="auto"/>
        <w:rPr>
          <w:rFonts w:cstheme="minorHAnsi"/>
          <w:color w:val="000000" w:themeColor="text1"/>
          <w:shd w:val="clear" w:color="auto" w:fill="FFFFFF"/>
        </w:rPr>
      </w:pPr>
    </w:p>
    <w:p w14:paraId="1E0101A6" w14:textId="745132E3" w:rsidR="004F4AF8" w:rsidRPr="00F56683" w:rsidRDefault="004F4AF8" w:rsidP="00F42CB9">
      <w:pPr>
        <w:spacing w:line="360" w:lineRule="auto"/>
        <w:rPr>
          <w:rFonts w:cstheme="minorHAnsi"/>
          <w:color w:val="000000" w:themeColor="text1"/>
        </w:rPr>
      </w:pPr>
      <w:r w:rsidRPr="00F56683">
        <w:rPr>
          <w:rFonts w:cstheme="minorHAnsi"/>
          <w:color w:val="000000" w:themeColor="text1"/>
        </w:rPr>
        <w:t>Strategies to increase protein intake without implicating an individual’s appetite and energy intakes would be advantageous. Tuttiett et al</w:t>
      </w:r>
      <w:r w:rsidR="00352BCD"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{"citationItems":[{"id":"ITEM-1","itemData":{"DOI":"10.3390/NU13051711/S1","ISSN":"20726643","PMID":"34070014","abstract":"Ageing is associated with a reduction in muscle mass and strength, termed sarcopenia. Dietary protein is important for the maintenance of muscle mass through the promotion of muscle protein synthesis. However, protein is also reported to be a highly satiating nutrient. This raises concerns that protein intake for musculoskeletal health reasons in older adults may exacerbate age-related decreased appetite and may result in reduced energy and nutrient intake. This study aimed to investigate the effect of short-term protein supplementation and its timing (morning vs. evening), on energy and nutrient intake and appetite measures in middle-older age adults. Twenty-four 50– 75 year olds were recruited to a randomised cross-over trial. In phase 1 (pre-supplementation) participants completed a food diary and reported hunger and appetite on three alternate days. During the second and third phases, participants consumed a 20 g whey protein gel (78 mL/368 kJ), for four days, either in the morning (after breakfast) or the evening (before bed), whilst completing the same assessments as phase 1. No differences in dietary intakes of energy, macronutrients and micronutrients were recorded when comparing the pre-supplementation phase to the protein supplementation phases, irrespective of timing (excluding the contribution of the protein supplement itself). Similarly, no differences were observed in self-reported feelings of hunger and appetite. In conclusion, a 20 g/day whey protein supplement given outside of meal-times did not alter habitual dietary intakes, hunger or appetite in this middle-older age adult population in the short-term. This approach may be a useful strategy to increasing habitual protein intake in the middle-older age population.","author":[{"dropping-particle":"","family":"Tuttiett","given":"Esme R.","non-dropping-particle":"","parse-names":false,"suffix":""},{"dropping-particle":"","family":"Green","given":"Dan J.","non-dropping-particle":"","parse-names":false,"suffix":""},{"dropping-particle":"","family":"Stevenson","given":"Emma J.","non-dropping-particle":"","parse-names":false,"suffix":""},{"dropping-particle":"","family":"Hill","given":"Thomas R.","non-dropping-particle":"","parse-names":false,"suffix":""},{"dropping-particle":"","family":"Corfe","given":"Bernard M.","non-dropping-particle":"","parse-names":false,"suffix":""},{"dropping-particle":"","family":"Williams","given":"Elizabeth A.","non-dropping-particle":"","parse-names":false,"suffix":""}],"container-title":"Nutrients","id":"ITEM-1","issue":"5","issued":{"date-parts":[["2021","5","1"]]},"page":"1711","publisher":"MDPI AG","title":"Short-term protein supplementation does not alter energy intake, macronutrient intake and appetite in 50–75 year old adults","type":"article-journal","volume":"13"},"uris":["http://www.mendeley.com/documents/?uuid=13438b17-c017-38c5-a30e-cda30a03842b"]}],"mendeley":{"formattedCitation":"(154)","plainTextFormattedCitation":"(154)","previouslyFormattedCitation":"(154)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(154)</w:t>
      </w:r>
      <w:r w:rsidRPr="00F56683">
        <w:rPr>
          <w:rFonts w:cstheme="minorHAnsi"/>
          <w:color w:val="000000" w:themeColor="text1"/>
        </w:rPr>
        <w:fldChar w:fldCharType="end"/>
      </w:r>
      <w:r w:rsidRPr="00F56683">
        <w:rPr>
          <w:rFonts w:cstheme="minorHAnsi"/>
          <w:color w:val="000000" w:themeColor="text1"/>
        </w:rPr>
        <w:t xml:space="preserve"> </w:t>
      </w:r>
      <w:r w:rsidR="00566ED4" w:rsidRPr="00F56683">
        <w:rPr>
          <w:rFonts w:cstheme="minorHAnsi"/>
          <w:color w:val="000000" w:themeColor="text1"/>
        </w:rPr>
        <w:t>conducted</w:t>
      </w:r>
      <w:r w:rsidR="00352BCD" w:rsidRPr="00F56683">
        <w:rPr>
          <w:rFonts w:cstheme="minorHAnsi"/>
          <w:color w:val="000000" w:themeColor="text1"/>
        </w:rPr>
        <w:t xml:space="preserve"> a</w:t>
      </w:r>
      <w:r w:rsidRPr="00F56683">
        <w:rPr>
          <w:rFonts w:cstheme="minorHAnsi"/>
          <w:color w:val="000000" w:themeColor="text1"/>
        </w:rPr>
        <w:t xml:space="preserve"> short-term protein supplementation regime with participants (20 grams of whey protein) and took measure</w:t>
      </w:r>
      <w:r w:rsidR="003D635C" w:rsidRPr="00F56683">
        <w:rPr>
          <w:rFonts w:cstheme="minorHAnsi"/>
          <w:color w:val="000000" w:themeColor="text1"/>
        </w:rPr>
        <w:t>s</w:t>
      </w:r>
      <w:r w:rsidRPr="00F56683">
        <w:rPr>
          <w:rFonts w:cstheme="minorHAnsi"/>
          <w:color w:val="000000" w:themeColor="text1"/>
        </w:rPr>
        <w:t xml:space="preserve"> of self-reported appetite ratings</w:t>
      </w:r>
      <w:r w:rsidR="00566ED4" w:rsidRPr="00F56683">
        <w:rPr>
          <w:rFonts w:cstheme="minorHAnsi"/>
          <w:color w:val="000000" w:themeColor="text1"/>
        </w:rPr>
        <w:t xml:space="preserve"> and dietary intakes</w:t>
      </w:r>
      <w:r w:rsidRPr="00F56683">
        <w:rPr>
          <w:rFonts w:cstheme="minorHAnsi"/>
          <w:color w:val="000000" w:themeColor="text1"/>
        </w:rPr>
        <w:t>, using visual analogue scales and food diaries</w:t>
      </w:r>
      <w:r w:rsidR="00566ED4" w:rsidRPr="00F56683">
        <w:rPr>
          <w:rFonts w:cstheme="minorHAnsi"/>
          <w:color w:val="000000" w:themeColor="text1"/>
        </w:rPr>
        <w:t>. It was of interest to understand</w:t>
      </w:r>
      <w:r w:rsidRPr="00F56683">
        <w:rPr>
          <w:rFonts w:cstheme="minorHAnsi"/>
          <w:color w:val="000000" w:themeColor="text1"/>
        </w:rPr>
        <w:t xml:space="preserve"> whether </w:t>
      </w:r>
      <w:r w:rsidR="003D635C" w:rsidRPr="00F56683">
        <w:rPr>
          <w:rFonts w:cstheme="minorHAnsi"/>
          <w:color w:val="000000" w:themeColor="text1"/>
        </w:rPr>
        <w:t xml:space="preserve">the </w:t>
      </w:r>
      <w:r w:rsidRPr="00F56683">
        <w:rPr>
          <w:rFonts w:cstheme="minorHAnsi"/>
          <w:color w:val="000000" w:themeColor="text1"/>
        </w:rPr>
        <w:t xml:space="preserve">timing of supplementation </w:t>
      </w:r>
      <w:r w:rsidR="00566ED4" w:rsidRPr="00F56683">
        <w:rPr>
          <w:rFonts w:cstheme="minorHAnsi"/>
          <w:color w:val="000000" w:themeColor="text1"/>
        </w:rPr>
        <w:t>influenced the outcome measures</w:t>
      </w:r>
      <w:r w:rsidRPr="00F56683">
        <w:rPr>
          <w:rFonts w:cstheme="minorHAnsi"/>
          <w:color w:val="000000" w:themeColor="text1"/>
        </w:rPr>
        <w:t xml:space="preserve">. Participants were aged 50-75 years and a cross-over design was utilised </w:t>
      </w:r>
      <w:r w:rsidR="00566ED4" w:rsidRPr="00F56683">
        <w:rPr>
          <w:rFonts w:cstheme="minorHAnsi"/>
          <w:color w:val="000000" w:themeColor="text1"/>
        </w:rPr>
        <w:t>so that all participants took the supplement at both timepoints (</w:t>
      </w:r>
      <w:r w:rsidRPr="00F56683">
        <w:rPr>
          <w:rFonts w:cstheme="minorHAnsi"/>
          <w:color w:val="000000" w:themeColor="text1"/>
        </w:rPr>
        <w:t>morning or evening</w:t>
      </w:r>
      <w:r w:rsidR="00566ED4" w:rsidRPr="00F56683">
        <w:rPr>
          <w:rFonts w:cstheme="minorHAnsi"/>
          <w:color w:val="000000" w:themeColor="text1"/>
        </w:rPr>
        <w:t>, with a washout period in-between.)</w:t>
      </w:r>
      <w:r w:rsidRPr="00F56683">
        <w:rPr>
          <w:rFonts w:cstheme="minorHAnsi"/>
          <w:color w:val="000000" w:themeColor="text1"/>
        </w:rPr>
        <w:t xml:space="preserve"> No effects were found on energy, macro or micronutrient intakes and this was mirrored by no differences in self-reported appetite measures, regardless of timing. Despite evidence </w:t>
      </w:r>
      <w:r w:rsidR="003D635C" w:rsidRPr="00F56683">
        <w:rPr>
          <w:rFonts w:cstheme="minorHAnsi"/>
          <w:color w:val="000000" w:themeColor="text1"/>
        </w:rPr>
        <w:t>suggesting</w:t>
      </w:r>
      <w:r w:rsidRPr="00F56683">
        <w:rPr>
          <w:rFonts w:cstheme="minorHAnsi"/>
          <w:color w:val="000000" w:themeColor="text1"/>
        </w:rPr>
        <w:t xml:space="preserve"> decreased energy intake </w:t>
      </w:r>
      <w:r w:rsidR="003D635C" w:rsidRPr="00F56683">
        <w:rPr>
          <w:rFonts w:cstheme="minorHAnsi"/>
          <w:color w:val="000000" w:themeColor="text1"/>
        </w:rPr>
        <w:t>is</w:t>
      </w:r>
      <w:r w:rsidRPr="00F56683">
        <w:rPr>
          <w:rFonts w:cstheme="minorHAnsi"/>
          <w:color w:val="000000" w:themeColor="text1"/>
        </w:rPr>
        <w:t xml:space="preserve"> not always observed, many of the studies which have investigated this have been acute. Oberoi et al</w:t>
      </w:r>
      <w:r w:rsidR="00566ED4"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{"citationItems":[{"id":"ITEM-1","itemData":{"DOI":"10.1038/s41387-020-00139-8","ISSN":"2044-4052","PMID":"33004790","abstract":"Obesity is becoming more prevalent in older people. A management strategy in obese, young adults is to increase dietary protein relative to other macronutrients. It is not clear if this is effective in obese, older individuals. Obesity may be associated with diminished sensitivity to nutrients. We have reported that a 30-g whey protein drink slows gastric emptying more, and suppresses energy intake less, in older, than younger, non-obese men. The aim of this study was to determine the effect of a 30 g whey protein drink on energy intake, GE and glycaemia in obese, older and younger men. In randomized, double-blind order, 10 younger (age: 27 ± 2 years; BMI: 36 ± 2 kg/m²), and 10 older (72 ± 1 years; 33 ± 1 kg/m²), obese men were studied twice. After an overnight fast, subjects ingested a test drink containing 30 g whey protein (120 kcal) or control (2 kcal). Postprandial gastric emptying (antral area, 2D Ultrasound) and blood glucose concentrations were measured for 180 min. At t = 180 min subjects were given a buffet meal and ad libitum energy intake was assessed. Older subjects ate non-significantly less (~20%) that the younger subjects (effect of age, P = 0.16). Whey protein had no effect on subsequent energy intake (kcal) compared to control in either the younger (decrease 3 ± 8%) or older (decrease 2 ± 8%) obese men (age effect P &amp;gt; 0.05, protein effect P = 0.46, age × protein interaction effect P = 0.84). Whey protein slowed gastric emptying, to a similar degree in both age groups (50% emptying time: control vs. protein young men: 255 ± 5 min vs. 40 ± 7 min; older men: 16 ± 5 min vs. 50 ± 8 min; protein effect P = 0.001, age effect P = 0.93, age × protein interaction effect P = 0.13). Our data suggest that obesity may blunt/abolish the age-related effect of whey protein on suppression of energy intake.","author":[{"dropping-particle":"","family":"Oberoi","given":"Avneet","non-dropping-particle":"","parse-names":false,"suffix":""},{"dropping-particle":"","family":"Giezenaar","given":"Caroline","non-dropping-particle":"","parse-names":false,"suffix":""},{"dropping-particle":"","family":"Jensen","given":"Caroline","non-dropping-particle":"","parse-names":false,"suffix":""},{"dropping-particle":"","family":"Lange","given":"Kylie","non-dropping-particle":"","parse-names":false,"suffix":""},{"dropping-particle":"","family":"Hausken","given":"Trygve","non-dropping-particle":"","parse-names":false,"suffix":""},{"dropping-particle":"","family":"Jones","given":"Karen L.","non-dropping-particle":"","parse-names":false,"suffix":""},{"dropping-particle":"","family":"Horowitz","given":"Michael","non-dropping-particle":"","parse-names":false,"suffix":""},{"dropping-particle":"","family":"Chapman","given":"Ian","non-dropping-particle":"","parse-names":false,"suffix":""},{"dropping-particle":"","family":"Soenen","given":"Stijn","non-dropping-particle":"","parse-names":false,"suffix":""}],"container-title":"Nutrition &amp; Diabetes 2020 10:1","id":"ITEM-1","issue":"1","issued":{"date-parts":[["2020","10","2"]]},"page":"1-9","publisher":"Nature Publishing Group","title":"Acute effects of whey protein on energy intake, appetite and gastric emptying in younger and older, obese men","type":"article-journal","volume":"10"},"uris":["http://www.mendeley.com/documents/?uuid=2eb5efbb-a9f4-3439-ab31-85f67cf0c6b0"]}],"mendeley":{"formattedCitation":"(155)","plainTextFormattedCitation":"(155)","previouslyFormattedCitation":"(155)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(155)</w:t>
      </w:r>
      <w:r w:rsidRPr="00F56683">
        <w:rPr>
          <w:rFonts w:cstheme="minorHAnsi"/>
          <w:color w:val="000000" w:themeColor="text1"/>
        </w:rPr>
        <w:fldChar w:fldCharType="end"/>
      </w:r>
      <w:r w:rsidRPr="00F56683">
        <w:rPr>
          <w:rFonts w:cstheme="minorHAnsi"/>
          <w:color w:val="000000" w:themeColor="text1"/>
        </w:rPr>
        <w:t xml:space="preserve"> aimed to observe the effects of a 30g whey drink (395kcal) on energy intake, </w:t>
      </w:r>
      <w:r w:rsidRPr="00F56683">
        <w:rPr>
          <w:rFonts w:cstheme="minorHAnsi"/>
          <w:color w:val="000000" w:themeColor="text1"/>
        </w:rPr>
        <w:lastRenderedPageBreak/>
        <w:t>appetite and gastric emptying in younger (aged 27 ± 2 years) and older (age 72 ± 1 year) obese men. Appetite and assessment of gastrointestinal symptoms were assessed using VAS questionnaires. To study energy intakes, participants were presented with a cold buffet-style meal 180 minutes after drink consumption and instructed to eat until fully comfortable. There was no difference in the amount of energy consumed after the protein drink</w:t>
      </w:r>
      <w:r w:rsidR="00566ED4" w:rsidRPr="00F56683">
        <w:rPr>
          <w:rFonts w:cstheme="minorHAnsi"/>
          <w:color w:val="000000" w:themeColor="text1"/>
        </w:rPr>
        <w:t>,</w:t>
      </w:r>
      <w:r w:rsidRPr="00F56683">
        <w:rPr>
          <w:rFonts w:cstheme="minorHAnsi"/>
          <w:color w:val="000000" w:themeColor="text1"/>
        </w:rPr>
        <w:t xml:space="preserve"> compared to </w:t>
      </w:r>
      <w:r w:rsidR="00A627D9" w:rsidRPr="00F56683">
        <w:rPr>
          <w:rFonts w:cstheme="minorHAnsi"/>
          <w:color w:val="000000" w:themeColor="text1"/>
        </w:rPr>
        <w:t xml:space="preserve">the </w:t>
      </w:r>
      <w:r w:rsidRPr="00F56683">
        <w:rPr>
          <w:rFonts w:cstheme="minorHAnsi"/>
          <w:color w:val="000000" w:themeColor="text1"/>
        </w:rPr>
        <w:t>control, in either younger (control 1173 ± 130 kcal vs. protein 1114 ± 124 kcal) or older (control 926 ± 99 kcal vs. protein 892 ± 127 kcal) men. They only studied the subjects twice and all participants were male. When lean males were investigated, using a similar protocol by the same research group, it was found th</w:t>
      </w:r>
      <w:r w:rsidR="00A627D9" w:rsidRPr="00F56683">
        <w:rPr>
          <w:rFonts w:cstheme="minorHAnsi"/>
          <w:color w:val="000000" w:themeColor="text1"/>
        </w:rPr>
        <w:t>at</w:t>
      </w:r>
      <w:r w:rsidRPr="00F56683">
        <w:rPr>
          <w:rFonts w:cstheme="minorHAnsi"/>
          <w:color w:val="000000" w:themeColor="text1"/>
        </w:rPr>
        <w:t xml:space="preserve"> whey drinks did suppress appetite in the younger individuals but not in the older individuals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{"citationItems":[{"id":"ITEM-1","itemData":{"DOI":"10.1152/AJPREGU.00213.2015","ISSN":"1522-1490","PMID":"26290103","abstract":"Protein-rich supplements are used widely for the management of malnutrition in young and older people. Protein is the most satiating of the macronutrients in young. It is not known how the effects of oral protein ingestion on energy intake, appetite, and gastric emptying are modified by age. The aim of the study was to determine the suppression of energy intake by protein compared with control and underlying gastric-emptying and appetite responses of oral whey protein drinks in eight healthy older men (69-80 yr) compared with eight young male controls (18-34 yr). Subjects were studied on three occasions to determine the effects of protein loads of 30 g/120 kcal and 70 g/280 kcal compared with a flavored water control-drink (0 g whey protein) on energy intake (ad libitum buffet-style meal), and gastric emptying (three-dimensional-ultrasonography) and appetite (0-180 min) in a randomized, double-blind, cross-over design. Energy intake was suppressed by the protein compared with control (P = 0.034). Suppression of energy intake by protein was less in older men (1 ± 5%) than in young controls (15 ± 2%; P= 0.008). Cumulative energy intake (meal+drink) on the protein drink days compared with the control day increased more in older (18 ± 6%) men than young (1 ± 3%) controls (P = 0.008). Gastric emptying of all three drinks was slower in older men (50% gastric-emptying time: 68 ± 5 min) than young controls (36 ± 5 min; P= 0.007). Appetite decreased in young, while it increased in older (P &lt; 0.05). In summary, despite having slower gastric emptying, elderly men exhibited blunted protein-induced suppression of energy intake by whey protein compared with young controls, so that in the elderly men, protein ingestion increased overall energy intake more than in the young men.","author":[{"dropping-particle":"","family":"Giezenaar","given":"Caroline","non-dropping-particle":"","parse-names":false,"suffix":""},{"dropping-particle":"","family":"Trahair","given":"Laurence G.","non-dropping-particle":"","parse-names":false,"suffix":""},{"dropping-particle":"","family":"Rigda","given":"Rachael","non-dropping-particle":"","parse-names":false,"suffix":""},{"dropping-particle":"","family":"Hutchison","given":"Amy T.","non-dropping-particle":"","parse-names":false,"suffix":""},{"dropping-particle":"","family":"Feinle-Bisset","given":"Christine","non-dropping-particle":"","parse-names":false,"suffix":""},{"dropping-particle":"","family":"Luscombe-Marsh","given":"Natalie D.","non-dropping-particle":"","parse-names":false,"suffix":""},{"dropping-particle":"","family":"Hausken","given":"Trygve","non-dropping-particle":"","parse-names":false,"suffix":""},{"dropping-particle":"","family":"Jones","given":"Karen L.","non-dropping-particle":"","parse-names":false,"suffix":""},{"dropping-particle":"","family":"Horowitz","given":"Michael","non-dropping-particle":"","parse-names":false,"suffix":""},{"dropping-particle":"","family":"Chapman","given":"Ian","non-dropping-particle":"","parse-names":false,"suffix":""},{"dropping-particle":"","family":"Soenen","given":"Stijn","non-dropping-particle":"","parse-names":false,"suffix":""}],"container-title":"American journal of physiology. Regulatory, integrative and comparative physiology","id":"ITEM-1","issue":"8","issued":{"date-parts":[["2015"]]},"page":"R845-R854","publisher":"Am J Physiol Regul Integr Comp Physiol","title":"Lesser suppression of energy intake by orally ingested whey protein in healthy older men compared with young controls","type":"article-journal","volume":"309"},"uris":["http://www.mendeley.com/documents/?uuid=6bb4702d-3e66-327a-a75a-58c801099c2d"]}],"mendeley":{"formattedCitation":"(156)","plainTextFormattedCitation":"(156)","previouslyFormattedCitation":"(156)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(156)</w:t>
      </w:r>
      <w:r w:rsidRPr="00F56683">
        <w:rPr>
          <w:rFonts w:cstheme="minorHAnsi"/>
          <w:color w:val="000000" w:themeColor="text1"/>
        </w:rPr>
        <w:fldChar w:fldCharType="end"/>
      </w:r>
      <w:r w:rsidRPr="00F56683">
        <w:rPr>
          <w:rFonts w:cstheme="minorHAnsi"/>
          <w:color w:val="000000" w:themeColor="text1"/>
        </w:rPr>
        <w:t xml:space="preserve">. This evidence suggests that older adults may be less responsive to protein’s satiating properties. Declines in hunger and appetite in older adults is termed anorexia of ageing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{"citationItems":[{"id":"ITEM-1","itemData":{"DOI":"10.3390/nu8020069","ISSN":"20726643","abstract":"© 2016 by the authors; licensee MDPI, Basel, Switzerland. Older people frequently fail to ingest adequate amount of food to meet their essential energy and nutrient requirements. Anorexia of aging, defined by decrease in appetite and/or food intake in old age, is a major contributing factor to under-nutrition and adverse health outcomes in the geriatric population. This disorder is indeed highly prevalent and is recognized as an independent predictor of morbidity and mortality in different clinical settings. Even though anorexia is not an unavoidable consequence of aging, advancing age often promotes its development through various mechanisms. Age-related changes in life-style, disease conditions, as well as social and environmental factors have the potential to directly affect dietary behaviors and nutritional status. In spite of their importance, problems related to food intake and, more generally, nutritional status are seldom attended to in clinical practice. While this may be the result of an “ageist” approach, it should be acknowledged that simple interventions, such as oral nutritional supplementation or modified diets, could meaningfully improve the health status and quality of life of older persons.","author":[{"dropping-particle":"","family":"Landi","given":"Francesco","non-dropping-particle":"","parse-names":false,"suffix":""},{"dropping-particle":"","family":"Calvani","given":"Riccardo","non-dropping-particle":"","parse-names":false,"suffix":""},{"dropping-particle":"","family":"Tosato","given":"Matteo","non-dropping-particle":"","parse-names":false,"suffix":""},{"dropping-particle":"","family":"Martone","given":"Anna Maria","non-dropping-particle":"","parse-names":false,"suffix":""},{"dropping-particle":"","family":"Ortolani","given":"Elena","non-dropping-particle":"","parse-names":false,"suffix":""},{"dropping-particle":"","family":"Savera","given":"Giulia","non-dropping-particle":"","parse-names":false,"suffix":""},{"dropping-particle":"","family":"Sisto","given":"Alex","non-dropping-particle":"","parse-names":false,"suffix":""},{"dropping-particle":"","family":"Marzetti","given":"Emanuele","non-dropping-particle":"","parse-names":false,"suffix":""}],"container-title":"Nutrients","id":"ITEM-1","issued":{"date-parts":[["2016"]]},"title":"Anorexia of aging: Risk factors, consequences, and potential treatments","type":"article"},"uris":["http://www.mendeley.com/documents/?uuid=3ba93c7f-26a8-3f6e-ba2d-dd60a89fc948"]}],"mendeley":{"formattedCitation":"(157)","plainTextFormattedCitation":"(157)","previouslyFormattedCitation":"(157)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(157)</w:t>
      </w:r>
      <w:r w:rsidRPr="00F56683">
        <w:rPr>
          <w:rFonts w:cstheme="minorHAnsi"/>
          <w:color w:val="000000" w:themeColor="text1"/>
        </w:rPr>
        <w:fldChar w:fldCharType="end"/>
      </w:r>
      <w:r w:rsidRPr="00F56683">
        <w:rPr>
          <w:rFonts w:cstheme="minorHAnsi"/>
          <w:color w:val="000000" w:themeColor="text1"/>
        </w:rPr>
        <w:t xml:space="preserve">. Timelines of when this phenomenon kicks in are still relatively unknown. </w:t>
      </w:r>
    </w:p>
    <w:p w14:paraId="27A90191" w14:textId="77777777" w:rsidR="004F4AF8" w:rsidRPr="00F56683" w:rsidRDefault="004F4AF8" w:rsidP="00F42CB9">
      <w:pPr>
        <w:spacing w:line="360" w:lineRule="auto"/>
        <w:rPr>
          <w:rFonts w:cstheme="minorHAnsi"/>
          <w:color w:val="000000" w:themeColor="text1"/>
        </w:rPr>
      </w:pPr>
    </w:p>
    <w:p w14:paraId="19ADDD5D" w14:textId="68E1E137" w:rsidR="004F4AF8" w:rsidRDefault="004F4AF8" w:rsidP="00F42CB9">
      <w:pPr>
        <w:spacing w:line="360" w:lineRule="auto"/>
        <w:rPr>
          <w:rFonts w:cstheme="minorHAnsi"/>
          <w:color w:val="000000" w:themeColor="text1"/>
        </w:rPr>
      </w:pPr>
      <w:r w:rsidRPr="00F56683">
        <w:rPr>
          <w:rFonts w:cstheme="minorHAnsi"/>
          <w:color w:val="000000" w:themeColor="text1"/>
        </w:rPr>
        <w:t xml:space="preserve">A recent systematic review and meta-analysis, which focused on determining the effect of protein supplementation on appetite and/or energy intake included twenty-two studies that provided protein to adults aged 60 years or older (either via supplementation or whole-foods) compared to control/pre-intervention. It was summarised that in acute studies, appetite was suppressed in seven out of twenty-four protein arms when </w:t>
      </w:r>
      <w:r w:rsidR="00A627D9" w:rsidRPr="00F56683">
        <w:rPr>
          <w:rFonts w:cstheme="minorHAnsi"/>
          <w:color w:val="000000" w:themeColor="text1"/>
        </w:rPr>
        <w:t xml:space="preserve">the </w:t>
      </w:r>
      <w:r w:rsidRPr="00F56683">
        <w:rPr>
          <w:rFonts w:cstheme="minorHAnsi"/>
          <w:color w:val="000000" w:themeColor="text1"/>
        </w:rPr>
        <w:t>energy content of the protein supplement was accounted for. Overall total energy intake was not greater in the intervention groups. Furthermore, in longitudinal studies, no detrimental effects on appetite or energy w</w:t>
      </w:r>
      <w:r w:rsidR="00A627D9" w:rsidRPr="00F56683">
        <w:rPr>
          <w:rFonts w:cstheme="minorHAnsi"/>
          <w:color w:val="000000" w:themeColor="text1"/>
        </w:rPr>
        <w:t>ere</w:t>
      </w:r>
      <w:r w:rsidRPr="00F56683">
        <w:rPr>
          <w:rFonts w:cstheme="minorHAnsi"/>
          <w:color w:val="000000" w:themeColor="text1"/>
        </w:rPr>
        <w:t xml:space="preserve"> observed in the protein supplementation group. This suggest</w:t>
      </w:r>
      <w:r w:rsidR="00550788" w:rsidRPr="00F56683">
        <w:rPr>
          <w:rFonts w:cstheme="minorHAnsi"/>
          <w:color w:val="000000" w:themeColor="text1"/>
        </w:rPr>
        <w:t>s</w:t>
      </w:r>
      <w:r w:rsidRPr="00F56683">
        <w:rPr>
          <w:rFonts w:cstheme="minorHAnsi"/>
          <w:color w:val="000000" w:themeColor="text1"/>
        </w:rPr>
        <w:t xml:space="preserve"> that older adults are implicated by protein’s satiating properties to a lesser extent, particularly in the long</w:t>
      </w:r>
      <w:r w:rsidR="00A627D9" w:rsidRPr="00F56683">
        <w:rPr>
          <w:rFonts w:cstheme="minorHAnsi"/>
          <w:color w:val="000000" w:themeColor="text1"/>
        </w:rPr>
        <w:t xml:space="preserve"> </w:t>
      </w:r>
      <w:r w:rsidRPr="00F56683">
        <w:rPr>
          <w:rFonts w:cstheme="minorHAnsi"/>
          <w:color w:val="000000" w:themeColor="text1"/>
        </w:rPr>
        <w:t>term, and as such</w:t>
      </w:r>
      <w:r w:rsidR="00A627D9" w:rsidRPr="00F56683">
        <w:rPr>
          <w:rFonts w:cstheme="minorHAnsi"/>
          <w:color w:val="000000" w:themeColor="text1"/>
        </w:rPr>
        <w:t>,</w:t>
      </w:r>
      <w:r w:rsidRPr="00F56683">
        <w:rPr>
          <w:rFonts w:cstheme="minorHAnsi"/>
          <w:color w:val="000000" w:themeColor="text1"/>
        </w:rPr>
        <w:t xml:space="preserve"> it is acceptable to supplement them with protein, without detrimentally altering their food intakes. Overall, research investigating the appetite</w:t>
      </w:r>
      <w:r w:rsidR="00A627D9" w:rsidRPr="00F56683">
        <w:rPr>
          <w:rFonts w:cstheme="minorHAnsi"/>
          <w:color w:val="000000" w:themeColor="text1"/>
        </w:rPr>
        <w:t>-</w:t>
      </w:r>
      <w:r w:rsidRPr="00F56683">
        <w:rPr>
          <w:rFonts w:cstheme="minorHAnsi"/>
          <w:color w:val="000000" w:themeColor="text1"/>
        </w:rPr>
        <w:t>modifying properties of protein has been sparse in middle-age</w:t>
      </w:r>
      <w:r w:rsidR="00A627D9" w:rsidRPr="00F56683">
        <w:rPr>
          <w:rFonts w:cstheme="minorHAnsi"/>
          <w:color w:val="000000" w:themeColor="text1"/>
        </w:rPr>
        <w:t>d</w:t>
      </w:r>
      <w:r w:rsidRPr="00F56683">
        <w:rPr>
          <w:rFonts w:cstheme="minorHAnsi"/>
          <w:color w:val="000000" w:themeColor="text1"/>
        </w:rPr>
        <w:t xml:space="preserve"> adults</w:t>
      </w:r>
      <w:r w:rsidR="00A627D9" w:rsidRPr="00F56683">
        <w:rPr>
          <w:rFonts w:cstheme="minorHAnsi"/>
          <w:color w:val="000000" w:themeColor="text1"/>
        </w:rPr>
        <w:t>,</w:t>
      </w:r>
      <w:r w:rsidRPr="00F56683">
        <w:rPr>
          <w:rFonts w:cstheme="minorHAnsi"/>
          <w:color w:val="000000" w:themeColor="text1"/>
        </w:rPr>
        <w:t xml:space="preserve"> and it is important to address this to fully understand the possible blunted response phenomenon of </w:t>
      </w:r>
      <w:r w:rsidRPr="00F56683">
        <w:rPr>
          <w:rFonts w:cstheme="minorHAnsi"/>
          <w:color w:val="000000" w:themeColor="text1"/>
          <w:shd w:val="clear" w:color="auto" w:fill="FFFFFF"/>
        </w:rPr>
        <w:t>protein-induced suppression of energy intake</w:t>
      </w:r>
      <w:r w:rsidR="00277FF0"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 as we age</w:t>
      </w:r>
      <w:r w:rsidRPr="00F56683">
        <w:rPr>
          <w:rFonts w:cstheme="minorHAnsi"/>
          <w:color w:val="000000" w:themeColor="text1"/>
        </w:rPr>
        <w:t xml:space="preserve">. Moreover, understanding the impact of protein supplementation on appetite and energy intakes, particularly in the longer term, is needed. </w:t>
      </w:r>
    </w:p>
    <w:p w14:paraId="3C89EAB3" w14:textId="77777777" w:rsidR="003E5B8F" w:rsidRPr="00F56683" w:rsidRDefault="003E5B8F" w:rsidP="00F42CB9">
      <w:pPr>
        <w:spacing w:line="360" w:lineRule="auto"/>
        <w:rPr>
          <w:rFonts w:cstheme="minorHAnsi"/>
          <w:color w:val="000000" w:themeColor="text1"/>
        </w:rPr>
      </w:pPr>
    </w:p>
    <w:p w14:paraId="3E11E96A" w14:textId="77777777" w:rsidR="004F4AF8" w:rsidRPr="00F56683" w:rsidRDefault="004F4AF8" w:rsidP="00F42CB9">
      <w:pPr>
        <w:spacing w:line="360" w:lineRule="auto"/>
        <w:rPr>
          <w:rFonts w:cstheme="minorHAnsi"/>
          <w:color w:val="000000" w:themeColor="text1"/>
        </w:rPr>
      </w:pPr>
    </w:p>
    <w:p w14:paraId="50345CED" w14:textId="0ABDEBB2" w:rsidR="004F4AF8" w:rsidRPr="00F56683" w:rsidRDefault="004F4AF8">
      <w:pPr>
        <w:pStyle w:val="ListParagraph"/>
        <w:numPr>
          <w:ilvl w:val="2"/>
          <w:numId w:val="31"/>
        </w:numPr>
        <w:autoSpaceDE w:val="0"/>
        <w:autoSpaceDN w:val="0"/>
        <w:adjustRightInd w:val="0"/>
        <w:spacing w:line="360" w:lineRule="auto"/>
        <w:rPr>
          <w:rFonts w:cstheme="minorHAnsi"/>
          <w:color w:val="000000" w:themeColor="text1"/>
        </w:rPr>
      </w:pPr>
      <w:r w:rsidRPr="00F56683">
        <w:rPr>
          <w:rFonts w:cstheme="minorHAnsi"/>
          <w:color w:val="000000" w:themeColor="text1"/>
        </w:rPr>
        <w:lastRenderedPageBreak/>
        <w:t>MRC complex intervention design</w:t>
      </w:r>
    </w:p>
    <w:p w14:paraId="03DDCCA3" w14:textId="66C2D192"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The Medical Research Council (MRC) have provided a framework</w:t>
      </w:r>
      <w:r w:rsidR="00200902" w:rsidRPr="00F56683">
        <w:rPr>
          <w:rFonts w:cstheme="minorHAnsi"/>
          <w:color w:val="000000" w:themeColor="text1"/>
        </w:rPr>
        <w:t>, initially developed in 2000,</w:t>
      </w:r>
      <w:r w:rsidRPr="00F56683">
        <w:rPr>
          <w:rFonts w:cstheme="minorHAnsi"/>
          <w:color w:val="000000" w:themeColor="text1"/>
        </w:rPr>
        <w:t xml:space="preserve"> for researchers to aid them in complex intervention design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BMJ.321.7262.694","ISSN":"09598146","PMID":"10987780","author":[{"dropping-particle":"","family":"Campbell","given":"Michelle","non-dropping-particle":"","parse-names":false,"suffix":""},{"dropping-particle":"","family":"Fitzpatrick","given":"Ray","non-dropping-particle":"","parse-names":false,"suffix":""},{"dropping-particle":"","family":"Haines","given":"Andrew","non-dropping-particle":"","parse-names":false,"suffix":""},{"dropping-particle":"","family":"Kinmonth","given":"Ann Louise","non-dropping-particle":"","parse-names":false,"suffix":""},{"dropping-particle":"","family":"Sandercock","given":"Peter","non-dropping-particle":"","parse-names":false,"suffix":""},{"dropping-particle":"","family":"Spiegelhalter","given":"David","non-dropping-particle":"","parse-names":false,"suffix":""},{"dropping-particle":"","family":"Tyrer","given":"Peter","non-dropping-particle":"","parse-names":false,"suffix":""}],"container-title":"BMJ : British Medical Journal","id":"ITEM-1","issue":"7262","issued":{"date-parts":[["2000","9","9"]]},"page":"694","publisher":"BMJ Publishing Group","title":"Framework for design and evaluation of complex interventions to improve health","type":"article-journal","volume":"321"},"uris":["http://www.mendeley.com/documents/?uuid=649aa374-5905-3ffb-a324-b8415774d1cc"]}],"mendeley":{"formattedCitation":"(158)","plainTextFormattedCitation":"(158)","previouslyFormattedCitation":"(158)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(158)</w:t>
      </w:r>
      <w:r w:rsidRPr="00F56683">
        <w:rPr>
          <w:rFonts w:cstheme="minorHAnsi"/>
          <w:color w:val="000000" w:themeColor="text1"/>
        </w:rPr>
        <w:fldChar w:fldCharType="end"/>
      </w:r>
      <w:r w:rsidRPr="00F56683">
        <w:rPr>
          <w:rFonts w:cstheme="minorHAnsi"/>
          <w:color w:val="000000" w:themeColor="text1"/>
        </w:rPr>
        <w:t>. The purpose was to provide a basis for developing and evaluating complex interventions, including conceptual, methodological and theoretical considerations. The most up</w:t>
      </w:r>
      <w:r w:rsidR="00A627D9" w:rsidRPr="00F56683">
        <w:rPr>
          <w:rFonts w:cstheme="minorHAnsi"/>
          <w:color w:val="000000" w:themeColor="text1"/>
        </w:rPr>
        <w:t>-</w:t>
      </w:r>
      <w:r w:rsidRPr="00F56683">
        <w:rPr>
          <w:rFonts w:cstheme="minorHAnsi"/>
          <w:color w:val="000000" w:themeColor="text1"/>
        </w:rPr>
        <w:t>to</w:t>
      </w:r>
      <w:r w:rsidR="00A627D9" w:rsidRPr="00F56683">
        <w:rPr>
          <w:rFonts w:cstheme="minorHAnsi"/>
          <w:color w:val="000000" w:themeColor="text1"/>
        </w:rPr>
        <w:t>-</w:t>
      </w:r>
      <w:r w:rsidRPr="00F56683">
        <w:rPr>
          <w:rFonts w:cstheme="minorHAnsi"/>
          <w:color w:val="000000" w:themeColor="text1"/>
        </w:rPr>
        <w:t xml:space="preserve">date version was published in 2021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{"citationItems":[{"id":"ITEM-1","itemData":{"DOI":"10.1136/BMJ.N2061","ISSN":"1756-1833","PMID":"34593508","abstract":"The UK Medical Research Council’s widely used guidance for developing and evaluating complex interventions has been replaced by a new framework, commissioned jointly by the Medical Research Council and the National Institute for Health Research, which takes account of recent developments in theory and methods and the need to maximise the efficiency, use, and impact of research.\n\nComplex interventions are commonly used in the health and social care services, public health practice, and other areas of social and economic policy that have consequences for health. Such interventions are delivered and evaluated at different levels, from individual to societal levels. Examples include a new surgical procedure, the redesign of a healthcare programme, and a change in welfare policy. The UK Medical Research Council (MRC) published a framework for researchers and research funders on developing and evaluating complex interventions in 2000 and revised guidance in 2006.123 Although these documents continue to be widely used and are now accompanied by a range of more detailed guidance on specific aspects of the research process,45678 several important conceptual, methodological and theoretical developments have taken place since 2006. These developments have been included in a new framework commissioned by the National Institute of Health Research (NIHR) and the MRC.9 The framework aims to help researchers work with other stakeholders to identify the key questions about complex interventions, and to design and conduct research with a diversity of perspectives and appropriate choice of methods.\n\n### Summary points","author":[{"dropping-particle":"","family":"Skivington","given":"Kathryn","non-dropping-particle":"","parse-names":false,"suffix":""},{"dropping-particle":"","family":"Matthews","given":"Lynsay","non-dropping-particle":"","parse-names":false,"suffix":""},{"dropping-particle":"","family":"Simpson","given":"Sharon Anne","non-dropping-particle":"","parse-names":false,"suffix":""},{"dropping-particle":"","family":"Craig","given":"Peter","non-dropping-particle":"","parse-names":false,"suffix":""},{"dropping-particle":"","family":"Baird","given":"Janis","non-dropping-particle":"","parse-names":false,"suffix":""},{"dropping-particle":"","family":"Blazeby","given":"Jane M.","non-dropping-particle":"","parse-names":false,"suffix":""},{"dropping-particle":"","family":"Boyd","given":"Kathleen Anne","non-dropping-particle":"","parse-names":false,"suffix":""},{"dropping-particle":"","family":"Craig","given":"Neil","non-dropping-particle":"","parse-names":false,"suffix":""},{"dropping-particle":"","family":"French","given":"David P.","non-dropping-particle":"","parse-names":false,"suffix":""},{"dropping-particle":"","family":"McIntosh","given":"Emma","non-dropping-particle":"","parse-names":false,"suffix":""},{"dropping-particle":"","family":"Petticrew","given":"Mark","non-dropping-particle":"","parse-names":false,"suffix":""},{"dropping-particle":"","family":"Rycroft-Malone","given":"Jo","non-dropping-particle":"","parse-names":false,"suffix":""},{"dropping-particle":"","family":"White","given":"Martin","non-dropping-particle":"","parse-names":false,"suffix":""},{"dropping-particle":"","family":"Moore","given":"Laurence","non-dropping-particle":"","parse-names":false,"suffix":""}],"container-title":"BMJ","id":"ITEM-1","issued":{"date-parts":[["2021","9","30"]]},"publisher":"British Medical Journal Publishing Group","title":"A new framework for developing and evaluating complex interventions: update of Medical Research Council guidance","type":"article-journal","volume":"374"},"uris":["http://www.mendeley.com/documents/?uuid=29d091ec-00f0-3a79-8323-08cea72dd82f"]}],"mendeley":{"formattedCitation":"(159)","plainTextFormattedCitation":"(159)","previouslyFormattedCitation":"(159)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(159)</w:t>
      </w:r>
      <w:r w:rsidRPr="00F56683">
        <w:rPr>
          <w:rFonts w:cstheme="minorHAnsi"/>
          <w:color w:val="000000" w:themeColor="text1"/>
        </w:rPr>
        <w:fldChar w:fldCharType="end"/>
      </w:r>
      <w:r w:rsidRPr="00F56683">
        <w:rPr>
          <w:rFonts w:cstheme="minorHAnsi"/>
          <w:color w:val="000000" w:themeColor="text1"/>
        </w:rPr>
        <w:t xml:space="preserve"> and offers guidance about engaging stakeholders and increasing</w:t>
      </w:r>
      <w:r w:rsidR="00A627D9" w:rsidRPr="00F56683">
        <w:rPr>
          <w:rFonts w:cstheme="minorHAnsi"/>
          <w:color w:val="000000" w:themeColor="text1"/>
        </w:rPr>
        <w:t xml:space="preserve"> the</w:t>
      </w:r>
      <w:r w:rsidRPr="00F56683">
        <w:rPr>
          <w:rFonts w:cstheme="minorHAnsi"/>
          <w:color w:val="000000" w:themeColor="text1"/>
        </w:rPr>
        <w:t xml:space="preserve"> diversity of research perspectives and appropriate method choices. When designing the protocol, it will be imperative to utilise this framework.  Moreover, the MRC emphasise the importance of assessing the feasibility of a complex intervention study to prevent problem</w:t>
      </w:r>
      <w:r w:rsidR="00A627D9" w:rsidRPr="00F56683">
        <w:rPr>
          <w:rFonts w:cstheme="minorHAnsi"/>
          <w:color w:val="000000" w:themeColor="text1"/>
        </w:rPr>
        <w:t>s</w:t>
      </w:r>
      <w:r w:rsidRPr="00F56683">
        <w:rPr>
          <w:rFonts w:cstheme="minorHAnsi"/>
          <w:color w:val="000000" w:themeColor="text1"/>
        </w:rPr>
        <w:t xml:space="preserve"> arising associated with acceptability, compliance, delivery of the intervention, recruitment and retention, and smaller</w:t>
      </w:r>
      <w:r w:rsidR="00A627D9" w:rsidRPr="00F56683">
        <w:rPr>
          <w:rFonts w:cstheme="minorHAnsi"/>
          <w:color w:val="000000" w:themeColor="text1"/>
        </w:rPr>
        <w:t>-</w:t>
      </w:r>
      <w:r w:rsidRPr="00F56683">
        <w:rPr>
          <w:rFonts w:cstheme="minorHAnsi"/>
          <w:color w:val="000000" w:themeColor="text1"/>
        </w:rPr>
        <w:t>than</w:t>
      </w:r>
      <w:r w:rsidR="00A627D9" w:rsidRPr="00F56683">
        <w:rPr>
          <w:rFonts w:cstheme="minorHAnsi"/>
          <w:color w:val="000000" w:themeColor="text1"/>
        </w:rPr>
        <w:t>-</w:t>
      </w:r>
      <w:r w:rsidRPr="00F56683">
        <w:rPr>
          <w:rFonts w:cstheme="minorHAnsi"/>
          <w:color w:val="000000" w:themeColor="text1"/>
        </w:rPr>
        <w:t xml:space="preserve">expected effect sizes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10.1136/BMJ.A1655","ISSN":"1756-1833","PMID":"18824488","author":[{"dropping-particle":"","family":"Craig","given":"Peter","non-dropping-particle":"","parse-names":false,"suffix":""},{"dropping-particle":"","family":"Dieppe","given":"Paul","non-dropping-particle":"","parse-names":false,"suffix":""},{"dropping-particle":"","family":"Macintyre","given":"Sally","non-dropping-particle":"","parse-names":false,"suffix":""},{"dropping-particle":"","family":"Mitchie","given":"Susan","non-dropping-particle":"","parse-names":false,"suffix":""},{"dropping-particle":"","family":"Nazareth","given":"Irwin","non-dropping-particle":"","parse-names":false,"suffix":""},{"dropping-particle":"","family":"Petticrew","given":"Mark","non-dropping-particle":"","parse-names":false,"suffix":""}],"container-title":"BMJ (Clinical research ed.)","id":"ITEM-1","issue":"7676","issued":{"date-parts":[["2008","10","25"]]},"page":"979-983","publisher":"BMJ","title":"Developing and evaluating complex interventions: the new Medical Research Council guidance","type":"article-journal","volume":"337"},"uris":["http://www.mendeley.com/documents/?uuid=e791203e-8ed1-34e7-9fa7-1e94f0cd24ea"]}],"mendeley":{"formattedCitation":"(160)","plainTextFormattedCitation":"(160)","previouslyFormattedCitation":"(160)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(160)</w:t>
      </w:r>
      <w:r w:rsidRPr="00F56683">
        <w:rPr>
          <w:rFonts w:cstheme="minorHAnsi"/>
          <w:color w:val="000000" w:themeColor="text1"/>
        </w:rPr>
        <w:fldChar w:fldCharType="end"/>
      </w:r>
      <w:r w:rsidRPr="00F56683">
        <w:rPr>
          <w:rFonts w:cstheme="minorHAnsi"/>
          <w:color w:val="000000" w:themeColor="text1"/>
        </w:rPr>
        <w:t>.</w:t>
      </w:r>
    </w:p>
    <w:p w14:paraId="6F004933" w14:textId="77777777" w:rsidR="004F4AF8" w:rsidRPr="00F56683" w:rsidRDefault="004F4AF8" w:rsidP="00F42CB9">
      <w:pPr>
        <w:spacing w:line="360" w:lineRule="auto"/>
        <w:rPr>
          <w:rFonts w:cstheme="minorHAnsi"/>
          <w:color w:val="000000" w:themeColor="text1"/>
        </w:rPr>
      </w:pPr>
    </w:p>
    <w:p w14:paraId="79052E5F" w14:textId="65A37095"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67" w:name="_Toc135384260"/>
      <w:r w:rsidRPr="00F56683">
        <w:rPr>
          <w:rFonts w:asciiTheme="minorHAnsi" w:hAnsiTheme="minorHAnsi" w:cstheme="minorHAnsi"/>
          <w:b/>
          <w:bCs/>
          <w:color w:val="000000" w:themeColor="text1"/>
          <w:sz w:val="24"/>
          <w:szCs w:val="24"/>
        </w:rPr>
        <w:t>1.7 Gaps in the literature:</w:t>
      </w:r>
      <w:bookmarkEnd w:id="67"/>
    </w:p>
    <w:p w14:paraId="56D0F4A9" w14:textId="6157D537"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Most of the research outlined in this review has either been targeted at young-active individuals, particularly males, or older, often vulnerable adults, many of whom have already experienced muscle loss and/or display a sarcopenia phenotype. Healthy younger individuals are likely to respond differently to anabolic stimuli in comparison to other populations. Moreover, work using older adults ignores a preventative approach to combatting muscle loss. The middle-aged adult population is an underrepresented demographic in research, especially women. Undertaking research in the population of interest and for whom an intervention is aimed at benefitting is necessary for assessing if the invention is likely to be effective and thus a possible solution to combating muscle loss. Age is unlikely to be the only consideration for participant selection in trials and counteracting lifestyle risk factors </w:t>
      </w:r>
      <w:r w:rsidR="000B60B9" w:rsidRPr="00F56683">
        <w:rPr>
          <w:rFonts w:cstheme="minorHAnsi"/>
          <w:color w:val="000000" w:themeColor="text1"/>
        </w:rPr>
        <w:t>contributing</w:t>
      </w:r>
      <w:r w:rsidRPr="00F56683">
        <w:rPr>
          <w:rFonts w:cstheme="minorHAnsi"/>
          <w:color w:val="000000" w:themeColor="text1"/>
        </w:rPr>
        <w:t xml:space="preserve"> to sarcopenia onset would be important for prevention. This is likely to include potential protein</w:t>
      </w:r>
      <w:r w:rsidR="000B60B9" w:rsidRPr="00F56683">
        <w:rPr>
          <w:rFonts w:cstheme="minorHAnsi"/>
          <w:color w:val="000000" w:themeColor="text1"/>
        </w:rPr>
        <w:t>-</w:t>
      </w:r>
      <w:r w:rsidRPr="00F56683">
        <w:rPr>
          <w:rFonts w:cstheme="minorHAnsi"/>
          <w:color w:val="000000" w:themeColor="text1"/>
        </w:rPr>
        <w:t>deficient individuals and those who display sedentary lifestyles. Seeking ways to engage the relevant individuals in research, including those from harder</w:t>
      </w:r>
      <w:r w:rsidR="000B60B9" w:rsidRPr="00F56683">
        <w:rPr>
          <w:rFonts w:cstheme="minorHAnsi"/>
          <w:color w:val="000000" w:themeColor="text1"/>
        </w:rPr>
        <w:t>-</w:t>
      </w:r>
      <w:r w:rsidRPr="00F56683">
        <w:rPr>
          <w:rFonts w:cstheme="minorHAnsi"/>
          <w:color w:val="000000" w:themeColor="text1"/>
        </w:rPr>
        <w:t>to</w:t>
      </w:r>
      <w:r w:rsidR="000B60B9" w:rsidRPr="00F56683">
        <w:rPr>
          <w:rFonts w:cstheme="minorHAnsi"/>
          <w:color w:val="000000" w:themeColor="text1"/>
        </w:rPr>
        <w:t>-</w:t>
      </w:r>
      <w:r w:rsidRPr="00F56683">
        <w:rPr>
          <w:rFonts w:cstheme="minorHAnsi"/>
          <w:color w:val="000000" w:themeColor="text1"/>
        </w:rPr>
        <w:t xml:space="preserve">reach demographics must also be carefully considered. </w:t>
      </w:r>
    </w:p>
    <w:p w14:paraId="2946E4DE" w14:textId="77777777" w:rsidR="004F4AF8" w:rsidRPr="00F56683" w:rsidRDefault="004F4AF8" w:rsidP="00F42CB9">
      <w:pPr>
        <w:spacing w:line="360" w:lineRule="auto"/>
        <w:rPr>
          <w:rFonts w:cstheme="minorHAnsi"/>
          <w:color w:val="000000" w:themeColor="text1"/>
        </w:rPr>
      </w:pPr>
    </w:p>
    <w:p w14:paraId="1FC6DA96" w14:textId="1120F723" w:rsidR="004F4AF8" w:rsidRPr="00F56683" w:rsidRDefault="004F4AF8" w:rsidP="00F42CB9">
      <w:pPr>
        <w:spacing w:line="360" w:lineRule="auto"/>
        <w:rPr>
          <w:rFonts w:cstheme="minorHAnsi"/>
          <w:color w:val="000000" w:themeColor="text1"/>
        </w:rPr>
      </w:pPr>
      <w:r w:rsidRPr="00F56683">
        <w:rPr>
          <w:rFonts w:cstheme="minorHAnsi"/>
          <w:color w:val="000000" w:themeColor="text1"/>
        </w:rPr>
        <w:t>It is noticed that often resistance exercise protocols ha</w:t>
      </w:r>
      <w:r w:rsidR="000B60B9" w:rsidRPr="00F56683">
        <w:rPr>
          <w:rFonts w:cstheme="minorHAnsi"/>
          <w:color w:val="000000" w:themeColor="text1"/>
        </w:rPr>
        <w:t>ve</w:t>
      </w:r>
      <w:r w:rsidRPr="00F56683">
        <w:rPr>
          <w:rFonts w:cstheme="minorHAnsi"/>
          <w:color w:val="000000" w:themeColor="text1"/>
        </w:rPr>
        <w:t xml:space="preserve"> been undertaken in gym-based settings and alternative approaches to resistance exercise have been understudied. One possible reason for this may be based on the difficulty of achieving an adequate anabolic stimulus without the use of gym-based machinery and weights. Establishing if resistance </w:t>
      </w:r>
      <w:r w:rsidRPr="00F56683">
        <w:rPr>
          <w:rFonts w:cstheme="minorHAnsi"/>
          <w:color w:val="000000" w:themeColor="text1"/>
        </w:rPr>
        <w:lastRenderedPageBreak/>
        <w:t xml:space="preserve">exercise is possible in home-based settings and/or with limited equipment requires attention. The level of stimulus is likely to be affected by age, training status and baseline fitness level, this is another consideration for participant selection and optimal trial design. </w:t>
      </w:r>
    </w:p>
    <w:p w14:paraId="2ABC8057" w14:textId="0556E301"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Moreover, some of the identified barriers to engaging in physical activity are “lack of time” and “expense”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{"citationItems":[{"id":"ITEM-1","itemData":{"DOI":"10.1007/S11121-021-01328-2/TABLES/4","ISSN":"15736695","PMID":"34800250","abstract":"Strength training (ST) or resistance training is important in the development and maintenance of musculoskeletal and cardiovascular health in women of all ages; however, uptake of ST amongst women is low. To improve female musculoskeletal health, it is vital that more women are encouraged to participate in ST to maintain musculoskeletal integrity. This systematic review aimed to identify motivators and barriers to women initiating and maintaining ST. Following protocol registration and systematic search, studies were included if they were primary qualitative or mixed-method studies reporting participant verbatim quotes, included adult women, and focused on motivators and barriers for ST. Searches generated 2534 articles from 3 databases, with 20 studies (N = 402 participants) meeting eligibility criteria. Participant quotes and authors’ interpretations were analysed using thematic synthesis. The most frequently observed barriers were gender-based stigmas, discouragement, and negative comments, particularly in women currently engaging in ST. Other factors associated with poor adherence included boredom, poor knowledge of ST, poor gym accessibility, lack of supervision or routine, and difficulty in balancing work and family life. Social support from friends and family, words of affirmation, and accompaniment facilitated ST, particularly in older women. Women who saw expected results such as weight loss were motivated to continue ST. Interventions aimed at increasing participation in ST amongst women should focus on the specific benefits valued by women and the dissemination of accurate information to counter misconceptions and increase knowledge. The adaptation of gym environments to make them more welcoming to women, and reduce gender-focused criticism, is especially important.","author":[{"dropping-particle":"","family":"Vasudevan","given":"Aishwarya","non-dropping-particle":"","parse-names":false,"suffix":""},{"dropping-particle":"","family":"Ford","given":"Elizabeth","non-dropping-particle":"","parse-names":false,"suffix":""}],"container-title":"Prevention Science","id":"ITEM-1","issue":"4","issued":{"date-parts":[["2022","5","1"]]},"page":"674-695","publisher":"Springer","title":"Motivational Factors and Barriers Towards Initiating and Maintaining Strength Training in Women: a Systematic Review and Meta-synthesis","type":"article-journal","volume":"23"},"uris":["http://www.mendeley.com/documents/?uuid=5415e740-3aa4-33c6-80ba-6c00667163bd"]}],"mendeley":{"formattedCitation":"(161)","plainTextFormattedCitation":"(161)","previouslyFormattedCitation":"(161)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(161)</w:t>
      </w:r>
      <w:r w:rsidRPr="00F56683">
        <w:rPr>
          <w:rFonts w:cstheme="minorHAnsi"/>
          <w:color w:val="000000" w:themeColor="text1"/>
        </w:rPr>
        <w:fldChar w:fldCharType="end"/>
      </w:r>
      <w:r w:rsidRPr="00F56683">
        <w:rPr>
          <w:rFonts w:cstheme="minorHAnsi"/>
          <w:color w:val="000000" w:themeColor="text1"/>
        </w:rPr>
        <w:t xml:space="preserve"> often associated with attending gym/fitness classes and the travel times/costs associated with these. Home-based programmes may be possible to overcome these difficulties associated with engaging in physical activity. </w:t>
      </w:r>
    </w:p>
    <w:p w14:paraId="1C9446E6" w14:textId="2FBBC034" w:rsidR="004F4AF8" w:rsidRPr="00F56683" w:rsidRDefault="004F4AF8" w:rsidP="00F42CB9">
      <w:pPr>
        <w:spacing w:line="360" w:lineRule="auto"/>
        <w:rPr>
          <w:rFonts w:cstheme="minorHAnsi"/>
          <w:color w:val="000000" w:themeColor="text1"/>
        </w:rPr>
      </w:pPr>
      <w:r w:rsidRPr="00F56683">
        <w:rPr>
          <w:rFonts w:cstheme="minorHAnsi"/>
          <w:color w:val="000000" w:themeColor="text1"/>
        </w:rPr>
        <w:t>The landscape of daily living is constantly evolving</w:t>
      </w:r>
      <w:r w:rsidR="000B60B9" w:rsidRPr="00F56683">
        <w:rPr>
          <w:rFonts w:cstheme="minorHAnsi"/>
          <w:color w:val="000000" w:themeColor="text1"/>
        </w:rPr>
        <w:t>,</w:t>
      </w:r>
      <w:r w:rsidRPr="00F56683">
        <w:rPr>
          <w:rFonts w:cstheme="minorHAnsi"/>
          <w:color w:val="000000" w:themeColor="text1"/>
        </w:rPr>
        <w:t xml:space="preserve"> and research must stay relevant. Technology is advancing and more can be achieved via remote modalities. Moreover, in 2020, the COVID-19 pandemic and lockdown measures forced people to amend their daily routines and rethink their lifestyles. In response to this, research should also be adaptable and reflect the needs of the participants. If this is addressed, it is likely that interventions will be better accepted and adhered to by the participants and thus likely to lead to more scalable intervention designs that could have longer-term benefits. Carrying out appropriate measurements in relation to trial outcomes must be addressed. </w:t>
      </w:r>
    </w:p>
    <w:p w14:paraId="7F70AF5B" w14:textId="77777777" w:rsidR="004F4AF8" w:rsidRPr="00F56683" w:rsidRDefault="004F4AF8" w:rsidP="00F42CB9">
      <w:pPr>
        <w:pStyle w:val="Heading3"/>
        <w:spacing w:line="360" w:lineRule="auto"/>
        <w:rPr>
          <w:rFonts w:asciiTheme="minorHAnsi" w:hAnsiTheme="minorHAnsi" w:cstheme="minorHAnsi"/>
          <w:color w:val="000000" w:themeColor="text1"/>
        </w:rPr>
      </w:pPr>
    </w:p>
    <w:p w14:paraId="2104330B" w14:textId="6EEA53C6"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68" w:name="_Toc135384261"/>
      <w:r w:rsidRPr="00F56683">
        <w:rPr>
          <w:rFonts w:asciiTheme="minorHAnsi" w:hAnsiTheme="minorHAnsi" w:cstheme="minorHAnsi"/>
          <w:b/>
          <w:bCs/>
          <w:color w:val="000000" w:themeColor="text1"/>
          <w:sz w:val="24"/>
          <w:szCs w:val="24"/>
        </w:rPr>
        <w:t>1.8 Rationale for research:</w:t>
      </w:r>
      <w:bookmarkEnd w:id="68"/>
    </w:p>
    <w:p w14:paraId="3926DF93" w14:textId="6497802D" w:rsidR="004F4AF8" w:rsidRPr="00F56683" w:rsidRDefault="004F4AF8" w:rsidP="00F42CB9">
      <w:pPr>
        <w:spacing w:line="360" w:lineRule="auto"/>
        <w:rPr>
          <w:rFonts w:cstheme="minorHAnsi"/>
          <w:color w:val="000000" w:themeColor="text1"/>
        </w:rPr>
        <w:sectPr w:rsidR="004F4AF8" w:rsidRPr="00F56683" w:rsidSect="00497F4A">
          <w:pgSz w:w="11900" w:h="16840"/>
          <w:pgMar w:top="1440" w:right="1440" w:bottom="1440" w:left="1440" w:header="708" w:footer="708" w:gutter="0"/>
          <w:cols w:space="708"/>
          <w:docGrid w:linePitch="360"/>
        </w:sectPr>
      </w:pPr>
      <w:r w:rsidRPr="00F56683">
        <w:rPr>
          <w:rFonts w:cstheme="minorHAnsi"/>
          <w:color w:val="000000" w:themeColor="text1"/>
        </w:rPr>
        <w:t>It is the aim of this PhD research to ultimately design a protocol for an intervention strategy that is effective, accepted and scalable for preventing muscle loss. The intervention will include a resistance ex</w:t>
      </w:r>
      <w:r w:rsidR="00550788" w:rsidRPr="00F56683">
        <w:rPr>
          <w:rFonts w:cstheme="minorHAnsi"/>
          <w:color w:val="000000" w:themeColor="text1"/>
        </w:rPr>
        <w:t>er</w:t>
      </w:r>
      <w:r w:rsidRPr="00F56683">
        <w:rPr>
          <w:rFonts w:cstheme="minorHAnsi"/>
          <w:color w:val="000000" w:themeColor="text1"/>
        </w:rPr>
        <w:t>cise component that does not need to be undertaken in a gym setting but still achieves an anabolic stimulus. This will also fit into the digital-health space as digital platforms with be used to deliver the workout programme. The intervention will be multi-component in nature as it will also include a nutrition component. For this, supplementation strategies including dose, form and timing will be considered. Moreover, it will be the aim to target the intervention at a relevant population who are at high-risk for sarcopenia in later life.</w:t>
      </w:r>
    </w:p>
    <w:p w14:paraId="235BD52F" w14:textId="574148B4" w:rsidR="004F4AF8" w:rsidRPr="00F56683" w:rsidRDefault="004F4AF8" w:rsidP="00F42CB9">
      <w:pPr>
        <w:pStyle w:val="Heading1"/>
        <w:spacing w:line="360" w:lineRule="auto"/>
        <w:rPr>
          <w:rFonts w:asciiTheme="minorHAnsi" w:hAnsiTheme="minorHAnsi" w:cstheme="minorHAnsi"/>
          <w:color w:val="000000" w:themeColor="text1"/>
          <w:sz w:val="24"/>
          <w:szCs w:val="24"/>
        </w:rPr>
      </w:pPr>
      <w:r w:rsidRPr="00F56683">
        <w:rPr>
          <w:rFonts w:asciiTheme="minorHAnsi" w:hAnsiTheme="minorHAnsi" w:cstheme="minorHAnsi"/>
          <w:color w:val="000000" w:themeColor="text1"/>
          <w:sz w:val="24"/>
          <w:szCs w:val="24"/>
        </w:rPr>
        <w:lastRenderedPageBreak/>
        <w:t xml:space="preserve"> </w:t>
      </w:r>
      <w:bookmarkStart w:id="69" w:name="_Toc135384262"/>
      <w:r w:rsidRPr="00F56683">
        <w:rPr>
          <w:rFonts w:asciiTheme="minorHAnsi" w:hAnsiTheme="minorHAnsi" w:cstheme="minorHAnsi"/>
          <w:color w:val="000000" w:themeColor="text1"/>
          <w:sz w:val="24"/>
          <w:szCs w:val="24"/>
        </w:rPr>
        <w:t>Chapter 2: Aims and Objectives</w:t>
      </w:r>
      <w:bookmarkEnd w:id="69"/>
    </w:p>
    <w:p w14:paraId="150E2A31" w14:textId="415CD6B3"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70" w:name="_Toc135384263"/>
      <w:r w:rsidRPr="00F56683">
        <w:rPr>
          <w:rFonts w:asciiTheme="minorHAnsi" w:hAnsiTheme="minorHAnsi" w:cstheme="minorHAnsi"/>
          <w:b/>
          <w:bCs/>
          <w:color w:val="000000" w:themeColor="text1"/>
          <w:sz w:val="24"/>
          <w:szCs w:val="24"/>
        </w:rPr>
        <w:t>2.1 Aim:</w:t>
      </w:r>
      <w:bookmarkEnd w:id="70"/>
      <w:r w:rsidRPr="00F56683">
        <w:rPr>
          <w:rFonts w:asciiTheme="minorHAnsi" w:hAnsiTheme="minorHAnsi" w:cstheme="minorHAnsi"/>
          <w:b/>
          <w:bCs/>
          <w:color w:val="000000" w:themeColor="text1"/>
          <w:sz w:val="24"/>
          <w:szCs w:val="24"/>
        </w:rPr>
        <w:t xml:space="preserve"> </w:t>
      </w:r>
    </w:p>
    <w:p w14:paraId="5B756387" w14:textId="5669EB4A" w:rsidR="004F4AF8" w:rsidRPr="00F56683" w:rsidRDefault="004F4AF8" w:rsidP="00F42CB9">
      <w:pPr>
        <w:spacing w:line="360" w:lineRule="auto"/>
        <w:rPr>
          <w:rFonts w:cstheme="minorHAnsi"/>
          <w:color w:val="000000" w:themeColor="text1"/>
        </w:rPr>
      </w:pPr>
      <w:bookmarkStart w:id="71" w:name="_Toc123652399"/>
      <w:r w:rsidRPr="00F56683">
        <w:rPr>
          <w:rFonts w:cstheme="minorHAnsi"/>
          <w:color w:val="000000" w:themeColor="text1"/>
        </w:rPr>
        <w:t>To explore factors that need to be considered in the development and implementation of a protein and exercise intervention trial and utilise these to design an intervention protocol targeted at preventing muscle loss and is deliverable remotely to middle-age</w:t>
      </w:r>
      <w:r w:rsidR="000B60B9" w:rsidRPr="00F56683">
        <w:rPr>
          <w:rFonts w:cstheme="minorHAnsi"/>
          <w:color w:val="000000" w:themeColor="text1"/>
        </w:rPr>
        <w:t>d</w:t>
      </w:r>
      <w:r w:rsidRPr="00F56683">
        <w:rPr>
          <w:rFonts w:cstheme="minorHAnsi"/>
          <w:color w:val="000000" w:themeColor="text1"/>
        </w:rPr>
        <w:t xml:space="preserve"> adults.</w:t>
      </w:r>
      <w:bookmarkEnd w:id="71"/>
    </w:p>
    <w:p w14:paraId="4178280E" w14:textId="77777777" w:rsidR="004F4AF8" w:rsidRPr="00F56683" w:rsidRDefault="004F4AF8" w:rsidP="00F42CB9">
      <w:pPr>
        <w:spacing w:line="360" w:lineRule="auto"/>
        <w:rPr>
          <w:rFonts w:cstheme="minorHAnsi"/>
          <w:color w:val="000000" w:themeColor="text1"/>
        </w:rPr>
      </w:pPr>
    </w:p>
    <w:p w14:paraId="39A57E26"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This aim will be achieved by:</w:t>
      </w:r>
    </w:p>
    <w:p w14:paraId="1CE54236" w14:textId="77777777" w:rsidR="004F4AF8" w:rsidRPr="00F56683" w:rsidRDefault="004F4AF8" w:rsidP="00F42CB9">
      <w:pPr>
        <w:pStyle w:val="ListParagraph"/>
        <w:numPr>
          <w:ilvl w:val="0"/>
          <w:numId w:val="1"/>
        </w:numPr>
        <w:spacing w:line="360" w:lineRule="auto"/>
        <w:rPr>
          <w:rFonts w:cstheme="minorHAnsi"/>
          <w:color w:val="000000" w:themeColor="text1"/>
        </w:rPr>
      </w:pPr>
      <w:r w:rsidRPr="00F56683">
        <w:rPr>
          <w:rFonts w:cstheme="minorHAnsi"/>
          <w:color w:val="000000" w:themeColor="text1"/>
        </w:rPr>
        <w:t>Developing tools to optimise participant selection for trial inclusion.</w:t>
      </w:r>
    </w:p>
    <w:p w14:paraId="2229D342" w14:textId="77777777" w:rsidR="004F4AF8" w:rsidRPr="00F56683" w:rsidRDefault="004F4AF8" w:rsidP="00F42CB9">
      <w:pPr>
        <w:pStyle w:val="ListParagraph"/>
        <w:numPr>
          <w:ilvl w:val="0"/>
          <w:numId w:val="1"/>
        </w:numPr>
        <w:spacing w:line="360" w:lineRule="auto"/>
        <w:rPr>
          <w:rFonts w:cstheme="minorHAnsi"/>
          <w:color w:val="000000" w:themeColor="text1"/>
        </w:rPr>
      </w:pPr>
      <w:r w:rsidRPr="00F56683">
        <w:rPr>
          <w:rFonts w:cstheme="minorHAnsi"/>
          <w:color w:val="000000" w:themeColor="text1"/>
        </w:rPr>
        <w:t>Designing and conducting a feasibility trial to test the application of a multiple-intervention regime.</w:t>
      </w:r>
    </w:p>
    <w:p w14:paraId="399A42F3" w14:textId="3BF6DF66" w:rsidR="004F4AF8" w:rsidRPr="00F56683" w:rsidRDefault="004F4AF8" w:rsidP="00F42CB9">
      <w:pPr>
        <w:pStyle w:val="ListParagraph"/>
        <w:numPr>
          <w:ilvl w:val="0"/>
          <w:numId w:val="1"/>
        </w:numPr>
        <w:spacing w:line="360" w:lineRule="auto"/>
        <w:rPr>
          <w:rFonts w:cstheme="minorHAnsi"/>
          <w:color w:val="000000" w:themeColor="text1"/>
        </w:rPr>
      </w:pPr>
      <w:r w:rsidRPr="00F56683">
        <w:rPr>
          <w:rFonts w:cstheme="minorHAnsi"/>
          <w:color w:val="000000" w:themeColor="text1"/>
        </w:rPr>
        <w:t>Draw</w:t>
      </w:r>
      <w:r w:rsidR="00A51D90" w:rsidRPr="00F56683">
        <w:rPr>
          <w:rFonts w:cstheme="minorHAnsi"/>
          <w:color w:val="000000" w:themeColor="text1"/>
        </w:rPr>
        <w:t>ing</w:t>
      </w:r>
      <w:r w:rsidRPr="00F56683">
        <w:rPr>
          <w:rFonts w:cstheme="minorHAnsi"/>
          <w:color w:val="000000" w:themeColor="text1"/>
        </w:rPr>
        <w:t xml:space="preserve"> insights together to construct a protocol for a large-scale randomised control trial aimed at preventing muscle loss (linked to Sarcopenia onset). </w:t>
      </w:r>
    </w:p>
    <w:p w14:paraId="6E07320D" w14:textId="77777777" w:rsidR="004F4AF8" w:rsidRPr="00F56683" w:rsidRDefault="004F4AF8" w:rsidP="00F42CB9">
      <w:pPr>
        <w:spacing w:line="360" w:lineRule="auto"/>
        <w:rPr>
          <w:rFonts w:cstheme="minorHAnsi"/>
          <w:color w:val="000000" w:themeColor="text1"/>
        </w:rPr>
      </w:pPr>
    </w:p>
    <w:p w14:paraId="25180B65" w14:textId="2A388EB2"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72" w:name="_Toc135384264"/>
      <w:r w:rsidRPr="00F56683">
        <w:rPr>
          <w:rFonts w:asciiTheme="minorHAnsi" w:hAnsiTheme="minorHAnsi" w:cstheme="minorHAnsi"/>
          <w:b/>
          <w:bCs/>
          <w:color w:val="000000" w:themeColor="text1"/>
          <w:sz w:val="24"/>
          <w:szCs w:val="24"/>
        </w:rPr>
        <w:t>2.2 Objectives:</w:t>
      </w:r>
      <w:bookmarkEnd w:id="72"/>
    </w:p>
    <w:p w14:paraId="2679E01C" w14:textId="4138AAF6" w:rsidR="004F4AF8" w:rsidRPr="00F56683" w:rsidRDefault="004F4AF8" w:rsidP="00F42CB9">
      <w:pPr>
        <w:pStyle w:val="ListParagraph"/>
        <w:numPr>
          <w:ilvl w:val="0"/>
          <w:numId w:val="2"/>
        </w:numPr>
        <w:spacing w:line="360" w:lineRule="auto"/>
        <w:rPr>
          <w:rFonts w:cstheme="minorHAnsi"/>
          <w:color w:val="000000" w:themeColor="text1"/>
        </w:rPr>
      </w:pPr>
      <w:r w:rsidRPr="00F56683">
        <w:rPr>
          <w:rFonts w:cstheme="minorHAnsi"/>
          <w:color w:val="000000" w:themeColor="text1"/>
        </w:rPr>
        <w:t>To adapt and validate a protein screener tool for use in a UK population which can be used to identify participants with low protein intakes (chapter 3.)</w:t>
      </w:r>
    </w:p>
    <w:p w14:paraId="2C97516A" w14:textId="77777777" w:rsidR="004F4AF8" w:rsidRPr="00F56683" w:rsidRDefault="004F4AF8" w:rsidP="00F42CB9">
      <w:pPr>
        <w:pStyle w:val="ListParagraph"/>
        <w:numPr>
          <w:ilvl w:val="0"/>
          <w:numId w:val="2"/>
        </w:numPr>
        <w:spacing w:line="360" w:lineRule="auto"/>
        <w:rPr>
          <w:rFonts w:cstheme="minorHAnsi"/>
          <w:color w:val="000000" w:themeColor="text1"/>
        </w:rPr>
      </w:pPr>
      <w:r w:rsidRPr="00F56683">
        <w:rPr>
          <w:rFonts w:cstheme="minorHAnsi"/>
          <w:color w:val="000000" w:themeColor="text1"/>
        </w:rPr>
        <w:t>To assess further factors which may aid with target group identification for trial selection, including lifestyle factors, such as demographic characteristics, habitual diets, resistance exercise engagement and protein knowledge (chapter 4.)</w:t>
      </w:r>
    </w:p>
    <w:p w14:paraId="441B0EAC" w14:textId="3603820C" w:rsidR="004F4AF8" w:rsidRPr="00F56683" w:rsidRDefault="004F4AF8" w:rsidP="00F42CB9">
      <w:pPr>
        <w:pStyle w:val="ListParagraph"/>
        <w:numPr>
          <w:ilvl w:val="0"/>
          <w:numId w:val="2"/>
        </w:numPr>
        <w:spacing w:line="360" w:lineRule="auto"/>
        <w:rPr>
          <w:rFonts w:cstheme="minorHAnsi"/>
          <w:color w:val="000000" w:themeColor="text1"/>
        </w:rPr>
      </w:pPr>
      <w:r w:rsidRPr="00F56683">
        <w:rPr>
          <w:rFonts w:cstheme="minorHAnsi"/>
          <w:color w:val="000000" w:themeColor="text1"/>
        </w:rPr>
        <w:t>To design and implement a feasibility study for a remotely-delivered exercise and nutrition intervention trial in middle-age</w:t>
      </w:r>
      <w:r w:rsidR="000B60B9" w:rsidRPr="00F56683">
        <w:rPr>
          <w:rFonts w:cstheme="minorHAnsi"/>
          <w:color w:val="000000" w:themeColor="text1"/>
        </w:rPr>
        <w:t>d</w:t>
      </w:r>
      <w:r w:rsidRPr="00F56683">
        <w:rPr>
          <w:rFonts w:cstheme="minorHAnsi"/>
          <w:color w:val="000000" w:themeColor="text1"/>
        </w:rPr>
        <w:t xml:space="preserve"> adults, combining protein supplementation intervention and physical activity  (chapter 5.)</w:t>
      </w:r>
    </w:p>
    <w:p w14:paraId="5D0EBB0B" w14:textId="77777777" w:rsidR="004F4AF8" w:rsidRPr="00F56683" w:rsidRDefault="004F4AF8" w:rsidP="00F42CB9">
      <w:pPr>
        <w:pStyle w:val="ListParagraph"/>
        <w:numPr>
          <w:ilvl w:val="0"/>
          <w:numId w:val="2"/>
        </w:numPr>
        <w:spacing w:line="360" w:lineRule="auto"/>
        <w:rPr>
          <w:rFonts w:cstheme="minorHAnsi"/>
          <w:color w:val="000000" w:themeColor="text1"/>
        </w:rPr>
      </w:pPr>
      <w:r w:rsidRPr="00F56683">
        <w:rPr>
          <w:rFonts w:cstheme="minorHAnsi"/>
          <w:color w:val="000000" w:themeColor="text1"/>
        </w:rPr>
        <w:t>To conduct quantitative and qualitative analysis to assess the primary outcomes of the feasibility trial, including adherence, acceptability and tolerance (chapter 5.)</w:t>
      </w:r>
    </w:p>
    <w:p w14:paraId="55ED17AD" w14:textId="1B0AA797" w:rsidR="004F4AF8" w:rsidRPr="00F56683" w:rsidRDefault="004F4AF8" w:rsidP="00F42CB9">
      <w:pPr>
        <w:pStyle w:val="ListParagraph"/>
        <w:numPr>
          <w:ilvl w:val="0"/>
          <w:numId w:val="2"/>
        </w:numPr>
        <w:spacing w:line="360" w:lineRule="auto"/>
        <w:rPr>
          <w:rFonts w:cstheme="minorHAnsi"/>
          <w:color w:val="000000" w:themeColor="text1"/>
        </w:rPr>
      </w:pPr>
      <w:r w:rsidRPr="00F56683">
        <w:rPr>
          <w:rFonts w:cstheme="minorHAnsi"/>
          <w:color w:val="000000" w:themeColor="text1"/>
        </w:rPr>
        <w:t>To construct a protocol for carrying out a randomised control trial consisting of a resistance</w:t>
      </w:r>
      <w:r w:rsidR="000B60B9" w:rsidRPr="00F56683">
        <w:rPr>
          <w:rFonts w:cstheme="minorHAnsi"/>
          <w:color w:val="000000" w:themeColor="text1"/>
        </w:rPr>
        <w:t xml:space="preserve"> </w:t>
      </w:r>
      <w:r w:rsidRPr="00F56683">
        <w:rPr>
          <w:rFonts w:cstheme="minorHAnsi"/>
          <w:color w:val="000000" w:themeColor="text1"/>
        </w:rPr>
        <w:t>exercise and protein intervention based on previous findings, including determining sample sizes (chapter 6.)</w:t>
      </w:r>
    </w:p>
    <w:p w14:paraId="64353A55" w14:textId="77777777" w:rsidR="00D268FF" w:rsidRPr="00F56683" w:rsidRDefault="00D268FF" w:rsidP="00F42CB9">
      <w:pPr>
        <w:spacing w:line="360" w:lineRule="auto"/>
        <w:rPr>
          <w:rFonts w:cstheme="minorHAnsi"/>
          <w:color w:val="000000" w:themeColor="text1"/>
        </w:rPr>
      </w:pPr>
    </w:p>
    <w:p w14:paraId="0287A7A9" w14:textId="77777777" w:rsidR="00D268FF" w:rsidRPr="00F56683" w:rsidRDefault="00D268FF" w:rsidP="00F42CB9">
      <w:pPr>
        <w:spacing w:line="360" w:lineRule="auto"/>
        <w:rPr>
          <w:rFonts w:cstheme="minorHAnsi"/>
          <w:color w:val="000000" w:themeColor="text1"/>
        </w:rPr>
      </w:pPr>
    </w:p>
    <w:p w14:paraId="2937C02F" w14:textId="77777777" w:rsidR="00D268FF" w:rsidRPr="00F56683" w:rsidRDefault="00D268FF" w:rsidP="00F42CB9">
      <w:pPr>
        <w:pStyle w:val="Heading2"/>
        <w:spacing w:line="360" w:lineRule="auto"/>
        <w:rPr>
          <w:rFonts w:asciiTheme="minorHAnsi" w:hAnsiTheme="minorHAnsi" w:cstheme="minorHAnsi"/>
          <w:b/>
          <w:bCs/>
          <w:color w:val="000000" w:themeColor="text1"/>
          <w:sz w:val="24"/>
          <w:szCs w:val="24"/>
        </w:rPr>
      </w:pPr>
    </w:p>
    <w:p w14:paraId="5AD490FC" w14:textId="06D208E0" w:rsidR="00D268FF" w:rsidRPr="00F56683" w:rsidRDefault="00D268FF" w:rsidP="00F42CB9">
      <w:pPr>
        <w:pStyle w:val="Heading2"/>
        <w:spacing w:line="360" w:lineRule="auto"/>
        <w:rPr>
          <w:rFonts w:asciiTheme="minorHAnsi" w:hAnsiTheme="minorHAnsi" w:cstheme="minorHAnsi"/>
          <w:b/>
          <w:bCs/>
          <w:color w:val="000000" w:themeColor="text1"/>
          <w:sz w:val="24"/>
          <w:szCs w:val="24"/>
        </w:rPr>
      </w:pPr>
      <w:bookmarkStart w:id="73" w:name="_Toc135384265"/>
      <w:r w:rsidRPr="00F56683">
        <w:rPr>
          <w:rFonts w:asciiTheme="minorHAnsi" w:hAnsiTheme="minorHAnsi" w:cstheme="minorHAnsi"/>
          <w:b/>
          <w:bCs/>
          <w:color w:val="000000" w:themeColor="text1"/>
          <w:sz w:val="24"/>
          <w:szCs w:val="24"/>
        </w:rPr>
        <w:t>2.3 Covid-19 statement:</w:t>
      </w:r>
      <w:bookmarkEnd w:id="73"/>
    </w:p>
    <w:p w14:paraId="732EEAAA" w14:textId="167B3D76" w:rsidR="00D268FF" w:rsidRPr="00F56683" w:rsidRDefault="00D268FF" w:rsidP="00F42CB9">
      <w:pPr>
        <w:spacing w:line="360" w:lineRule="auto"/>
        <w:ind w:firstLine="720"/>
        <w:rPr>
          <w:rFonts w:cstheme="minorHAnsi"/>
          <w:color w:val="000000" w:themeColor="text1"/>
        </w:rPr>
      </w:pPr>
      <w:r w:rsidRPr="00F56683">
        <w:rPr>
          <w:rFonts w:cstheme="minorHAnsi"/>
          <w:color w:val="000000" w:themeColor="text1"/>
        </w:rPr>
        <w:t>The impact</w:t>
      </w:r>
      <w:r w:rsidR="006B1871" w:rsidRPr="00F56683">
        <w:rPr>
          <w:rFonts w:cstheme="minorHAnsi"/>
          <w:color w:val="000000" w:themeColor="text1"/>
        </w:rPr>
        <w:t xml:space="preserve"> of</w:t>
      </w:r>
      <w:r w:rsidRPr="00F56683">
        <w:rPr>
          <w:rFonts w:cstheme="minorHAnsi"/>
          <w:color w:val="000000" w:themeColor="text1"/>
        </w:rPr>
        <w:t xml:space="preserve"> the COVID-19 pandemic, lockdown restrictions and social distancing measures meant significant adaptions and amendment</w:t>
      </w:r>
      <w:r w:rsidR="00BF48BF" w:rsidRPr="00F56683">
        <w:rPr>
          <w:rFonts w:cstheme="minorHAnsi"/>
          <w:color w:val="000000" w:themeColor="text1"/>
        </w:rPr>
        <w:t>s</w:t>
      </w:r>
      <w:r w:rsidRPr="00F56683">
        <w:rPr>
          <w:rFonts w:cstheme="minorHAnsi"/>
          <w:color w:val="000000" w:themeColor="text1"/>
        </w:rPr>
        <w:t xml:space="preserve"> to study protocols from initial plans were required.  Face</w:t>
      </w:r>
      <w:r w:rsidR="00BF48BF" w:rsidRPr="00F56683">
        <w:rPr>
          <w:rFonts w:cstheme="minorHAnsi"/>
          <w:color w:val="000000" w:themeColor="text1"/>
        </w:rPr>
        <w:t>-</w:t>
      </w:r>
      <w:r w:rsidRPr="00F56683">
        <w:rPr>
          <w:rFonts w:cstheme="minorHAnsi"/>
          <w:color w:val="000000" w:themeColor="text1"/>
        </w:rPr>
        <w:t>to</w:t>
      </w:r>
      <w:r w:rsidR="00BF48BF" w:rsidRPr="00F56683">
        <w:rPr>
          <w:rFonts w:cstheme="minorHAnsi"/>
          <w:color w:val="000000" w:themeColor="text1"/>
        </w:rPr>
        <w:t>-</w:t>
      </w:r>
      <w:r w:rsidRPr="00F56683">
        <w:rPr>
          <w:rFonts w:cstheme="minorHAnsi"/>
          <w:color w:val="000000" w:themeColor="text1"/>
        </w:rPr>
        <w:t>face research was not possible for a vast majority of the PhD time period</w:t>
      </w:r>
      <w:r w:rsidR="006B1871" w:rsidRPr="00F56683">
        <w:rPr>
          <w:rFonts w:cstheme="minorHAnsi"/>
          <w:color w:val="000000" w:themeColor="text1"/>
        </w:rPr>
        <w:t xml:space="preserve"> (</w:t>
      </w:r>
      <w:r w:rsidR="006B1871" w:rsidRPr="00F56683">
        <w:rPr>
          <w:rFonts w:cstheme="minorHAnsi"/>
          <w:color w:val="000000" w:themeColor="text1"/>
        </w:rPr>
        <w:fldChar w:fldCharType="begin"/>
      </w:r>
      <w:r w:rsidR="006B1871" w:rsidRPr="00F56683">
        <w:rPr>
          <w:rFonts w:cstheme="minorHAnsi"/>
          <w:color w:val="000000" w:themeColor="text1"/>
        </w:rPr>
        <w:instrText xml:space="preserve"> REF _Ref127041038 \h </w:instrText>
      </w:r>
      <w:r w:rsidR="00CA4ABC" w:rsidRPr="00F56683">
        <w:rPr>
          <w:rFonts w:cstheme="minorHAnsi"/>
          <w:color w:val="000000" w:themeColor="text1"/>
        </w:rPr>
        <w:instrText xml:space="preserve"> \* MERGEFORMAT </w:instrText>
      </w:r>
      <w:r w:rsidR="006B1871" w:rsidRPr="00F56683">
        <w:rPr>
          <w:rFonts w:cstheme="minorHAnsi"/>
          <w:color w:val="000000" w:themeColor="text1"/>
        </w:rPr>
      </w:r>
      <w:r w:rsidR="006B1871" w:rsidRPr="00F56683">
        <w:rPr>
          <w:rFonts w:cstheme="minorHAnsi"/>
          <w:color w:val="000000" w:themeColor="text1"/>
        </w:rPr>
        <w:fldChar w:fldCharType="separate"/>
      </w:r>
      <w:r w:rsidR="006B1871" w:rsidRPr="00F56683">
        <w:rPr>
          <w:rFonts w:cstheme="minorHAnsi"/>
          <w:color w:val="000000" w:themeColor="text1"/>
        </w:rPr>
        <w:t xml:space="preserve">Figure </w:t>
      </w:r>
      <w:r w:rsidR="006B1871" w:rsidRPr="00F56683">
        <w:rPr>
          <w:rFonts w:cstheme="minorHAnsi"/>
          <w:noProof/>
          <w:color w:val="000000" w:themeColor="text1"/>
        </w:rPr>
        <w:t>7</w:t>
      </w:r>
      <w:r w:rsidR="006B1871" w:rsidRPr="00F56683">
        <w:rPr>
          <w:rFonts w:cstheme="minorHAnsi"/>
          <w:color w:val="000000" w:themeColor="text1"/>
        </w:rPr>
        <w:fldChar w:fldCharType="end"/>
      </w:r>
      <w:r w:rsidR="006B1871" w:rsidRPr="00F56683">
        <w:rPr>
          <w:rFonts w:cstheme="minorHAnsi"/>
          <w:color w:val="000000" w:themeColor="text1"/>
        </w:rPr>
        <w:t>)</w:t>
      </w:r>
      <w:r w:rsidRPr="00F56683">
        <w:rPr>
          <w:rFonts w:cstheme="minorHAnsi"/>
          <w:color w:val="000000" w:themeColor="text1"/>
        </w:rPr>
        <w:t xml:space="preserve">, despite a human intervention trial being the original project proposal. </w:t>
      </w:r>
      <w:r w:rsidR="006B1871" w:rsidRPr="00F56683">
        <w:rPr>
          <w:rFonts w:cstheme="minorHAnsi"/>
          <w:color w:val="000000" w:themeColor="text1"/>
        </w:rPr>
        <w:t>The</w:t>
      </w:r>
      <w:r w:rsidRPr="00F56683">
        <w:rPr>
          <w:rFonts w:cstheme="minorHAnsi"/>
          <w:color w:val="000000" w:themeColor="text1"/>
        </w:rPr>
        <w:t xml:space="preserve"> research </w:t>
      </w:r>
      <w:r w:rsidR="006B1871" w:rsidRPr="00F56683">
        <w:rPr>
          <w:rFonts w:cstheme="minorHAnsi"/>
          <w:color w:val="000000" w:themeColor="text1"/>
        </w:rPr>
        <w:t xml:space="preserve">that was </w:t>
      </w:r>
      <w:r w:rsidRPr="00F56683">
        <w:rPr>
          <w:rFonts w:cstheme="minorHAnsi"/>
          <w:color w:val="000000" w:themeColor="text1"/>
        </w:rPr>
        <w:t>carried out in relation to university</w:t>
      </w:r>
      <w:r w:rsidR="00BF48BF" w:rsidRPr="00F56683">
        <w:rPr>
          <w:rFonts w:cstheme="minorHAnsi"/>
          <w:color w:val="000000" w:themeColor="text1"/>
        </w:rPr>
        <w:t>-</w:t>
      </w:r>
      <w:r w:rsidRPr="00F56683">
        <w:rPr>
          <w:rFonts w:cstheme="minorHAnsi"/>
          <w:color w:val="000000" w:themeColor="text1"/>
        </w:rPr>
        <w:t>imposed restrictions for face</w:t>
      </w:r>
      <w:r w:rsidR="00BF48BF" w:rsidRPr="00F56683">
        <w:rPr>
          <w:rFonts w:cstheme="minorHAnsi"/>
          <w:color w:val="000000" w:themeColor="text1"/>
        </w:rPr>
        <w:t>-</w:t>
      </w:r>
      <w:r w:rsidRPr="00F56683">
        <w:rPr>
          <w:rFonts w:cstheme="minorHAnsi"/>
          <w:color w:val="000000" w:themeColor="text1"/>
        </w:rPr>
        <w:t>to</w:t>
      </w:r>
      <w:r w:rsidR="00BF48BF" w:rsidRPr="00F56683">
        <w:rPr>
          <w:rFonts w:cstheme="minorHAnsi"/>
          <w:color w:val="000000" w:themeColor="text1"/>
        </w:rPr>
        <w:t>-</w:t>
      </w:r>
      <w:r w:rsidRPr="00F56683">
        <w:rPr>
          <w:rFonts w:cstheme="minorHAnsi"/>
          <w:color w:val="000000" w:themeColor="text1"/>
        </w:rPr>
        <w:t>face research</w:t>
      </w:r>
      <w:r w:rsidR="006B1871" w:rsidRPr="00F56683">
        <w:rPr>
          <w:rFonts w:cstheme="minorHAnsi"/>
          <w:color w:val="000000" w:themeColor="text1"/>
        </w:rPr>
        <w:t xml:space="preserve"> is shown in </w:t>
      </w:r>
      <w:r w:rsidR="006B1871" w:rsidRPr="00F56683">
        <w:rPr>
          <w:rFonts w:cstheme="minorHAnsi"/>
          <w:color w:val="000000" w:themeColor="text1"/>
        </w:rPr>
        <w:fldChar w:fldCharType="begin"/>
      </w:r>
      <w:r w:rsidR="006B1871" w:rsidRPr="00F56683">
        <w:rPr>
          <w:rFonts w:cstheme="minorHAnsi"/>
          <w:color w:val="000000" w:themeColor="text1"/>
        </w:rPr>
        <w:instrText xml:space="preserve"> REF _Ref127041038 \h </w:instrText>
      </w:r>
      <w:r w:rsidR="00CA4ABC" w:rsidRPr="00F56683">
        <w:rPr>
          <w:rFonts w:cstheme="minorHAnsi"/>
          <w:color w:val="000000" w:themeColor="text1"/>
        </w:rPr>
        <w:instrText xml:space="preserve"> \* MERGEFORMAT </w:instrText>
      </w:r>
      <w:r w:rsidR="006B1871" w:rsidRPr="00F56683">
        <w:rPr>
          <w:rFonts w:cstheme="minorHAnsi"/>
          <w:color w:val="000000" w:themeColor="text1"/>
        </w:rPr>
      </w:r>
      <w:r w:rsidR="006B1871" w:rsidRPr="00F56683">
        <w:rPr>
          <w:rFonts w:cstheme="minorHAnsi"/>
          <w:color w:val="000000" w:themeColor="text1"/>
        </w:rPr>
        <w:fldChar w:fldCharType="separate"/>
      </w:r>
      <w:r w:rsidR="006B1871" w:rsidRPr="00F56683">
        <w:rPr>
          <w:rFonts w:cstheme="minorHAnsi"/>
          <w:color w:val="000000" w:themeColor="text1"/>
        </w:rPr>
        <w:t xml:space="preserve">Figure </w:t>
      </w:r>
      <w:r w:rsidR="006B1871" w:rsidRPr="00F56683">
        <w:rPr>
          <w:rFonts w:cstheme="minorHAnsi"/>
          <w:noProof/>
          <w:color w:val="000000" w:themeColor="text1"/>
        </w:rPr>
        <w:t>7</w:t>
      </w:r>
      <w:r w:rsidR="006B1871" w:rsidRPr="00F56683">
        <w:rPr>
          <w:rFonts w:cstheme="minorHAnsi"/>
          <w:color w:val="000000" w:themeColor="text1"/>
        </w:rPr>
        <w:fldChar w:fldCharType="end"/>
      </w:r>
      <w:r w:rsidRPr="00F56683">
        <w:rPr>
          <w:rFonts w:cstheme="minorHAnsi"/>
          <w:color w:val="000000" w:themeColor="text1"/>
        </w:rPr>
        <w:t>. Moreover, the original proposal was for</w:t>
      </w:r>
      <w:r w:rsidR="006B1871" w:rsidRPr="00F56683">
        <w:rPr>
          <w:rFonts w:cstheme="minorHAnsi"/>
          <w:color w:val="000000" w:themeColor="text1"/>
        </w:rPr>
        <w:t xml:space="preserve"> an</w:t>
      </w:r>
      <w:r w:rsidRPr="00F56683">
        <w:rPr>
          <w:rFonts w:cstheme="minorHAnsi"/>
          <w:color w:val="000000" w:themeColor="text1"/>
        </w:rPr>
        <w:t xml:space="preserve"> intervention trial with a population of older adults, which was no longer possible due to their vulnerability. </w:t>
      </w:r>
    </w:p>
    <w:p w14:paraId="69ED7DD5" w14:textId="77777777" w:rsidR="00D268FF" w:rsidRPr="00F56683" w:rsidRDefault="00D268FF" w:rsidP="00F42CB9">
      <w:pPr>
        <w:spacing w:line="360" w:lineRule="auto"/>
        <w:rPr>
          <w:rFonts w:cstheme="minorHAnsi"/>
          <w:color w:val="000000" w:themeColor="text1"/>
        </w:rPr>
      </w:pPr>
    </w:p>
    <w:p w14:paraId="57013ACE" w14:textId="16C45127" w:rsidR="00D268FF" w:rsidRPr="00F56683" w:rsidRDefault="00D268FF" w:rsidP="00F42CB9">
      <w:pPr>
        <w:spacing w:line="360" w:lineRule="auto"/>
        <w:rPr>
          <w:rFonts w:cstheme="minorHAnsi"/>
          <w:color w:val="000000" w:themeColor="text1"/>
        </w:rPr>
      </w:pPr>
      <w:r w:rsidRPr="00F56683">
        <w:rPr>
          <w:rFonts w:cstheme="minorHAnsi"/>
          <w:color w:val="000000" w:themeColor="text1"/>
        </w:rPr>
        <w:t>Compromises were often required to try and collect data during unprecedented circumstance</w:t>
      </w:r>
      <w:r w:rsidR="001B7F81" w:rsidRPr="00F56683">
        <w:rPr>
          <w:rFonts w:cstheme="minorHAnsi"/>
          <w:color w:val="000000" w:themeColor="text1"/>
        </w:rPr>
        <w:t>s,</w:t>
      </w:r>
      <w:r w:rsidRPr="00F56683">
        <w:rPr>
          <w:rFonts w:cstheme="minorHAnsi"/>
          <w:color w:val="000000" w:themeColor="text1"/>
        </w:rPr>
        <w:t xml:space="preserve"> and thus</w:t>
      </w:r>
      <w:r w:rsidR="001B7F81" w:rsidRPr="00F56683">
        <w:rPr>
          <w:rFonts w:cstheme="minorHAnsi"/>
          <w:color w:val="000000" w:themeColor="text1"/>
        </w:rPr>
        <w:t>,</w:t>
      </w:r>
      <w:r w:rsidRPr="00F56683">
        <w:rPr>
          <w:rFonts w:cstheme="minorHAnsi"/>
          <w:color w:val="000000" w:themeColor="text1"/>
        </w:rPr>
        <w:t xml:space="preserve"> best practice techniques were not always possible. This affected the reliability and accuracy of some of the measures and results obtained. Although contingency measures were incorporated to try and compensate, fully elucidating the knock</w:t>
      </w:r>
      <w:r w:rsidR="00BF48BF" w:rsidRPr="00F56683">
        <w:rPr>
          <w:rFonts w:cstheme="minorHAnsi"/>
          <w:color w:val="000000" w:themeColor="text1"/>
        </w:rPr>
        <w:t>-</w:t>
      </w:r>
      <w:r w:rsidRPr="00F56683">
        <w:rPr>
          <w:rFonts w:cstheme="minorHAnsi"/>
          <w:color w:val="000000" w:themeColor="text1"/>
        </w:rPr>
        <w:t xml:space="preserve">on impact of conducting the alternative protocols is challenging. </w:t>
      </w:r>
    </w:p>
    <w:p w14:paraId="6539D649" w14:textId="77777777" w:rsidR="00D268FF" w:rsidRPr="00F56683" w:rsidRDefault="00D268FF" w:rsidP="00F42CB9">
      <w:pPr>
        <w:spacing w:line="360" w:lineRule="auto"/>
        <w:rPr>
          <w:rFonts w:cstheme="minorHAnsi"/>
          <w:color w:val="000000" w:themeColor="text1"/>
        </w:rPr>
      </w:pPr>
    </w:p>
    <w:p w14:paraId="76DEAC79" w14:textId="4795E25F" w:rsidR="00D268FF" w:rsidRPr="00F56683" w:rsidRDefault="00D268FF" w:rsidP="00F42CB9">
      <w:pPr>
        <w:spacing w:line="360" w:lineRule="auto"/>
        <w:rPr>
          <w:rFonts w:cstheme="minorHAnsi"/>
          <w:color w:val="000000" w:themeColor="text1"/>
        </w:rPr>
      </w:pPr>
      <w:r w:rsidRPr="00F56683">
        <w:rPr>
          <w:rFonts w:cstheme="minorHAnsi"/>
          <w:color w:val="000000" w:themeColor="text1"/>
        </w:rPr>
        <w:t>Much of the data collection shifted to be carried out online and via survey-based protocols.</w:t>
      </w:r>
      <w:r w:rsidR="00EA1D84">
        <w:rPr>
          <w:rFonts w:cstheme="minorHAnsi"/>
          <w:color w:val="000000" w:themeColor="text1"/>
        </w:rPr>
        <w:t xml:space="preserve"> </w:t>
      </w:r>
      <w:r w:rsidR="006B1871" w:rsidRPr="00F56683">
        <w:rPr>
          <w:rFonts w:cstheme="minorHAnsi"/>
          <w:color w:val="000000" w:themeColor="text1"/>
        </w:rPr>
        <w:t>Trying</w:t>
      </w:r>
      <w:r w:rsidRPr="00F56683">
        <w:rPr>
          <w:rFonts w:cstheme="minorHAnsi"/>
          <w:color w:val="000000" w:themeColor="text1"/>
        </w:rPr>
        <w:t xml:space="preserve"> to maximise the information collected from the participants</w:t>
      </w:r>
      <w:r w:rsidR="006B1871" w:rsidRPr="00F56683">
        <w:rPr>
          <w:rFonts w:cstheme="minorHAnsi"/>
          <w:color w:val="000000" w:themeColor="text1"/>
        </w:rPr>
        <w:t xml:space="preserve"> was considered logical,</w:t>
      </w:r>
      <w:r w:rsidRPr="00F56683">
        <w:rPr>
          <w:rFonts w:cstheme="minorHAnsi"/>
          <w:color w:val="000000" w:themeColor="text1"/>
        </w:rPr>
        <w:t xml:space="preserve"> particularly for gaining maximum insights and understanding about factors </w:t>
      </w:r>
      <w:r w:rsidR="006B1871" w:rsidRPr="00F56683">
        <w:rPr>
          <w:rFonts w:cstheme="minorHAnsi"/>
          <w:color w:val="000000" w:themeColor="text1"/>
        </w:rPr>
        <w:t>that</w:t>
      </w:r>
      <w:r w:rsidRPr="00F56683">
        <w:rPr>
          <w:rFonts w:cstheme="minorHAnsi"/>
          <w:color w:val="000000" w:themeColor="text1"/>
        </w:rPr>
        <w:t xml:space="preserve"> may influence and determine muscle loss risks. </w:t>
      </w:r>
      <w:r w:rsidR="00EA1D84">
        <w:rPr>
          <w:rFonts w:cstheme="minorHAnsi"/>
          <w:color w:val="000000" w:themeColor="text1"/>
        </w:rPr>
        <w:t>Data was</w:t>
      </w:r>
      <w:r w:rsidR="00BF48BF" w:rsidRPr="00F56683">
        <w:rPr>
          <w:rFonts w:cstheme="minorHAnsi"/>
          <w:color w:val="000000" w:themeColor="text1"/>
        </w:rPr>
        <w:t>,</w:t>
      </w:r>
      <w:r w:rsidRPr="00F56683">
        <w:rPr>
          <w:rFonts w:cstheme="minorHAnsi"/>
          <w:color w:val="000000" w:themeColor="text1"/>
        </w:rPr>
        <w:t xml:space="preserve"> therefore</w:t>
      </w:r>
      <w:r w:rsidR="00BF48BF" w:rsidRPr="00F56683">
        <w:rPr>
          <w:rFonts w:cstheme="minorHAnsi"/>
          <w:color w:val="000000" w:themeColor="text1"/>
        </w:rPr>
        <w:t>,</w:t>
      </w:r>
      <w:r w:rsidRPr="00F56683">
        <w:rPr>
          <w:rFonts w:cstheme="minorHAnsi"/>
          <w:color w:val="000000" w:themeColor="text1"/>
        </w:rPr>
        <w:t xml:space="preserve"> collected and tested data across </w:t>
      </w:r>
      <w:r w:rsidR="001B7F81" w:rsidRPr="00F56683">
        <w:rPr>
          <w:rFonts w:cstheme="minorHAnsi"/>
          <w:color w:val="000000" w:themeColor="text1"/>
        </w:rPr>
        <w:t>several objectives</w:t>
      </w:r>
      <w:r w:rsidRPr="00F56683">
        <w:rPr>
          <w:rFonts w:cstheme="minorHAnsi"/>
          <w:color w:val="000000" w:themeColor="text1"/>
        </w:rPr>
        <w:t xml:space="preserve">. </w:t>
      </w:r>
      <w:r w:rsidR="001B7F81" w:rsidRPr="00F56683">
        <w:rPr>
          <w:rFonts w:cstheme="minorHAnsi"/>
          <w:color w:val="000000" w:themeColor="text1"/>
        </w:rPr>
        <w:t>Consequentially, t</w:t>
      </w:r>
      <w:r w:rsidRPr="00F56683">
        <w:rPr>
          <w:rFonts w:cstheme="minorHAnsi"/>
          <w:color w:val="000000" w:themeColor="text1"/>
        </w:rPr>
        <w:t>he methods section of chapters three and four are shared and deciding the most appropriate format for presenting</w:t>
      </w:r>
      <w:r w:rsidR="001B7F81" w:rsidRPr="00F56683">
        <w:rPr>
          <w:rFonts w:cstheme="minorHAnsi"/>
          <w:color w:val="000000" w:themeColor="text1"/>
        </w:rPr>
        <w:t xml:space="preserve"> this information</w:t>
      </w:r>
      <w:r w:rsidRPr="00F56683">
        <w:rPr>
          <w:rFonts w:cstheme="minorHAnsi"/>
          <w:color w:val="000000" w:themeColor="text1"/>
        </w:rPr>
        <w:t xml:space="preserve"> was deliberated. Consideration was paid to try and minimise the disruption to the flow of the thesis and prevent repetition. It is hoped that clarity has still been provided for the methods and rationale behind the research.</w:t>
      </w:r>
    </w:p>
    <w:p w14:paraId="578B84C2" w14:textId="77777777" w:rsidR="00D268FF" w:rsidRPr="00F56683" w:rsidRDefault="00D268FF" w:rsidP="00F42CB9">
      <w:pPr>
        <w:spacing w:line="360" w:lineRule="auto"/>
        <w:rPr>
          <w:rFonts w:cstheme="minorHAnsi"/>
          <w:color w:val="000000" w:themeColor="text1"/>
        </w:rPr>
      </w:pPr>
    </w:p>
    <w:p w14:paraId="1E70E869" w14:textId="3FF8D4E1" w:rsidR="00D268FF" w:rsidRPr="00F56683" w:rsidRDefault="00D268FF" w:rsidP="00F42CB9">
      <w:pPr>
        <w:spacing w:line="360" w:lineRule="auto"/>
        <w:rPr>
          <w:rFonts w:cstheme="minorHAnsi"/>
          <w:color w:val="000000" w:themeColor="text1"/>
        </w:rPr>
      </w:pPr>
      <w:r w:rsidRPr="00F56683">
        <w:rPr>
          <w:rFonts w:cstheme="minorHAnsi"/>
          <w:color w:val="000000" w:themeColor="text1"/>
        </w:rPr>
        <w:t xml:space="preserve">Online data collection was suitable for social distancing measures but likely led to a reduction in data collection from individuals without internet access, thus impacting </w:t>
      </w:r>
      <w:r w:rsidR="001B7F81" w:rsidRPr="00F56683">
        <w:rPr>
          <w:rFonts w:cstheme="minorHAnsi"/>
          <w:color w:val="000000" w:themeColor="text1"/>
        </w:rPr>
        <w:t>the</w:t>
      </w:r>
      <w:r w:rsidRPr="00F56683">
        <w:rPr>
          <w:rFonts w:cstheme="minorHAnsi"/>
          <w:color w:val="000000" w:themeColor="text1"/>
        </w:rPr>
        <w:t xml:space="preserve"> demographics</w:t>
      </w:r>
      <w:r w:rsidR="001B7F81" w:rsidRPr="00F56683">
        <w:rPr>
          <w:rFonts w:cstheme="minorHAnsi"/>
          <w:color w:val="000000" w:themeColor="text1"/>
        </w:rPr>
        <w:t xml:space="preserve"> captured by the research</w:t>
      </w:r>
      <w:r w:rsidRPr="00F56683">
        <w:rPr>
          <w:rFonts w:cstheme="minorHAnsi"/>
          <w:color w:val="000000" w:themeColor="text1"/>
        </w:rPr>
        <w:t xml:space="preserve">. </w:t>
      </w:r>
      <w:r w:rsidR="001B7F81" w:rsidRPr="00F56683">
        <w:rPr>
          <w:rFonts w:cstheme="minorHAnsi"/>
          <w:color w:val="000000" w:themeColor="text1"/>
        </w:rPr>
        <w:t>M</w:t>
      </w:r>
      <w:r w:rsidRPr="00F56683">
        <w:rPr>
          <w:rFonts w:cstheme="minorHAnsi"/>
          <w:color w:val="000000" w:themeColor="text1"/>
        </w:rPr>
        <w:t xml:space="preserve">easures </w:t>
      </w:r>
      <w:r w:rsidR="001B7F81" w:rsidRPr="00F56683">
        <w:rPr>
          <w:rFonts w:cstheme="minorHAnsi"/>
          <w:color w:val="000000" w:themeColor="text1"/>
        </w:rPr>
        <w:t>were</w:t>
      </w:r>
      <w:r w:rsidRPr="00F56683">
        <w:rPr>
          <w:rFonts w:cstheme="minorHAnsi"/>
          <w:color w:val="000000" w:themeColor="text1"/>
        </w:rPr>
        <w:t xml:space="preserve"> put in place to try and account for this, </w:t>
      </w:r>
      <w:r w:rsidR="001B7F81" w:rsidRPr="00F56683">
        <w:rPr>
          <w:rFonts w:cstheme="minorHAnsi"/>
          <w:color w:val="000000" w:themeColor="text1"/>
        </w:rPr>
        <w:t xml:space="preserve">but </w:t>
      </w:r>
      <w:r w:rsidRPr="00F56683">
        <w:rPr>
          <w:rFonts w:cstheme="minorHAnsi"/>
          <w:color w:val="000000" w:themeColor="text1"/>
        </w:rPr>
        <w:t xml:space="preserve">it is still likely to have had an effect. </w:t>
      </w:r>
    </w:p>
    <w:p w14:paraId="6C90C721" w14:textId="77777777" w:rsidR="00D268FF" w:rsidRPr="00F56683" w:rsidRDefault="00D268FF" w:rsidP="00F42CB9">
      <w:pPr>
        <w:spacing w:line="360" w:lineRule="auto"/>
        <w:rPr>
          <w:rFonts w:cstheme="minorHAnsi"/>
          <w:color w:val="000000" w:themeColor="text1"/>
        </w:rPr>
      </w:pPr>
    </w:p>
    <w:p w14:paraId="093425AB" w14:textId="31F8D044" w:rsidR="00D268FF" w:rsidRPr="00F56683" w:rsidRDefault="00D268FF" w:rsidP="00F42CB9">
      <w:pPr>
        <w:spacing w:line="360" w:lineRule="auto"/>
        <w:rPr>
          <w:rFonts w:cstheme="minorHAnsi"/>
          <w:color w:val="000000" w:themeColor="text1"/>
        </w:rPr>
      </w:pPr>
      <w:r w:rsidRPr="00F56683">
        <w:rPr>
          <w:rFonts w:cstheme="minorHAnsi"/>
          <w:color w:val="000000" w:themeColor="text1"/>
        </w:rPr>
        <w:lastRenderedPageBreak/>
        <w:t>Notwithstanding, th</w:t>
      </w:r>
      <w:r w:rsidR="001B7F81" w:rsidRPr="00F56683">
        <w:rPr>
          <w:rFonts w:cstheme="minorHAnsi"/>
          <w:color w:val="000000" w:themeColor="text1"/>
        </w:rPr>
        <w:t>e</w:t>
      </w:r>
      <w:r w:rsidRPr="00F56683">
        <w:rPr>
          <w:rFonts w:cstheme="minorHAnsi"/>
          <w:color w:val="000000" w:themeColor="text1"/>
        </w:rPr>
        <w:t xml:space="preserve"> situation led to adaptable and dynamic research and data collectio</w:t>
      </w:r>
      <w:r w:rsidR="001B7F81" w:rsidRPr="00F56683">
        <w:rPr>
          <w:rFonts w:cstheme="minorHAnsi"/>
          <w:color w:val="000000" w:themeColor="text1"/>
        </w:rPr>
        <w:t>n</w:t>
      </w:r>
      <w:r w:rsidRPr="00F56683">
        <w:rPr>
          <w:rFonts w:cstheme="minorHAnsi"/>
          <w:color w:val="000000" w:themeColor="text1"/>
        </w:rPr>
        <w:t>. Through this, the development of additional research skills and methods w</w:t>
      </w:r>
      <w:r w:rsidR="001B7F81" w:rsidRPr="00F56683">
        <w:rPr>
          <w:rFonts w:cstheme="minorHAnsi"/>
          <w:color w:val="000000" w:themeColor="text1"/>
        </w:rPr>
        <w:t>as</w:t>
      </w:r>
      <w:r w:rsidRPr="00F56683">
        <w:rPr>
          <w:rFonts w:cstheme="minorHAnsi"/>
          <w:color w:val="000000" w:themeColor="text1"/>
        </w:rPr>
        <w:t xml:space="preserve"> necessary. This includes conducting qualitative research. Reflecting positively, opportunities also arose to be forward-thinking and allow for diverse insights into muscle loss to be contemplated and explored. These considerations are beneficial for understanding how to optimise research in this field and design best practice research trials which may have the maximum beneficial outcomes. </w:t>
      </w:r>
    </w:p>
    <w:p w14:paraId="3095BB28" w14:textId="77777777" w:rsidR="00D268FF" w:rsidRPr="00F56683" w:rsidRDefault="00D268FF" w:rsidP="00F42CB9">
      <w:pPr>
        <w:spacing w:line="360" w:lineRule="auto"/>
        <w:rPr>
          <w:rFonts w:cstheme="minorHAnsi"/>
          <w:color w:val="000000" w:themeColor="text1"/>
        </w:rPr>
      </w:pPr>
    </w:p>
    <w:p w14:paraId="7B39C38C" w14:textId="6B3A2104" w:rsidR="00D268FF" w:rsidRPr="00F56683" w:rsidRDefault="00D268FF" w:rsidP="00F42CB9">
      <w:pPr>
        <w:spacing w:line="360" w:lineRule="auto"/>
        <w:rPr>
          <w:rFonts w:cstheme="minorHAnsi"/>
          <w:color w:val="000000" w:themeColor="text1"/>
        </w:rPr>
      </w:pPr>
      <w:r w:rsidRPr="00F56683">
        <w:rPr>
          <w:rFonts w:cstheme="minorHAnsi"/>
          <w:color w:val="000000" w:themeColor="text1"/>
        </w:rPr>
        <w:t xml:space="preserve">The pandemic also enabled non-contact research activities in associated topics with a different focus from the main aim of the thesis (see associated </w:t>
      </w:r>
      <w:r w:rsidR="00BF755A" w:rsidRPr="00F56683">
        <w:rPr>
          <w:rFonts w:cstheme="minorHAnsi"/>
          <w:color w:val="000000" w:themeColor="text1"/>
        </w:rPr>
        <w:t>publications during the PhD registration period</w:t>
      </w:r>
      <w:r w:rsidRPr="00F56683">
        <w:rPr>
          <w:rFonts w:cstheme="minorHAnsi"/>
          <w:color w:val="000000" w:themeColor="text1"/>
        </w:rPr>
        <w:t xml:space="preserve"> section</w:t>
      </w:r>
      <w:r w:rsidR="00BF755A" w:rsidRPr="00F56683">
        <w:rPr>
          <w:rFonts w:cstheme="minorHAnsi"/>
          <w:color w:val="000000" w:themeColor="text1"/>
        </w:rPr>
        <w:t>)</w:t>
      </w:r>
    </w:p>
    <w:p w14:paraId="1012E399" w14:textId="77777777" w:rsidR="00D268FF" w:rsidRPr="00F56683" w:rsidRDefault="00D268FF" w:rsidP="00F42CB9">
      <w:pPr>
        <w:spacing w:line="360" w:lineRule="auto"/>
        <w:rPr>
          <w:rFonts w:cstheme="minorHAnsi"/>
          <w:color w:val="000000" w:themeColor="text1"/>
        </w:rPr>
      </w:pPr>
    </w:p>
    <w:p w14:paraId="319EE31A" w14:textId="77777777" w:rsidR="00D268FF" w:rsidRPr="00F56683" w:rsidRDefault="00D268FF" w:rsidP="00F42CB9">
      <w:pPr>
        <w:spacing w:line="360" w:lineRule="auto"/>
        <w:rPr>
          <w:rFonts w:cstheme="minorHAnsi"/>
          <w:color w:val="000000" w:themeColor="text1"/>
        </w:rPr>
      </w:pPr>
    </w:p>
    <w:p w14:paraId="377B1F82" w14:textId="77777777" w:rsidR="00D268FF" w:rsidRPr="00F56683" w:rsidRDefault="00D268FF" w:rsidP="00F42CB9">
      <w:pPr>
        <w:spacing w:line="360" w:lineRule="auto"/>
        <w:rPr>
          <w:rFonts w:cstheme="minorHAnsi"/>
          <w:color w:val="000000" w:themeColor="text1"/>
        </w:rPr>
        <w:sectPr w:rsidR="00D268FF" w:rsidRPr="00F56683" w:rsidSect="00497F4A">
          <w:pgSz w:w="11900" w:h="16840"/>
          <w:pgMar w:top="1440" w:right="1440" w:bottom="1440" w:left="1440" w:header="708" w:footer="708" w:gutter="0"/>
          <w:cols w:space="708"/>
          <w:docGrid w:linePitch="360"/>
        </w:sectPr>
      </w:pPr>
    </w:p>
    <w:p w14:paraId="567F526D" w14:textId="1E2F4144" w:rsidR="00D268FF" w:rsidRPr="00F56683" w:rsidRDefault="00D268FF" w:rsidP="00F42CB9">
      <w:pPr>
        <w:spacing w:line="360" w:lineRule="auto"/>
        <w:ind w:firstLine="720"/>
        <w:rPr>
          <w:rFonts w:cstheme="minorHAnsi"/>
          <w:color w:val="000000" w:themeColor="text1"/>
        </w:rPr>
      </w:pPr>
      <w:r w:rsidRPr="00F56683">
        <w:rPr>
          <w:rFonts w:cstheme="minorHAnsi"/>
          <w:noProof/>
          <w:color w:val="000000" w:themeColor="text1"/>
        </w:rPr>
        <w:lastRenderedPageBreak/>
        <w:drawing>
          <wp:anchor distT="0" distB="0" distL="114300" distR="114300" simplePos="0" relativeHeight="251711488" behindDoc="0" locked="0" layoutInCell="1" allowOverlap="1" wp14:anchorId="65633F1E" wp14:editId="52764483">
            <wp:simplePos x="0" y="0"/>
            <wp:positionH relativeFrom="column">
              <wp:posOffset>-362656</wp:posOffset>
            </wp:positionH>
            <wp:positionV relativeFrom="paragraph">
              <wp:posOffset>111</wp:posOffset>
            </wp:positionV>
            <wp:extent cx="9381219" cy="4138345"/>
            <wp:effectExtent l="0" t="0" r="4445"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81219" cy="4138345"/>
                    </a:xfrm>
                    <a:prstGeom prst="rect">
                      <a:avLst/>
                    </a:prstGeom>
                  </pic:spPr>
                </pic:pic>
              </a:graphicData>
            </a:graphic>
            <wp14:sizeRelH relativeFrom="page">
              <wp14:pctWidth>0</wp14:pctWidth>
            </wp14:sizeRelH>
            <wp14:sizeRelV relativeFrom="page">
              <wp14:pctHeight>0</wp14:pctHeight>
            </wp14:sizeRelV>
          </wp:anchor>
        </w:drawing>
      </w:r>
    </w:p>
    <w:p w14:paraId="6D8A1562" w14:textId="17E6C4BD" w:rsidR="00D268FF" w:rsidRPr="00F56683" w:rsidRDefault="00D268FF" w:rsidP="00F42CB9">
      <w:pPr>
        <w:pStyle w:val="Caption"/>
        <w:spacing w:line="360" w:lineRule="auto"/>
        <w:rPr>
          <w:rFonts w:cstheme="minorHAnsi"/>
          <w:i w:val="0"/>
          <w:iCs w:val="0"/>
          <w:color w:val="000000" w:themeColor="text1"/>
          <w:sz w:val="24"/>
          <w:szCs w:val="24"/>
        </w:rPr>
      </w:pPr>
      <w:bookmarkStart w:id="74" w:name="_Ref127041038"/>
      <w:bookmarkStart w:id="75" w:name="_Toc127044185"/>
      <w:bookmarkStart w:id="76" w:name="_Toc127978467"/>
      <w:r w:rsidRPr="00F56683">
        <w:rPr>
          <w:rFonts w:cstheme="minorHAnsi"/>
          <w:i w:val="0"/>
          <w:iCs w:val="0"/>
          <w:color w:val="000000" w:themeColor="text1"/>
          <w:sz w:val="24"/>
          <w:szCs w:val="24"/>
        </w:rPr>
        <w:t xml:space="preserve">Figure </w:t>
      </w:r>
      <w:r w:rsidRPr="00F56683">
        <w:rPr>
          <w:rFonts w:cstheme="minorHAnsi"/>
          <w:i w:val="0"/>
          <w:iCs w:val="0"/>
          <w:color w:val="000000" w:themeColor="text1"/>
          <w:sz w:val="24"/>
          <w:szCs w:val="24"/>
        </w:rPr>
        <w:fldChar w:fldCharType="begin"/>
      </w:r>
      <w:r w:rsidRPr="00F56683">
        <w:rPr>
          <w:rFonts w:cstheme="minorHAnsi"/>
          <w:i w:val="0"/>
          <w:iCs w:val="0"/>
          <w:color w:val="000000" w:themeColor="text1"/>
          <w:sz w:val="24"/>
          <w:szCs w:val="24"/>
        </w:rPr>
        <w:instrText xml:space="preserve"> SEQ Figure \* ARABIC </w:instrText>
      </w:r>
      <w:r w:rsidRPr="00F56683">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7</w:t>
      </w:r>
      <w:r w:rsidRPr="00F56683">
        <w:rPr>
          <w:rFonts w:cstheme="minorHAnsi"/>
          <w:i w:val="0"/>
          <w:iCs w:val="0"/>
          <w:color w:val="000000" w:themeColor="text1"/>
          <w:sz w:val="24"/>
          <w:szCs w:val="24"/>
        </w:rPr>
        <w:fldChar w:fldCharType="end"/>
      </w:r>
      <w:bookmarkEnd w:id="74"/>
      <w:r w:rsidR="00EA253A">
        <w:rPr>
          <w:rFonts w:cstheme="minorHAnsi"/>
          <w:i w:val="0"/>
          <w:iCs w:val="0"/>
          <w:color w:val="000000" w:themeColor="text1"/>
          <w:sz w:val="24"/>
          <w:szCs w:val="24"/>
        </w:rPr>
        <w:t xml:space="preserve">. </w:t>
      </w:r>
      <w:r w:rsidRPr="00F56683">
        <w:rPr>
          <w:rFonts w:cstheme="minorHAnsi"/>
          <w:i w:val="0"/>
          <w:iCs w:val="0"/>
          <w:color w:val="000000" w:themeColor="text1"/>
          <w:sz w:val="24"/>
          <w:szCs w:val="24"/>
        </w:rPr>
        <w:t>Gantt chart to show study tasks, study objective</w:t>
      </w:r>
      <w:r w:rsidR="008D28B5" w:rsidRPr="00F56683">
        <w:rPr>
          <w:rFonts w:cstheme="minorHAnsi"/>
          <w:i w:val="0"/>
          <w:iCs w:val="0"/>
          <w:color w:val="000000" w:themeColor="text1"/>
          <w:sz w:val="24"/>
          <w:szCs w:val="24"/>
        </w:rPr>
        <w:t>s</w:t>
      </w:r>
      <w:r w:rsidRPr="00F56683">
        <w:rPr>
          <w:rFonts w:cstheme="minorHAnsi"/>
          <w:i w:val="0"/>
          <w:iCs w:val="0"/>
          <w:color w:val="000000" w:themeColor="text1"/>
          <w:sz w:val="24"/>
          <w:szCs w:val="24"/>
        </w:rPr>
        <w:t xml:space="preserve"> and data collection time periods in relation to the PhD timeline and face</w:t>
      </w:r>
      <w:r w:rsidR="00D41C49" w:rsidRPr="00F56683">
        <w:rPr>
          <w:rFonts w:cstheme="minorHAnsi"/>
          <w:i w:val="0"/>
          <w:iCs w:val="0"/>
          <w:color w:val="000000" w:themeColor="text1"/>
          <w:sz w:val="24"/>
          <w:szCs w:val="24"/>
        </w:rPr>
        <w:t>-</w:t>
      </w:r>
      <w:r w:rsidRPr="00F56683">
        <w:rPr>
          <w:rFonts w:cstheme="minorHAnsi"/>
          <w:i w:val="0"/>
          <w:iCs w:val="0"/>
          <w:color w:val="000000" w:themeColor="text1"/>
          <w:sz w:val="24"/>
          <w:szCs w:val="24"/>
        </w:rPr>
        <w:t>to</w:t>
      </w:r>
      <w:r w:rsidR="00D41C49" w:rsidRPr="00F56683">
        <w:rPr>
          <w:rFonts w:cstheme="minorHAnsi"/>
          <w:i w:val="0"/>
          <w:iCs w:val="0"/>
          <w:color w:val="000000" w:themeColor="text1"/>
          <w:sz w:val="24"/>
          <w:szCs w:val="24"/>
        </w:rPr>
        <w:t>-</w:t>
      </w:r>
      <w:r w:rsidRPr="00F56683">
        <w:rPr>
          <w:rFonts w:cstheme="minorHAnsi"/>
          <w:i w:val="0"/>
          <w:iCs w:val="0"/>
          <w:color w:val="000000" w:themeColor="text1"/>
          <w:sz w:val="24"/>
          <w:szCs w:val="24"/>
        </w:rPr>
        <w:t>face restrictions being in place.</w:t>
      </w:r>
      <w:bookmarkEnd w:id="75"/>
      <w:bookmarkEnd w:id="76"/>
    </w:p>
    <w:p w14:paraId="0D3E0A28" w14:textId="3FB22E16" w:rsidR="00D268FF" w:rsidRPr="00F56683" w:rsidRDefault="00D268FF" w:rsidP="00F42CB9">
      <w:pPr>
        <w:spacing w:line="360" w:lineRule="auto"/>
        <w:rPr>
          <w:rFonts w:cstheme="minorHAnsi"/>
          <w:color w:val="000000" w:themeColor="text1"/>
        </w:rPr>
        <w:sectPr w:rsidR="00D268FF" w:rsidRPr="00F56683" w:rsidSect="00D268FF">
          <w:pgSz w:w="16840" w:h="11900" w:orient="landscape"/>
          <w:pgMar w:top="1440" w:right="1440" w:bottom="1440" w:left="1440" w:header="708" w:footer="708" w:gutter="0"/>
          <w:cols w:space="708"/>
          <w:docGrid w:linePitch="360"/>
        </w:sectPr>
      </w:pPr>
    </w:p>
    <w:p w14:paraId="20185FFF" w14:textId="4F0B195B" w:rsidR="004F4AF8" w:rsidRPr="00F56683" w:rsidRDefault="004F4AF8" w:rsidP="00F42CB9">
      <w:pPr>
        <w:pStyle w:val="Heading1"/>
        <w:spacing w:line="360" w:lineRule="auto"/>
        <w:rPr>
          <w:rFonts w:asciiTheme="minorHAnsi" w:hAnsiTheme="minorHAnsi" w:cstheme="minorHAnsi"/>
          <w:color w:val="000000" w:themeColor="text1"/>
          <w:sz w:val="24"/>
          <w:szCs w:val="24"/>
        </w:rPr>
      </w:pPr>
      <w:bookmarkStart w:id="77" w:name="_Toc135384266"/>
      <w:r w:rsidRPr="00F56683">
        <w:rPr>
          <w:rFonts w:asciiTheme="minorHAnsi" w:hAnsiTheme="minorHAnsi" w:cstheme="minorHAnsi"/>
          <w:color w:val="000000" w:themeColor="text1"/>
          <w:sz w:val="24"/>
          <w:szCs w:val="24"/>
        </w:rPr>
        <w:lastRenderedPageBreak/>
        <w:t xml:space="preserve">Chapter 3: </w:t>
      </w:r>
      <w:r w:rsidR="008870A7" w:rsidRPr="00F56683">
        <w:rPr>
          <w:rFonts w:asciiTheme="minorHAnsi" w:hAnsiTheme="minorHAnsi" w:cstheme="minorHAnsi"/>
          <w:color w:val="000000" w:themeColor="text1"/>
          <w:sz w:val="24"/>
          <w:szCs w:val="24"/>
        </w:rPr>
        <w:t>Amendment and validation of a dietary</w:t>
      </w:r>
      <w:r w:rsidRPr="00F56683">
        <w:rPr>
          <w:rFonts w:asciiTheme="minorHAnsi" w:hAnsiTheme="minorHAnsi" w:cstheme="minorHAnsi"/>
          <w:color w:val="000000" w:themeColor="text1"/>
          <w:sz w:val="24"/>
          <w:szCs w:val="24"/>
        </w:rPr>
        <w:t xml:space="preserve"> protein screener tool</w:t>
      </w:r>
      <w:r w:rsidR="008870A7" w:rsidRPr="00F56683">
        <w:rPr>
          <w:rFonts w:asciiTheme="minorHAnsi" w:hAnsiTheme="minorHAnsi" w:cstheme="minorHAnsi"/>
          <w:color w:val="000000" w:themeColor="text1"/>
          <w:sz w:val="24"/>
          <w:szCs w:val="24"/>
        </w:rPr>
        <w:t>.</w:t>
      </w:r>
      <w:bookmarkEnd w:id="77"/>
    </w:p>
    <w:p w14:paraId="62278DB4" w14:textId="078C1572" w:rsidR="004F4AF8" w:rsidRPr="00F56683" w:rsidRDefault="004F4AF8" w:rsidP="00F42CB9">
      <w:pPr>
        <w:pStyle w:val="Heading2"/>
        <w:spacing w:line="360" w:lineRule="auto"/>
        <w:rPr>
          <w:rFonts w:asciiTheme="minorHAnsi" w:hAnsiTheme="minorHAnsi" w:cstheme="minorHAnsi"/>
          <w:b/>
          <w:bCs/>
          <w:color w:val="000000" w:themeColor="text1"/>
          <w:sz w:val="24"/>
          <w:szCs w:val="24"/>
        </w:rPr>
      </w:pPr>
      <w:bookmarkStart w:id="78" w:name="_Toc135384267"/>
      <w:r w:rsidRPr="00F56683">
        <w:rPr>
          <w:rFonts w:asciiTheme="minorHAnsi" w:hAnsiTheme="minorHAnsi" w:cstheme="minorHAnsi"/>
          <w:b/>
          <w:bCs/>
          <w:color w:val="000000" w:themeColor="text1"/>
          <w:sz w:val="24"/>
          <w:szCs w:val="24"/>
        </w:rPr>
        <w:t>3.1. Introduction</w:t>
      </w:r>
      <w:bookmarkEnd w:id="78"/>
    </w:p>
    <w:p w14:paraId="22742AF4" w14:textId="721B2989"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This chapter will address objective one of this thesis: </w:t>
      </w:r>
      <w:r w:rsidR="0015767B" w:rsidRPr="00F56683">
        <w:rPr>
          <w:rFonts w:cstheme="minorHAnsi"/>
          <w:color w:val="000000" w:themeColor="text1"/>
        </w:rPr>
        <w:t>To adapt and validate a protein screener tool for use in a UK population which can be used to identify participants with low protein intakes</w:t>
      </w:r>
      <w:r w:rsidRPr="00F56683">
        <w:rPr>
          <w:rFonts w:cstheme="minorHAnsi"/>
          <w:color w:val="000000" w:themeColor="text1"/>
        </w:rPr>
        <w:t>. A tool for this purpose is not currently available for use in</w:t>
      </w:r>
      <w:r w:rsidR="009904BE" w:rsidRPr="00F56683">
        <w:rPr>
          <w:rFonts w:cstheme="minorHAnsi"/>
          <w:color w:val="000000" w:themeColor="text1"/>
        </w:rPr>
        <w:t xml:space="preserve"> this</w:t>
      </w:r>
      <w:r w:rsidRPr="00F56683">
        <w:rPr>
          <w:rFonts w:cstheme="minorHAnsi"/>
          <w:color w:val="000000" w:themeColor="text1"/>
        </w:rPr>
        <w:t xml:space="preserve"> population but could be helpful in research settings for participant trial inclusion selection. Moreover, </w:t>
      </w:r>
      <w:r w:rsidR="00222F33" w:rsidRPr="00F56683">
        <w:rPr>
          <w:rFonts w:cstheme="minorHAnsi"/>
          <w:color w:val="000000" w:themeColor="text1"/>
        </w:rPr>
        <w:t>the tool</w:t>
      </w:r>
      <w:r w:rsidRPr="00F56683">
        <w:rPr>
          <w:rFonts w:cstheme="minorHAnsi"/>
          <w:color w:val="000000" w:themeColor="text1"/>
        </w:rPr>
        <w:t xml:space="preserve"> could a</w:t>
      </w:r>
      <w:r w:rsidR="008B5AFA" w:rsidRPr="00F56683">
        <w:rPr>
          <w:rFonts w:cstheme="minorHAnsi"/>
          <w:color w:val="000000" w:themeColor="text1"/>
        </w:rPr>
        <w:t>ct</w:t>
      </w:r>
      <w:r w:rsidRPr="00F56683">
        <w:rPr>
          <w:rFonts w:cstheme="minorHAnsi"/>
          <w:color w:val="000000" w:themeColor="text1"/>
        </w:rPr>
        <w:t xml:space="preserve"> as a first step flag for identif</w:t>
      </w:r>
      <w:r w:rsidR="0015767B" w:rsidRPr="00F56683">
        <w:rPr>
          <w:rFonts w:cstheme="minorHAnsi"/>
          <w:color w:val="000000" w:themeColor="text1"/>
        </w:rPr>
        <w:t>ying</w:t>
      </w:r>
      <w:r w:rsidRPr="00F56683">
        <w:rPr>
          <w:rFonts w:cstheme="minorHAnsi"/>
          <w:color w:val="000000" w:themeColor="text1"/>
        </w:rPr>
        <w:t xml:space="preserve"> if patients require further investigation with health care professionals based on dietary risk</w:t>
      </w:r>
      <w:r w:rsidR="008B5AFA" w:rsidRPr="00F56683">
        <w:rPr>
          <w:rFonts w:cstheme="minorHAnsi"/>
          <w:color w:val="000000" w:themeColor="text1"/>
        </w:rPr>
        <w:t xml:space="preserve"> </w:t>
      </w:r>
      <w:r w:rsidRPr="00F56683">
        <w:rPr>
          <w:rFonts w:cstheme="minorHAnsi"/>
          <w:color w:val="000000" w:themeColor="text1"/>
        </w:rPr>
        <w:t>factors</w:t>
      </w:r>
      <w:r w:rsidR="00222F33" w:rsidRPr="00F56683">
        <w:rPr>
          <w:rFonts w:cstheme="minorHAnsi"/>
          <w:color w:val="000000" w:themeColor="text1"/>
        </w:rPr>
        <w:t>, in a clinical setting</w:t>
      </w:r>
      <w:r w:rsidRPr="00F56683">
        <w:rPr>
          <w:rFonts w:cstheme="minorHAnsi"/>
          <w:color w:val="000000" w:themeColor="text1"/>
        </w:rPr>
        <w:t>.</w:t>
      </w:r>
    </w:p>
    <w:p w14:paraId="5DA09015" w14:textId="77777777" w:rsidR="004F4AF8" w:rsidRPr="00F56683" w:rsidRDefault="004F4AF8" w:rsidP="00F42CB9">
      <w:pPr>
        <w:spacing w:line="360" w:lineRule="auto"/>
        <w:rPr>
          <w:rFonts w:cstheme="minorHAnsi"/>
          <w:color w:val="000000" w:themeColor="text1"/>
        </w:rPr>
      </w:pPr>
    </w:p>
    <w:p w14:paraId="73C44D5E" w14:textId="6D1742F4" w:rsidR="004F4AF8" w:rsidRPr="00F56683" w:rsidRDefault="004F4AF8" w:rsidP="00F42CB9">
      <w:pPr>
        <w:pStyle w:val="Heading3"/>
        <w:spacing w:line="360" w:lineRule="auto"/>
        <w:rPr>
          <w:rFonts w:asciiTheme="minorHAnsi" w:hAnsiTheme="minorHAnsi" w:cstheme="minorHAnsi"/>
          <w:color w:val="000000" w:themeColor="text1"/>
        </w:rPr>
      </w:pPr>
      <w:bookmarkStart w:id="79" w:name="_Toc135384268"/>
      <w:r w:rsidRPr="00F56683">
        <w:rPr>
          <w:rFonts w:asciiTheme="minorHAnsi" w:hAnsiTheme="minorHAnsi" w:cstheme="minorHAnsi"/>
          <w:color w:val="000000" w:themeColor="text1"/>
        </w:rPr>
        <w:t>3.1.1 Screening tools</w:t>
      </w:r>
      <w:bookmarkEnd w:id="79"/>
      <w:r w:rsidRPr="00F56683">
        <w:rPr>
          <w:rFonts w:asciiTheme="minorHAnsi" w:hAnsiTheme="minorHAnsi" w:cstheme="minorHAnsi"/>
          <w:color w:val="000000" w:themeColor="text1"/>
        </w:rPr>
        <w:t xml:space="preserve"> </w:t>
      </w:r>
    </w:p>
    <w:p w14:paraId="4CD903E3" w14:textId="2C864149"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Screening tools play an important role in preventative medicine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{"citationItems":[{"id":"ITEM-1","itemData":{"DOI":"10.1186/S40985-018-0093-8/TABLES/4","ISSN":"21076952","abstract":"Background: Screening is an important part of preventive medicine. Ideally, screening tools identify patients early enough to provide treatment and avoid or reduce symptoms and other consequences, improving health outcomes of the population at a reasonable cost. Cost-effectiveness analyses combine the expected benefits and costs of interventions and can be used to assess the value of screening tools. Objective: This review seeks to evaluate the latest cost-effectiveness analyses on screening tools to identify the current challenges encountered and potential methods to overcome them. Methods: A systematic literature search of EMBASE and MEDLINE identified cost-effectiveness analyses of screening tools published in 2017. Data extracted included the population, disease, screening tools, comparators, perspective, time horizon, discounting, and outcomes. Challenges and methodological suggestions were narratively synthesized. Results: Four key categories were identified: screening pathways, pre-symptomatic disease, treatment outcomes, and non-health benefits. Not all studies included treatment outcomes; 15 studies (22%) did not include treatment following diagnosis. Quality-adjusted life years were used by 35 (51.4%) as the main outcome. Studies that undertook a societal perspective did not report non-health benefits and costs consistently. Two important challenges identified were (i) estimating the sojourn time, i.e., the time between when a patient can be identified by screening tests and when they would have been identified due to symptoms, and (ii) estimating the treatment effect and progression rates of patients identified early. Conclusions: To capture all important costs and outcomes of a screening tool, screening pathways should be modeled including patient treatment. Also, false positive and false negative patients are likely to have important costs and consequences and should be included in the analysis. As these patients are difficult to identify in regular data sources, common treatment patterns should be used to determine how these patients are likely to be treated. It is important that assumptions are clearly indicated and that the consequences of these assumptions are tested in sensitivity analyses, particularly the assumptions of independence of consecutive tests and the level of patient and provider compliance to guidelines and sojourn times. As data is rarely available regarding the progression of undiagnosed patients, extrapolation from dia…","author":[{"dropping-particle":"","family":"Iragorri","given":"Nicolas","non-dropping-particle":"","parse-names":false,"suffix":""},{"dropping-particle":"","family":"Spackman","given":"Eldon","non-dropping-particle":"","parse-names":false,"suffix":""}],"container-title":"Public Health Reviews","id":"ITEM-1","issue":"1","issued":{"date-parts":[["2018","7","13"]]},"page":"1-27","publisher":"BioMed Central Ltd.","title":"Assessing the value of screening tools: Reviewing the challenges and opportunities of cost-effectiveness analysis","type":"article-journal","volume":"39"},"uris":["http://www.mendeley.com/documents/?uuid=9349d168-8827-3b81-abb7-af5391e5f83d"]}],"mendeley":{"formattedCitation":"(162)","plainTextFormattedCitation":"(162)","previouslyFormattedCitation":"(162)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(162)</w:t>
      </w:r>
      <w:r w:rsidRPr="00F56683">
        <w:rPr>
          <w:rFonts w:cstheme="minorHAnsi"/>
          <w:color w:val="000000" w:themeColor="text1"/>
        </w:rPr>
        <w:fldChar w:fldCharType="end"/>
      </w:r>
      <w:r w:rsidRPr="00F56683">
        <w:rPr>
          <w:rFonts w:cstheme="minorHAnsi"/>
          <w:color w:val="000000" w:themeColor="text1"/>
        </w:rPr>
        <w:t xml:space="preserve"> and </w:t>
      </w:r>
      <w:r w:rsidR="00222F33" w:rsidRPr="00F56683">
        <w:rPr>
          <w:rFonts w:cstheme="minorHAnsi"/>
          <w:color w:val="000000" w:themeColor="text1"/>
        </w:rPr>
        <w:t xml:space="preserve">nutrition. They </w:t>
      </w:r>
      <w:r w:rsidRPr="00F56683">
        <w:rPr>
          <w:rFonts w:cstheme="minorHAnsi"/>
          <w:color w:val="000000" w:themeColor="text1"/>
        </w:rPr>
        <w:t xml:space="preserve">can be advantageous for quickly assessing if an individual </w:t>
      </w:r>
      <w:r w:rsidR="00DC5753" w:rsidRPr="00F56683">
        <w:rPr>
          <w:rFonts w:cstheme="minorHAnsi"/>
          <w:color w:val="000000" w:themeColor="text1"/>
        </w:rPr>
        <w:t>is</w:t>
      </w:r>
      <w:r w:rsidRPr="00F56683">
        <w:rPr>
          <w:rFonts w:cstheme="minorHAnsi"/>
          <w:color w:val="000000" w:themeColor="text1"/>
        </w:rPr>
        <w:t xml:space="preserve"> at risk of having an inadequate diet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{"citationItems":[{"id":"ITEM-1","itemData":{"DOI":"10.3305/NH.2015.31.SUP3.8757","ISSN":"1699-5198","PMID":"25719777","abstract":"In the last two decades easy-to-use simple instruments have been developed and validated to assess specific aspects of the diet or a general profile that can be compared with a reference dietary pattern as the Mediterranean Diet or with the recommendations of the Dietary Guidelines. Brief instruments are rapid, simple and easy to use tools that can be implemented by unskilled personnel without specific training. These tools are useful both in clinical settings and in Primary Health Care or in the community as a tool for triage, as a screening tool to identify individuals or groups of people at risk who require further care or even they have been used in studies to investigate associations between specific aspects of the diet and health outcomes. They are also used in interventions focused on changing eating behaviors as a diagnostic tool, for self-evaluation purposes, or to provide tailored advice in web based interventions or mobile apps. There are some specific instruments for use in children, adults, elderly or specific population groups.","author":[{"dropping-particle":"","family":"Rodrigo","given":"Carmen Pérez","non-dropping-particle":"","parse-names":false,"suffix":""},{"dropping-particle":"","family":"Fagúndez","given":"Luis Juan Morán","non-dropping-particle":"","parse-names":false,"suffix":""},{"dropping-particle":"","family":"Serván","given":"Pilar Riobó","non-dropping-particle":"","parse-names":false,"suffix":""},{"dropping-particle":"","family":"Bartrina","given":"Javier Aranceta","non-dropping-particle":"","parse-names":false,"suffix":""}],"container-title":"Nutricion hospitalaria","id":"ITEM-1","issued":{"date-parts":[["2015"]]},"page":"91-98","publisher":"Nutr Hosp","title":"Screeners and brief assessment methods","type":"article-journal","volume":"31 Suppl 3"},"uris":["http://www.mendeley.com/documents/?uuid=6b632fc8-b214-33d7-bfe4-a89e56596e8e"]}],"mendeley":{"formattedCitation":"(163)","plainTextFormattedCitation":"(163)","previouslyFormattedCitation":"(163)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(163)</w:t>
      </w:r>
      <w:r w:rsidRPr="00F56683">
        <w:rPr>
          <w:rFonts w:cstheme="minorHAnsi"/>
          <w:color w:val="000000" w:themeColor="text1"/>
        </w:rPr>
        <w:fldChar w:fldCharType="end"/>
      </w:r>
      <w:r w:rsidRPr="00F56683">
        <w:rPr>
          <w:rFonts w:cstheme="minorHAnsi"/>
          <w:color w:val="000000" w:themeColor="text1"/>
        </w:rPr>
        <w:t>. Most commonly, these tools are used to understand if an ind</w:t>
      </w:r>
      <w:r w:rsidR="00222F33" w:rsidRPr="00F56683">
        <w:rPr>
          <w:rFonts w:cstheme="minorHAnsi"/>
          <w:color w:val="000000" w:themeColor="text1"/>
        </w:rPr>
        <w:t>i</w:t>
      </w:r>
      <w:r w:rsidRPr="00F56683">
        <w:rPr>
          <w:rFonts w:cstheme="minorHAnsi"/>
          <w:color w:val="000000" w:themeColor="text1"/>
        </w:rPr>
        <w:t>vi</w:t>
      </w:r>
      <w:r w:rsidR="00222F33" w:rsidRPr="00F56683">
        <w:rPr>
          <w:rFonts w:cstheme="minorHAnsi"/>
          <w:color w:val="000000" w:themeColor="text1"/>
        </w:rPr>
        <w:t>du</w:t>
      </w:r>
      <w:r w:rsidRPr="00F56683">
        <w:rPr>
          <w:rFonts w:cstheme="minorHAnsi"/>
          <w:color w:val="000000" w:themeColor="text1"/>
        </w:rPr>
        <w:t xml:space="preserve">al is malnourished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{"citationItems":[{"id":"ITEM-1","itemData":{"DOI":"10.3390/NU14122392","ISSN":"20726643","PMID":"35745121","abstract":"Malnutrition is a serious problem with a negative impact on the quality of life and the evolution of patients, contributing to an increase in morbidity, length of hospital stay, mortality, and health spending. Early identification is fundamental to implement the necessary therapeutic actions, involving adequate nutritional support to prevent or reverse malnutrition. This review presents two complementary methods of fighting malnutrition: Nutritional screening and nutritional assessment. Nutritional risk screening is conducted using simple, quick-to-perform tools, and is the first line of action in detecting at-risk patients. It should be implemented systematically and periodically on admission to hospital or residential care, as well as on an outpatient basis for patients with chronic conditions. Once patients with a nutritional risk are detected, they should undergo a more detailed nutritional assessment to identify and quantify the type and degree of malnutrition. This should include health history and clinical examination, dietary history, anthropometric measurements, evaluation of the degree of aggression determined by the disease, functional assessment, and, whenever possible, some method of measuring body composition.","author":[{"dropping-particle":"","family":"Serón-Arbeloa","given":"Carlos","non-dropping-particle":"","parse-names":false,"suffix":""},{"dropping-particle":"","family":"Labarta-Monzón","given":"Lorenzo","non-dropping-particle":"","parse-names":false,"suffix":""},{"dropping-particle":"","family":"Puzo-Foncillas","given":"José","non-dropping-particle":"","parse-names":false,"suffix":""},{"dropping-particle":"","family":"Mallor-Bonet","given":"Tomas","non-dropping-particle":"","parse-names":false,"suffix":""},{"dropping-particle":"","family":"Lafita-López","given":"Alberto","non-dropping-particle":"","parse-names":false,"suffix":""},{"dropping-particle":"","family":"Bueno-Vidales","given":"Néstor","non-dropping-particle":"","parse-names":false,"suffix":""},{"dropping-particle":"","family":"Montoro-Huguet","given":"Miguel","non-dropping-particle":"","parse-names":false,"suffix":""}],"container-title":"Nutrients","id":"ITEM-1","issue":"12","issued":{"date-parts":[["2022","6","1"]]},"publisher":"Multidisciplinary Digital Publishing Institute  (MDPI)","title":"Malnutrition Screening and Assessment","type":"article-journal","volume":"14"},"uris":["http://www.mendeley.com/documents/?uuid=df8331d3-5e5b-35a3-aab8-6d0e2c03d52b"]}],"mendeley":{"formattedCitation":"(164)","plainTextFormattedCitation":"(164)","previouslyFormattedCitation":"(164)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(164)</w:t>
      </w:r>
      <w:r w:rsidRPr="00F56683">
        <w:rPr>
          <w:rFonts w:cstheme="minorHAnsi"/>
          <w:color w:val="000000" w:themeColor="text1"/>
        </w:rPr>
        <w:fldChar w:fldCharType="end"/>
      </w:r>
      <w:r w:rsidRPr="00F56683">
        <w:rPr>
          <w:rFonts w:cstheme="minorHAnsi"/>
          <w:color w:val="000000" w:themeColor="text1"/>
        </w:rPr>
        <w:t xml:space="preserve"> and </w:t>
      </w:r>
      <w:r w:rsidR="00222F33" w:rsidRPr="00F56683">
        <w:rPr>
          <w:rFonts w:cstheme="minorHAnsi"/>
          <w:color w:val="000000" w:themeColor="text1"/>
        </w:rPr>
        <w:t>i</w:t>
      </w:r>
      <w:r w:rsidRPr="00F56683">
        <w:rPr>
          <w:rFonts w:cstheme="minorHAnsi"/>
          <w:color w:val="000000" w:themeColor="text1"/>
        </w:rPr>
        <w:t>n the UK</w:t>
      </w:r>
      <w:r w:rsidR="00932E05" w:rsidRPr="00F56683">
        <w:rPr>
          <w:rFonts w:cstheme="minorHAnsi"/>
          <w:color w:val="000000" w:themeColor="text1"/>
        </w:rPr>
        <w:t>,</w:t>
      </w:r>
      <w:r w:rsidR="00222F33" w:rsidRPr="00F56683">
        <w:rPr>
          <w:rFonts w:cstheme="minorHAnsi"/>
          <w:color w:val="000000" w:themeColor="text1"/>
        </w:rPr>
        <w:t xml:space="preserve"> the</w:t>
      </w:r>
      <w:r w:rsidRPr="00F56683">
        <w:rPr>
          <w:rFonts w:cstheme="minorHAnsi"/>
          <w:color w:val="000000" w:themeColor="text1"/>
        </w:rPr>
        <w:t xml:space="preserve"> Malnutrition Universal Screening Tool (MUST) is </w:t>
      </w:r>
      <w:r w:rsidR="00222F33" w:rsidRPr="00F56683">
        <w:rPr>
          <w:rFonts w:cstheme="minorHAnsi"/>
          <w:color w:val="000000" w:themeColor="text1"/>
        </w:rPr>
        <w:t>one such tool recommended</w:t>
      </w:r>
      <w:r w:rsidRPr="00F56683">
        <w:rPr>
          <w:rFonts w:cstheme="minorHAnsi"/>
          <w:color w:val="000000" w:themeColor="text1"/>
        </w:rPr>
        <w:t xml:space="preserve"> for this purpose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{"citationItems":[{"id":"ITEM-1","itemData":{"author":[{"dropping-particle":"","family":"Marinos Elia","given":"Professor","non-dropping-particle":"","parse-names":false,"suffix":""}],"id":"ITEM-1","issued":{"date-parts":[["0"]]},"title":"THE MUST REPORT Nutritional screening of adults: a multidisciplinary responsibility Executive Summary Chairman of MAG and Editor Advancing Clinical Nutrition","type":"report"},"uris":["http://www.mendeley.com/documents/?uuid=7c616c06-c51e-31cb-803a-9897c260a714"]}],"mendeley":{"formattedCitation":"(165)","plainTextFormattedCitation":"(165)","previouslyFormattedCitation":"(165)"},"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(165)</w:t>
      </w:r>
      <w:r w:rsidRPr="00F56683">
        <w:rPr>
          <w:rFonts w:cstheme="minorHAnsi"/>
          <w:color w:val="000000" w:themeColor="text1"/>
        </w:rPr>
        <w:fldChar w:fldCharType="end"/>
      </w:r>
      <w:r w:rsidRPr="00F56683">
        <w:rPr>
          <w:rFonts w:cstheme="minorHAnsi"/>
          <w:color w:val="000000" w:themeColor="text1"/>
        </w:rPr>
        <w:t xml:space="preserve">. </w:t>
      </w:r>
      <w:r w:rsidR="00222F33" w:rsidRPr="00F56683">
        <w:rPr>
          <w:rFonts w:cstheme="minorHAnsi"/>
          <w:color w:val="000000" w:themeColor="text1"/>
        </w:rPr>
        <w:t>In addition</w:t>
      </w:r>
      <w:r w:rsidRPr="00F56683">
        <w:rPr>
          <w:rFonts w:cstheme="minorHAnsi"/>
          <w:color w:val="000000" w:themeColor="text1"/>
        </w:rPr>
        <w:t xml:space="preserve">, nutrient-specific screening tools are available. A literature search identified fifteen </w:t>
      </w:r>
      <w:r w:rsidR="00CC0020" w:rsidRPr="00F56683">
        <w:rPr>
          <w:rFonts w:cstheme="minorHAnsi"/>
          <w:color w:val="000000" w:themeColor="text1"/>
        </w:rPr>
        <w:t xml:space="preserve">nutrition </w:t>
      </w:r>
      <w:r w:rsidRPr="00F56683">
        <w:rPr>
          <w:rFonts w:cstheme="minorHAnsi"/>
          <w:color w:val="000000" w:themeColor="text1"/>
        </w:rPr>
        <w:t xml:space="preserve">screening tools that are currently available. Of these, </w:t>
      </w:r>
      <w:r w:rsidR="00251B8D" w:rsidRPr="00F56683">
        <w:rPr>
          <w:rFonts w:cstheme="minorHAnsi"/>
          <w:color w:val="000000" w:themeColor="text1"/>
        </w:rPr>
        <w:t>four</w:t>
      </w:r>
      <w:r w:rsidRPr="00F56683">
        <w:rPr>
          <w:rFonts w:cstheme="minorHAnsi"/>
          <w:color w:val="000000" w:themeColor="text1"/>
        </w:rPr>
        <w:t xml:space="preserve"> screene</w:t>
      </w:r>
      <w:r w:rsidR="00CC0020" w:rsidRPr="00F56683">
        <w:rPr>
          <w:rFonts w:cstheme="minorHAnsi"/>
          <w:color w:val="000000" w:themeColor="text1"/>
        </w:rPr>
        <w:t>d broadly about dietary features</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{"citationItems":[{"id":"ITEM-1","itemData":{"DOI":"10.3390/IJERPH110302683","ISSN":"16604601","PMID":"24599042","abstract":"Our aim was to validate a 16-item food intake questionnaire (16-FIQ) and create an easy to use method to estimate patients' nutrient intake in primary health care. Participants (52 men, 25 women) completed a 7-day food record and a 16-FIQ. Food and nutrient intakes were calculated and compared using Spearman correlation. Further, nutrient intakes were compared using kappa-statistics and exact and opposite agreement of intake tertiles. The results indicated that the 16-FIQ reliably categorized individuals according to their nutrient intakes. Methods to estimate nutrient intake based on the answers given in 16-FIQ were created. In linear regression models nutrient intake estimates from the food records were used as the dependent variables and sum variables derived from the 16-FIQ were used as the independent variables. Valid regression models were created for the energy proportion of fat, saturated fat, and sucrose and the amount of fibre (g), vitamin C (mg), iron (mg), and vitamin D (μg) intake. The 16-FIQ is a valid method for estimating nutrient intakes in group level. In addition, the 16-FIQ could be a useful tool to facilitate identification of people in need of dietary counselling and to monitor the effect of counselling in primary health care. © 2014 by the authors; licensee MDPI, Basel, Switzerland.","author":[{"dropping-particle":"","family":"Hemiö","given":"Katri","non-dropping-particle":"","parse-names":false,"suffix":""},{"dropping-particle":"","family":"Pölönen","given":"Auli","non-dropping-particle":"","parse-names":false,"suffix":""},{"dropping-particle":"","family":"Ahonen","given":"Kirsti","non-dropping-particle":"","parse-names":false,"suffix":""},{"dropping-particle":"","family":"Kosola","given":"Mikko","non-dropping-particle":"","parse-names":false,"suffix":""},{"dropping-particle":"","family":"Viitasalo","given":"Katriina","non-dropping-particle":"","parse-names":false,"suffix":""},{"dropping-particle":"","family":"Lindström","given":"Jaana","non-dropping-particle":"","parse-names":false,"suffix":""}],"container-title":"International Journal of Environmental Research and Public Health","id":"ITEM-1","issue":"3","issued":{"date-parts":[["2014"]]},"page":"2683","publisher":"Multidisciplinary Digital Publishing Institute  (MDPI)","title":"A Simple Tool for Diet Evaluation in Primary Health Care: Validation of a 16-Item Food Intake Questionnaire","type":"article-journal","volume":"11"},"uris":["http://www.mendeley.com/documents/?uuid=5b48e9dd-a7ad-3eff-be4d-cfe80adbc596"]},{"id":"ITEM-2","itemData":{"DOI":"10.3390/NU7085282","ISSN":"2072-6643","PMID":"26247965","abstract":"A 36-item Short Diet Questionnaire (SDQ) was developed to assess usual consumption frequencies of foods providing fats, fibre, calcium, vitamin D, in addition to fruits and vegetables. It was pretested among 30 community-dwelling participants from the Québec Longitudinal Study on Nutrition and Successful Aging, “NuAge” (n = 1793, 52.4% women), recruited in three age groups (70 ± 2 years; 75 ± 2 years; 80 ± 2 years). Following revision, the SDQ was administered to 527 NuAge participants (55% female), distributed among the three age groups, both sexes and languages (French, English) prior to the second of three non-consecutive 24 h diet recalls (24HR) and validated relative to the mean of three 24HR. Full data were available for 396 participants. Most SDQ nutrients and fruit and vegetable servings were lower than 24HR estimates (p &lt; 0.05) except calcium, vitamin D, and saturated and trans fats. Spearman correlations between the SDQ and 24HR were modest and significant (p &lt; 0.01), ranging from 0.19 (cholesterol) to 0.45 (fruits and vegetables). Cross-classification into quartiles showed 33% of items were jointly classified into identical quartiles of the distribution, 73% into identical and contiguous quartiles, and only 7% were frankly misclassified. The SDQ is a reasonably accurate, rapid approach for ranking usual frequencies of selected nutrients and foods. Further testing is needed in a broader age range.","author":[{"dropping-particle":"","family":"Shatenstein","given":"Bryna","non-dropping-particle":"","parse-names":false,"suffix":""},{"dropping-particle":"","family":"Payette","given":"Hélène","non-dropping-particle":"","parse-names":false,"suffix":""}],"container-title":"Nutrients","id":"ITEM-2","issue":"8","issued":{"date-parts":[["2015","8","4"]]},"page":"6362-6374","publisher":"Nutrients","title":"Evaluation of the Relative Validity of the Short Diet Questionnaire for Assessing Usual Consumption Frequencies of Selected Nutrients and Foods","type":"article-journal","volume":"7"},"uris":["http://www.mendeley.com/documents/?uuid=bdb86967-71f4-3866-b556-3221968782d8"]},{"id":"ITEM-3","itemData":{"DOI":"10.1079/PHN2004676","ISSN":"1368-9800","PMID":"15877913","abstract":"OBJECTIVES To assess the short- and long-term reproducibility of a short food group questionnaire, and to compare its performance for estimating nutrient intakes in comparison with a 7-day diet diary. DESIGN Participants for the reproducibility study completed the food group questionnaire at two time points, up to 2 years apart. Participants for the performance study completed both the food group questionnaire and a 7-day diet diary a few months apart. Reproducibility was assessed by kappa statistics and percentage change between the two questionnaires; performance was assessed by kappa statistics, rank correlations and percentages of participants classified into the same and opposite thirds of intake. SETTING A random sample of participants in the Million Women Study, a population-based prospective study in the UK. SUBJECTS In total, 12 221 women aged 50-64 years. RESULTS In the reproducibility study, 75% of the food group items showed at least moderate agreement for all four time-point comparisons. Items showing fair agreement or worse tended to be those where few respondents reported eating them more than once a week, those consumed in small amounts and those relating to types of fat consumed. Compared with the diet diary, the food group questionnaire showed consistently reasonable performance for the nutrients carbohydrate, saturated fat, cholesterol, total sugars, alcohol, fibre, calcium, riboflavin, folate and vitamin C. CONCLUSIONS The short food group questionnaire used in this study has been shown to be reproducible over time and to perform reasonably well for the assessment of a number of dietary nutrients.","author":[{"dropping-particle":"","family":"Roddam","given":"Andrew W","non-dropping-particle":"","parse-names":false,"suffix":""},{"dropping-particle":"","family":"Spencer","given":"Elizabeth","non-dropping-particle":"","parse-names":false,"suffix":""},{"dropping-particle":"","family":"Banks","given":"Emily","non-dropping-particle":"","parse-names":false,"suffix":""},{"dropping-particle":"","family":"Beral","given":"Valerie","non-dropping-particle":"","parse-names":false,"suffix":""},{"dropping-particle":"","family":"Reeves","given":"Gillian","non-dropping-particle":"","parse-names":false,"suffix":""},{"dropping-particle":"","family":"Appleby","given":"Paul","non-dropping-particle":"","parse-names":false,"suffix":""},{"dropping-particle":"","family":"Barnes","given":"Isobel","non-dropping-particle":"","parse-names":false,"suffix":""},{"dropping-particle":"","family":"Whiteman","given":"David C","non-dropping-particle":"","parse-names":false,"suffix":""},{"dropping-particle":"","family":"Keyal","given":"Timothy J","non-dropping-particle":"","parse-names":false,"suffix":""}],"container-title":"Public health nutrition","id":"ITEM-3","issue":"2","issued":{"date-parts":[["2005","4"]]},"page":"201-213","publisher":"Public Health Nutr","title":"Reproducibility of a short semi-quantitative food group questionnaire and its performance in estimating nutrient intake compared with a 7-day diet diary in the Million Women Study","type":"article-journal","volume":"8"},"uris":["http://www.mendeley.com/documents/?uuid=97f8ddf8-e648-3664-acf2-cf8894f86927"]},{"id":"ITEM-4","itemData":{"DOI":"10.1080/09637486.2016.1240763","ISSN":"1465-3478","PMID":"27744752","abstract":"The aim of this article is to report on the validity and internal consistency of a short food frequency questionnaire (FFQ) to measure dietary intake in Australian adults. A total of 407 individuals completed the short FFQ. The Cronbach’s alpha of 0.66 indicated acceptable internal consistency for the FFQ. Content validity was measured using factor analysis showed that 35% of total variance was explained by factor analysis. The FFQ was also validated against 31 3-day food records (FR). No significant difference between average intake of energy, most macronutrients, and some micronutrients between two instruments was identified. An acceptable levels of correlation (0.39–0.69) was observed between the two instruments. Bland and Altman’s plots showed relative agreement in both instruments with potential bias in measuring iron and iodine. The current FFQ can be an acceptable tool to quickly measuring dietary intake in Australian adults.","author":[{"dropping-particle":"","family":"Khalesi","given":"Saman","non-dropping-particle":"","parse-names":false,"suffix":""},{"dropping-particle":"","family":"Doshi","given":"Deepak","non-dropping-particle":"","parse-names":false,"suffix":""},{"dropping-particle":"","family":"Buys","given":"Nicholas","non-dropping-particle":"","parse-names":false,"suffix":""},{"dropping-particle":"","family":"Sun","given":"Jing","non-dropping-particle":"","parse-names":false,"suffix":""}],"container-title":"International journal of food sciences and nutrition","id":"ITEM-4","issue":"3","issued":{"date-parts":[["2017","4","3"]]},"page":"349-357","publisher":"Int J Food Sci Nutr","title":"Validation of a short food frequency questionnaire in Australian adults","type":"article-journal","volume":"68"},"uris":["http://www.mendeley.com/documents/?uuid=57717614-c76f-34b1-ac46-50ed5d18c664"]}],"mendeley":{"formattedCitation":"(166–169)","plainTextFormattedCitation":"(166–169)","previouslyFormattedCitation":"(166–169)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(166–169)</w:t>
      </w:r>
      <w:r w:rsidRPr="00F56683">
        <w:rPr>
          <w:rFonts w:cstheme="minorHAnsi"/>
          <w:color w:val="000000" w:themeColor="text1"/>
        </w:rPr>
        <w:fldChar w:fldCharType="end"/>
      </w:r>
      <w:r w:rsidRPr="00F56683">
        <w:rPr>
          <w:rFonts w:cstheme="minorHAnsi"/>
          <w:color w:val="000000" w:themeColor="text1"/>
        </w:rPr>
        <w:t xml:space="preserve">, </w:t>
      </w:r>
      <w:r w:rsidR="00251B8D" w:rsidRPr="00F56683">
        <w:rPr>
          <w:rFonts w:cstheme="minorHAnsi"/>
          <w:color w:val="000000" w:themeColor="text1"/>
        </w:rPr>
        <w:t xml:space="preserve">seven </w:t>
      </w:r>
      <w:r w:rsidRPr="00F56683">
        <w:rPr>
          <w:rFonts w:cstheme="minorHAnsi"/>
          <w:color w:val="000000" w:themeColor="text1"/>
        </w:rPr>
        <w:t xml:space="preserve">were designed to screen for dietary fat consumption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{"citationItems":[{"id":"ITEM-1","itemData":{"DOI":"10.1016/S0002-8223(01)00020-7","ISSN":"0002-8223","PMID":"11209589","abstract":"MEDFICTS is a dietary assessment instrument designed to evaluate patient adherence to the National Cholesterol Education Program Step 1 and Step 2 diets. It provides a quick way to record food intake, portion size, and frequency of intake while focusing on foods that are the primary contributors of total fat, saturated fat, and cholesterol in the average American diet (ie, Meats, Eggs, Dairy, Fried foods, fat In baked goods, Convenience foods, fats added at the Table and Snacks). MEDFICTS was validated in a pilot study using 16 computer-analyzed sets of 4-day food records randomly selected from 7-day food records collected in the Diet Modification Clinic at Baylor College of Medicine, Houston, Tex). MEDFICTS correctly identified the 11 patients consuming a Step 1 diet, the 2 patients consuming the Step 2 diet and the 3 patients consuming an average American diet. Pearson correlation coefficients between MEDFICTS and the 4-day records were significant for percent energy from total fat (r=0.81, P&lt;.0002), saturated fat (r=0.79, P&lt;.0003), and cholesterol (r=0.52, P&lt;.039). Pearson correlation coefficients from 2 follow-up validation studies (3-day diet records [n=22] through the Mary Imogene Bassett Research Institute, Cooperstown, NY, and a second study at the Diet Modification Clinic [n=26]) also correlated significantly with percent energy from total fat (r=0.56, P&lt;.006; r=0.71, P&lt;.0001), saturated fat (r=0.60, P&lt;.003; r=0.71, P&lt;.0001), and approached significance for cholesterol intake (r=0.54, P&lt;.009; r=0.39, P&lt;.051) respectively. MEDFICTS is a quick, efficient tool that can be used in cardiovascular health screening, clinical practice, or research for the assessment of adherence to Step 1 or 2 diets. It can be self administered, and when reviewed with a dietitian, can provide an opportunity for nutrition education.","author":[{"dropping-particle":"","family":"Kris-Etherton","given":"Penny","non-dropping-particle":"","parse-names":false,"suffix":""},{"dropping-particle":"","family":"Eissenstat","given":"B.","non-dropping-particle":"","parse-names":false,"suffix":""},{"dropping-particle":"","family":"Jaax","given":"S.","non-dropping-particle":"","parse-names":false,"suffix":""},{"dropping-particle":"","family":"Srinath","given":"Uma","non-dropping-particle":"","parse-names":false,"suffix":""},{"dropping-particle":"","family":"Scott","given":"L.","non-dropping-particle":"","parse-names":false,"suffix":""},{"dropping-particle":"","family":"Rader","given":"J.","non-dropping-particle":"","parse-names":false,"suffix":""},{"dropping-particle":"","family":"Pearson","given":"T.","non-dropping-particle":"","parse-names":false,"suffix":""}],"container-title":"Journal of the American Dietetic Association","id":"ITEM-1","issue":"1","issued":{"date-parts":[["2001","1","1"]]},"page":"81-86","publisher":"Elsevier","title":"Validation for MEDFICTS, a Dietary Assessment Instrument for Evaluating Adherence to Total and Saturated Fat Recommendations of the National Cholesterol Education Program Step 1 and Step 2 Diets","type":"article-journal","volume":"101"},"uris":["http://www.mendeley.com/documents/?uuid=255a2898-a93f-399f-96c9-e300c38dae00"]},{"id":"ITEM-2","itemData":{"DOI":"10.1046/J.1365-277X.2001.00310.X","ISSN":"1365-277X","PMID":"11906579","abstract":"Background. To assess the relative validity of a short food frequency questionnaire, the Fat list, to be used in (the evaluation of) nutrition education programmes. Methods. Forty-five adults and 50 adolescents (12-18 years old) completed the Fat list at home, and subsequently kept diet records for seven subsequent days. Results. Pearson correlations of about 0.7 for adults and 0.6 for adolescents were observed between fat scores derived from the Fat list and total and saturated fat intake in grams estimated by the 7-day diet records. Correlations varied among subpopulations based on sex, age, education, household size and responsibility for cooking and shopping. Lower correlations were especially found for female adolescents and older adolescents (16-18 years old). Pearson correlations between the Fat list and percentages energy from fat were low for both adults and adolescents. Gross misclassification, defined as disagreement between the two fat consumption assessments beyond an adjacent tertile, was less than 6% for all but the female adolescents. Conclusions. The Fat list can be used in adult and male adolescent populations to classify subjects in broad categories of total and saturated fat intake in grams and to assess differences in absolute and saturated fat intake between groups as a result of nutrition education programmes.","author":[{"dropping-particle":"","family":"Assema","given":"P.","non-dropping-particle":"Van","parse-names":false,"suffix":""},{"dropping-particle":"","family":"Brug","given":"J.","non-dropping-particle":"","parse-names":false,"suffix":""},{"dropping-particle":"","family":"Ronda","given":"G.","non-dropping-particle":"","parse-names":false,"suffix":""},{"dropping-particle":"","family":"Steenhuis","given":"I.","non-dropping-particle":"","parse-names":false,"suffix":""}],"container-title":"Journal of Human Nutrition and Dietetics","id":"ITEM-2","issue":"5","issued":{"date-parts":[["2001","10","1"]]},"page":"377-390","publisher":"John Wiley &amp; Sons, Ltd","title":"The relative validity of a short Dutch questionnaire as a means to categorize adults and adolescents to total and saturated fat intake","type":"article-journal","volume":"14"},"uris":["http://www.mendeley.com/documents/?uuid=d2e99445-3429-3204-80fa-527b8d504256"]},{"id":"ITEM-3","itemData":{"DOI":"10.1093/EURPUB/13.3.262","ISSN":"1101-1262","PMID":"14533731","abstract":"Background: The aim of this study was the development and validation of a short list of food items to assess the intake of total fat, saturated, mono-unsaturated, polyunsaturated fatty acids, and cholesterol. The short list should be able to correctly classify persons according to their intake. Methods: A short list of 20 food items was selected out of 1009 seven-day food records by means of the variance-based method Max_r. This list was validated using data from a further 479 persons who completed seven-day food records (validation sample 1, VS1) as well as a food frequency questionnaire (validation sample 2, VS2). The intake of total fat, different fatty acids, and cholesterol from the complete VS1 (VS1complete) and from the complete VS2 (VS2 complete), respectively, was computed. Further, the intake in VS1 (VS1short) as well as in VS2 (VS2short) using only the 20 food items on the short list were calculated. Results: Pearson correlation coefficients between the intake calculated from the items on the short list and the nutrient intake calculated from the full instrument in VS1 and VS2, respectively, were r=0.81-0.91. In a quartile's cross-classification 53.4-64.1% of the participants were assigned to the same quartile. When comparing VS1 complete with VS2short, neither correlation coefficients nor the cross-classification differ much from the comparison of VS1 complete with VS2complete. Conclusions: The short list shows good results in both validation samples. Thus, the short list can assess the variability of fat intake and classify persons according to their intake.","author":[{"dropping-particle":"","family":"Rohrmann","given":"Sabine","non-dropping-particle":"","parse-names":false,"suffix":""},{"dropping-particle":"","family":"Klein","given":"Gisela","non-dropping-particle":"","parse-names":false,"suffix":""}],"container-title":"European journal of public health","id":"ITEM-3","issue":"3","issued":{"date-parts":[["2003","9"]]},"page":"262-268","publisher":"Eur J Public Health","title":"Development and validation of a short food list to assess the intake of total fat, saturated, mono-unsaturated, polyunsaturated fatty acids and cholesterol","type":"article-journal","volume":"13"},"uris":["http://www.mendeley.com/documents/?uuid=087def75-0ac1-3870-936a-f0b38909d304"]},{"id":"ITEM-4","itemData":{"DOI":"10.1186/1475-2891-2-4","ISSN":"14752891","abstract":"Background: Dietary assessment tools are often too long, difficult to quantify, expensive to process, and largely used for research purposes. A rapid and accurate assessment of dietary fat intake is critically important in clinical decision-making regarding dietary advice for coronary risk reduction. We assessed the validity of the MEDFICTS (MF) questionnaire, a brief instrument developed to assess fat intake according to the American Heart Association (AHA) dietary \"steps\". Methods: We surveyed 164 active-duty US Army personnel without known coronary artery disease at their intake interview for a primary prevention cardiac intervention trial using the Block food frequency (FFQ) and MF questionnaires. Both surveys were completed on the same intake visit and independently scored. Correlations between each tools' assessment of fat intake, the agreement in AHA step categorization of dietary quality with each tool, and the test characteristics of the MF using the FFQ as the gold standard were assessed. Results: Subjects consumed a mean of 36.0 ± 13. 0% of their total calories as fat, which included saturated fat consumption of 13.0 ± 0.4%. The majority of subjects (125/164; 76.2%) had a high fat (worse than AHA Step 1) diet. There were significant correlations between the MF and the FFQ for the intake of total fat (r = 0.52, P &lt; 0.0001) and saturated fat (r = 0.52, P &lt; 0.0001). Despite these modest correlations, the currently recommended MF cutpoints correctly identified only 29 of 125 (23.3%) high fat (worse than AHA Step 1) diets. Overall agreement for the AHA diet step between the FFQ and MF (using the previously proposed MF score cutoffs of 0-39 [AHA Step 2], 40-70 [Step 1], and &gt;70 [high fat diet]) was negligible (kappa statistic = 0.036). The MF was accurate at the extremes of fat intake, but could not reliably identify the 3 AHA dietary classifications. Alternative MF cutpoints of &lt;30 (Step 2), 30-50 (Step 1), and &gt;50 (high fat diet) were highly sensitive (96%), but had low specificity (46%) for a high fat diet. ROC curve analysis identified that a MF score cutoff of 38 provided optimal sensitivity 75% and specificity 72%, and had modest agreement (kappa = 0.39, P &lt; 0.001) with the FFQ for the identification of subjects with a high fat diet. Conclusions: The MEDFICTS questionnaire is most suitable as a tool to identify high fat diets, rather than discriminate AHA Step 1 and Step 2 diets. Currently recommended MEDFICTS cutpoints are too high, leading …","author":[{"dropping-particle":"","family":"Taylor","given":"Allen J.","non-dropping-particle":"","parse-names":false,"suffix":""},{"dropping-particle":"","family":"Wong","given":"Henry","non-dropping-particle":"","parse-names":false,"suffix":""},{"dropping-particle":"","family":"Wish","given":"Karen","non-dropping-particle":"","parse-names":false,"suffix":""},{"dropping-particle":"","family":"Carrow","given":"Jon","non-dropping-particle":"","parse-names":false,"suffix":""},{"dropping-particle":"","family":"Bell","given":"Debulon","non-dropping-particle":"","parse-names":false,"suffix":""},{"dropping-particle":"","family":"Bindeman","given":"Jody","non-dropping-particle":"","parse-names":false,"suffix":""},{"dropping-particle":"","family":"Watkins","given":"Tammy","non-dropping-particle":"","parse-names":false,"suffix":""},{"dropping-particle":"","family":"Lehmann","given":"Trudy","non-dropping-particle":"","parse-names":false,"suffix":""},{"dropping-particle":"","family":"Bhattarai","given":"Saroj","non-dropping-particle":"","parse-names":false,"suffix":""},{"dropping-particle":"","family":"O'Malley","given":"Patrick G.","non-dropping-particle":"","parse-names":false,"suffix":""}],"container-title":"Nutrition Journal","id":"ITEM-4","issue":"1","issued":{"date-parts":[["2003","6","13"]]},"page":"1-6","publisher":"BioMed Central","title":"Validation of the MEDFICTS dietary questionnaire: A clinical tool to assess adherence to American Heart Association dietary fat intake guidelines","type":"article","volume":"2"},"uris":["http://www.mendeley.com/documents/?uuid=b79cacd0-576c-3cfe-8146-79cb1a451dc0"]},{"id":"ITEM-5","itemData":{"DOI":"10.1016/J.JADA.2007.02.006","ISSN":"0002-8223","PMID":"17467371","abstract":"Objective: To describe the data-based development of a short dietary assessment instrument, a 16-item screener; and to evaluate the performance of the screener, comparing its performance with a complete 120-item food frequency questionnaire (FFQ) in assessing percentage energy from fat intake. Design: A subsample (n=404) of participants in the National Institutes of Health-AARP Diet and Health Study, who had completed an FFQ and two 24-hour dietary recalls, also completed the fat screener. Percentage energy from fat from the screener and from the FFQ were compared with estimated true usual intake using a measurement error model. Results: For men, the mean percentage energy from fat estimates for the different methods were: recalls, 30.1%, screener, 29.9%; FFQ, 30.4%. For women, the results were: recalls, 31.3%, screener, 28.4%, FFQ, 30.0%. Estimated correlations between true intake and screener were 0.64 and 0.58 for men and women, respectively, and between true intake and FFQ were 0.67 for men and 0.72 for women. Estimated attenuation coefficients for the screener were 1.29 (men) and 0.98 (women) and for the FFQ were 0.56 (men) and 0.57 (women). Conclusions: The percentage energy from fat screener, when used in conjunction with external reference data, may be useful to compare mean intakes of fat for different population subgroups, and to examine relationships between fat intake and other factors. © 2007 American Dietetic Association.","author":[{"dropping-particle":"","family":"Thompson","given":"Frances E.","non-dropping-particle":"","parse-names":false,"suffix":""},{"dropping-particle":"","family":"Midthune","given":"Douglas","non-dropping-particle":"","parse-names":false,"suffix":""},{"dropping-particle":"","family":"Subar","given":"Amy F.","non-dropping-particle":"","parse-names":false,"suffix":""},{"dropping-particle":"","family":"Kipnis","given":"Victor","non-dropping-particle":"","parse-names":false,"suffix":""},{"dropping-particle":"","family":"Kahle","given":"Lisa L.","non-dropping-particle":"","parse-names":false,"suffix":""},{"dropping-particle":"","family":"Schatzkin","given":"Arthur","non-dropping-particle":"","parse-names":false,"suffix":""}],"container-title":"Journal of the American Dietetic Association","id":"ITEM-5","issue":"5","issued":{"date-parts":[["2007","5"]]},"page":"760-767","publisher":"J Am Diet Assoc","title":"Development and evaluation of a short instrument to estimate usual dietary intake of percentage energy from fat","type":"article-journal","volume":"107"},"uris":["http://www.mendeley.com/documents/?uuid=d59aaa77-ae55-377c-af57-ca42b860a064"]},{"id":"ITEM-6","itemData":{"DOI":"10.1093/JN/138.1.193S","ISSN":"15416100","PMID":"18156424","abstract":"The need for an inexpensive measure of dietary intake in intervention studies led to evaluation of the National Cancer Institute (NCI) Percentage Energy from Fat short instrument (PFat) in a subgroup of the Behavioral Change Consortium (BCC) intervention sites. The PFat's performance was evaluated using multiple nonconsecutive 24-h dietary recalls (24HR) as a reference instrument among participants at baseline in 4 demographically diverse intervention sites of the BCC. Mean estimates of percentage energy from fat for 24HR and PFat were within 2.1 percentage points of each other in all but 2 site/gender comparisons. 24HR and PFat estimates were not significantly different (P &lt; 0.05) among men for 2 of 3 sites, and among women for 2 of 4 sites. Deattenuated Pearson correlation coefficients for the PFat and true intake (as estimated from the 24HR using a measurement error model) were significantly different from 0 (P &lt; 0.05) for men and women in all sites, ranging from 0.52 to 0.77 among men and 0.36 to 0.59 among women. Besides gender and site, no other factors examined (age, education, smoking status, and BMI) consistently moderated validity estimates. If accurate assessment of diet at baseline (and presumably at follow-up) is essential, a more detailed instrument such as multiple 24HR may be warranted. The question of whether the PFat adequately measures change in diet is addressed in another article in this supplement. © 2008 American Society for Nutrition.","author":[{"dropping-particle":"","family":"Thompson","given":"Frances E.","non-dropping-particle":"","parse-names":false,"suffix":""},{"dropping-particle":"","family":"Midthune","given":"Douglas","non-dropping-particle":"","parse-names":false,"suffix":""},{"dropping-particle":"","family":"Williams","given":"Geoffrey C.","non-dropping-particle":"","parse-names":false,"suffix":""},{"dropping-particle":"","family":"Yaroch","given":"Amy L.","non-dropping-particle":"","parse-names":false,"suffix":""},{"dropping-particle":"","family":"Hurley","given":"Thomas G.","non-dropping-particle":"","parse-names":false,"suffix":""},{"dropping-particle":"","family":"Resnicow","given":"Ken","non-dropping-particle":"","parse-names":false,"suffix":""},{"dropping-particle":"","family":"Hebert","given":"James R.","non-dropping-particle":"","parse-names":false,"suffix":""},{"dropping-particle":"","family":"Toobert","given":"Deborah J.","non-dropping-particle":"","parse-names":false,"suffix":""},{"dropping-particle":"","family":"Greene","given":"Geoffrey W.","non-dropping-particle":"","parse-names":false,"suffix":""},{"dropping-particle":"","family":"Peterson","given":"Karen","non-dropping-particle":"","parse-names":false,"suffix":""},{"dropping-particle":"","family":"Nebeling","given":"Linda","non-dropping-particle":"","parse-names":false,"suffix":""}],"container-title":"Journal of Nutrition","id":"ITEM-6","issue":"1","issued":{"date-parts":[["2008"]]},"publisher":"American Society for Nutrition","title":"Evaluation of a short dietary assessment instrument for percentage energy from fat in an intervention study","type":"article-journal","volume":"138"},"uris":["http://www.mendeley.com/documents/?uuid=83743413-62aa-3d33-a060-0943d151cf6c"]},{"id":"ITEM-7","itemData":{"DOI":"10.1016/J.JADA.2008.02.021","ISSN":"0002-8223","PMID":"18442505","abstract":"Background: The National Cholesterol Education Program (NCEP) recommends MEDFICTS, a rapid screening instrument for dietary fat, to assess adherence to the Adult Treatment Panel (ATP) III Therapeutic Lifestyle Changes (TLC) diet (score &lt;40 points indicates intake of &lt;7% of energy from saturated fat, &lt;30% of energy from total fat, and &lt;200 mg dietary cholesterol/day). MEDFICTS has only been validated in small, select populations and its utility in diverse clinical settings is unknown. Objective: To evaluate the ability of MEDFICTS to identify individuals who are nonadherent to a TLC diet in an ethnically diverse population that includes both English- and Spanish-speakers. Design: MEDFICTS was administered concurrently with the Gladys Block Food Frequency Questionnaire to participants (n=501; mean age 48±13.5 years; 36% nonwhite; 66% female) in the National Heart, Lung, and Blood Institute Family Intervention Trial for Heart Health (FIT Heart) at the baseline screening visit. Reliability and validity analyses were conducted overall and by sex, age, and race/ethnicity. Results: MEDFICTS score correlated significantly with percentage of energy from saturated fat (r=0.52, P&lt;0.0001), percentage of energy from total fat (r=0.31, P&lt;0.0001), and milligrams per day of dietary cholesterol (r=0.54, P&lt;0.0001). Sensitivity of MEDFICTS to correctly identify TLC diet adherence was 85.7% and did not differ significantly by sex, age, or race/ethnicity. Specificity of MEDFICTS to correctly identify nonadherence to the TLC diet was low (56.9%) and significantly worse for women than men (48.4% vs 72.9%; P&lt;0.0001), but did not differ significantly in older vs younger participants or among white, black, or Hispanic participants. Conclusion: Our data suggest that sex-specific recalibration of MEDFICTS may improve specificity and clinical utility. © 2008 American Dietetic Association.","author":[{"dropping-particle":"","family":"Mochari","given":"Heidi","non-dropping-particle":"","parse-names":false,"suffix":""},{"dropping-particle":"","family":"Gao","given":"Qian","non-dropping-particle":"","parse-names":false,"suffix":""},{"dropping-particle":"","family":"Mosca","given":"Lori","non-dropping-particle":"","parse-names":false,"suffix":""}],"container-title":"Journal of the American Dietetic Association","id":"ITEM-7","issue":"5","issued":{"date-parts":[["2008","5","1"]]},"page":"817-822","publisher":"Elsevier","title":"Validation of the MEDFICTS Dietary Assessment Questionnaire in a Diverse Population","type":"article-journal","volume":"108"},"uris":["http://www.mendeley.com/documents/?uuid=c3fad900-7107-3a6b-bcb8-0bdfc6af3873"]}],"mendeley":{"formattedCitation":"(170–176)","plainTextFormattedCitation":"(170–176)","previouslyFormattedCitation":"(170–176)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(170–176)</w:t>
      </w:r>
      <w:r w:rsidRPr="00F56683">
        <w:rPr>
          <w:rFonts w:cstheme="minorHAnsi"/>
          <w:color w:val="000000" w:themeColor="text1"/>
        </w:rPr>
        <w:fldChar w:fldCharType="end"/>
      </w:r>
      <w:r w:rsidRPr="00F56683">
        <w:rPr>
          <w:rFonts w:cstheme="minorHAnsi"/>
          <w:color w:val="000000" w:themeColor="text1"/>
        </w:rPr>
        <w:t xml:space="preserve">, one assessed omega-3 intakes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{"citationItems":[{"id":"ITEM-1","itemData":{"DOI":"10.1080/07315724.2014.962191","ISSN":"1541-1087","PMID":"25864413","abstract":"Background: Short food frequency questionnaires (FFQs) are powerful screening instruments for estimating nutrient intakes and play an important role in risk stratification in vulnerable populations. Omega-3 fatty acids are of increasing importance in the prevention of chronic and degenerative disease, especially in older adults who are at higher risk of these chronic conditions. A short FFQ exists to rapidly assess omega-3 intake from marine sources, however it has not previously been validated for agreement with total omega-3 intake and ability to identify suboptimal omega-3 intakes in older adults or for use in Australia. Objective: The aim of the study was to validate a 9-item marine omega-3 FFQ (MFQ) for assessment of omega-3 intake against a validated 74-item semiquantitative FFQ. Methods: One hundred and eight participants (mean age 67 ± 10 years, 47% male) completed the MFQ designed to estimate omega-3 intake from marine sources and the 74-item FFQ designed to estimate usual omega-3 and total energy intake in addition to other nutrients. To test agreement between the two questionnaires for estimating total omega-3 intake, mean bias and 95% limits of agreement (LOA) were calculated. Sensitivity and specificity were assessed using 2 × 2 contingency tables based on whether participants did or did not meet National Heart Foundation (NHF) recommendations for omega-3 intake per day. Results: Mean intake of omega-3 estimated from the MFQ was 210 ± 235 mg/day compared with 295 ± 260 mg/day as estimated by the FFQ. Mean bias (95% LOA) for omega-3 assessed by the two questionnaires was 89 mg/day (−475 mg to 653 mg). The MFQ achieved 98% sensitivity and 31% specificity for the omega-3 cut-off of 500 mg/day. When nutrient composition of the marine products were replaced with Australian data, mean intake of omega-3 was 230 ± 253 mg and the mean bias improved to 64 mg (−681 mg to 553 mg) and achieved 93% sensitivity and 40% specificity. Conclusions: The MFQ shows promise as a rapid screening tool for identifying older adults with intakes of omega-3 fatty acids likely to be below recommendations for chronic and degenerative disease risk reduction. Given the clinically meaningful mean bias and wide LOA, it cannot be recommended as an appropriate tool for the purpose of reporting average intake of individuals. Use of Australian nutrient data improved the mean bias of the tool in estimating total omega-3 intake. The values should be replaced and the MFQ could then…","author":[{"dropping-particle":"","family":"Dickinson","given":"Kacie M.","non-dropping-particle":"","parse-names":false,"suffix":""},{"dropping-particle":"","family":"Delaney","given":"Christopher L.","non-dropping-particle":"","parse-names":false,"suffix":""},{"dropping-particle":"","family":"Allan","given":"Richard","non-dropping-particle":"","parse-names":false,"suffix":""},{"dropping-particle":"","family":"Spark","given":"Ian","non-dropping-particle":"","parse-names":false,"suffix":""},{"dropping-particle":"","family":"Miller","given":"Michelle D.","non-dropping-particle":"","parse-names":false,"suffix":""}],"container-title":"Journal of the American College of Nutrition","id":"ITEM-1","issue":"4","issued":{"date-parts":[["2015","7","4"]]},"page":"333-339","publisher":"J Am Coll Nutr","title":"Validation of a Brief Dietary Assessment Tool for Estimating Dietary EPA and DHA Intake in Australian Adults at Risk of Cardiovascular Disease","type":"article-journal","volume":"34"},"uris":["http://www.mendeley.com/documents/?uuid=42216185-e645-356b-8714-1faa2b15e1ff"]}],"mendeley":{"formattedCitation":"(177)","plainTextFormattedCitation":"(177)","previouslyFormattedCitation":"(177)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(177)</w:t>
      </w:r>
      <w:r w:rsidRPr="00F56683">
        <w:rPr>
          <w:rFonts w:cstheme="minorHAnsi"/>
          <w:color w:val="000000" w:themeColor="text1"/>
        </w:rPr>
        <w:fldChar w:fldCharType="end"/>
      </w:r>
      <w:r w:rsidRPr="00F56683">
        <w:rPr>
          <w:rFonts w:cstheme="minorHAnsi"/>
          <w:color w:val="000000" w:themeColor="text1"/>
        </w:rPr>
        <w:t xml:space="preserve">, one assessed saturated fat and sugar intakes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{"citationItems":[{"id":"ITEM-1","itemData":{"DOI":"10.1111/JHN.12008","ISSN":"1365-277X","PMID":"23190372","abstract":"Background: The present study aimed to conduct a preliminary investigation of the validity and reliability of a short dietary questionnaire designed to assess dietary intake of saturated fat and free sugars. Methods: Forty students at Macquarie University, aged 17-46 years, completed the Dietary Fat and free Sugar - Short Questionnaire (DFS), a full-length food frequency questionnaire (C-FFQ) and a 4-day diet diary (DD). After a mean (SD) follow-up time of 158 (10) days, 29 participants completed a second administration of the DFS. Results: Correlation coefficients comparing DFS scores with the percentage energy from saturated fat and free sugar assessed by the C-FFQ and DD ranged from 0.35 to 0.71. The intraclass correlation (0.83) was high, indicating good reliability. Conclusions: These results suggest that the DFS is a valid and reliable measure of saturated fat and free sugar intake. Because it is quick to administer and score, in the public domain, and easy to interpret, it maybe useful as a screener, simple self-check tool or for large-scale epidemiological studies. © 2012 The British Dietetic Association Ltd.","author":[{"dropping-particle":"","family":"Francis","given":"H.","non-dropping-particle":"","parse-names":false,"suffix":""},{"dropping-particle":"","family":"Stevenson","given":"R.","non-dropping-particle":"","parse-names":false,"suffix":""}],"container-title":"Journal of human nutrition and dietetics : the official journal of the British Dietetic Association","id":"ITEM-1","issue":"3","issued":{"date-parts":[["2013","6"]]},"page":"234-242","publisher":"J Hum Nutr Diet","title":"Validity and test-retest reliability of a short dietary questionnaire to assess intake of saturated fat and free sugars: a preliminary study","type":"article-journal","volume":"26"},"uris":["http://www.mendeley.com/documents/?uuid=f7a218d9-3272-38ab-a9a9-ee12dd31bc0d"]}],"mendeley":{"formattedCitation":"(178)","plainTextFormattedCitation":"(178)","previouslyFormattedCitation":"(178)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(178)</w:t>
      </w:r>
      <w:r w:rsidRPr="00F56683">
        <w:rPr>
          <w:rFonts w:cstheme="minorHAnsi"/>
          <w:color w:val="000000" w:themeColor="text1"/>
        </w:rPr>
        <w:fldChar w:fldCharType="end"/>
      </w:r>
      <w:r w:rsidRPr="00F56683">
        <w:rPr>
          <w:rFonts w:cstheme="minorHAnsi"/>
          <w:color w:val="000000" w:themeColor="text1"/>
        </w:rPr>
        <w:t xml:space="preserve">, one assessed fibre consumption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{"citationItems":[{"id":"ITEM-1","itemData":{"DOI":"10.3390/NU8090558","ISSN":"2072-6643","PMID":"27626442","abstract":"Low dietary fibre intake has been associated with poorer health outcomes, therefore having the ability to be able to quickly assess an individual’s dietary fibre intake would prove useful in clinical practice and for research purposes. Current dietary assessment methods such as food records and food frequency questionnaires are time-consuming and burdensome, and there are presently no published short dietary fibre intake questionnaires that can quantify an individual’s total habitual dietary fibre intake and classify individuals as low, moderate or high habitual dietary fibre consumers. Therefore, we aimed to develop and validate a habitual dietary fibre intake short food frequency questionnaire (DFI-FFQ) which can quickly and accurately classify individuals based on their habitual dietary fibre intake. In this study the DFI-FFQ was validated against the Monash University comprehensive nutrition assessment questionnaire (CNAQ). Fifty-two healthy, normal weight male (n = 17) and female (n = 35) participants, aged between 21 and 61 years, completed the DFI-FFQ twice and the CNAQ once. All eligible participants completed the study, however the data from 46% of the participants were excluded from analysis secondary to misreporting. The DFI-FFQ cannot accurately quantify total habitual dietary fibre intakes, however, it is a quick, valid and reproducible tool in classifying individuals based on their habitual dietary fibre intakes.","author":[{"dropping-particle":"","family":"Healey","given":"Genelle","non-dropping-particle":"","parse-names":false,"suffix":""},{"dropping-particle":"","family":"Brough","given":"Louise","non-dropping-particle":"","parse-names":false,"suffix":""},{"dropping-particle":"","family":"Murphy","given":"Rinki","non-dropping-particle":"","parse-names":false,"suffix":""},{"dropping-particle":"","family":"Hedderley","given":"Duncan","non-dropping-particle":"","parse-names":false,"suffix":""},{"dropping-particle":"","family":"Butts","given":"Chrissie","non-dropping-particle":"","parse-names":false,"suffix":""},{"dropping-particle":"","family":"Coad","given":"Jane","non-dropping-particle":"","parse-names":false,"suffix":""}],"container-title":"Nutrients","id":"ITEM-1","issue":"9","issued":{"date-parts":[["2016","9","10"]]},"publisher":"Nutrients","title":"Validity and Reproducibility of a Habitual Dietary Fibre Intake Short Food Frequency Questionnaire","type":"article-journal","volume":"8"},"uris":["http://www.mendeley.com/documents/?uuid=7bb6578b-a1f6-3bd0-ad68-5f7935f2b420"]}],"mendeley":{"formattedCitation":"(179)","plainTextFormattedCitation":"(179)","previouslyFormattedCitation":"(179)"},"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(179)</w:t>
      </w:r>
      <w:r w:rsidRPr="00F56683">
        <w:rPr>
          <w:rFonts w:cstheme="minorHAnsi"/>
          <w:color w:val="000000" w:themeColor="text1"/>
        </w:rPr>
        <w:fldChar w:fldCharType="end"/>
      </w:r>
      <w:r w:rsidRPr="00F56683">
        <w:rPr>
          <w:rFonts w:cstheme="minorHAnsi"/>
          <w:color w:val="000000" w:themeColor="text1"/>
        </w:rPr>
        <w:t xml:space="preserve"> and one was a protein screener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{"citationItems":[{"id":"ITEM-1","itemData":{"DOI":"10.1371/journal.pone.0196406","ISSN":"19326203","abstract":"In old age, sufficient protein intake is important to preserve muscle mass and function. Around 50% of older adults (65+ y) consumes 1.0 g/kg adjusted body weight (BW)/day (d). There is no rapid method available to screen for low protein intake in old age. Therefore, we aimed to develop and validate a short food questionnaire to screen for low protein intake in community-dwelling older adults. We used data of 1348 older men and women (56–101 y) of the LASA study (the Netherlands) to develop the questionnaire and data of 563 older men and women (55–71 y) of the HELIUS study (the Netherlands) for external validation. In both samples, protein intake was measured by the 238-item semi-quantitative HELIUS food frequency questionnaire (FFQ). Multivariable logistic regression analysis was used to predict protein intake 1.0 g/kg adjusted BW/d (based on the HELIUS FFQ). Candidate predictor variables were FFQ questions on frequency and amount of intake of specific foods. In both samples, 30% had a protein intake 1.0 g/kg adjusted BW/d. Our final model included adjusted body weight and 10 questions on the consumption (amount on average day or frequency in 4 weeks) of: slices of bread (number); glasses of milk (number); meat with warm meal (portion size); cheese (amount and frequency); dairy products (like yoghurt) (frequency); egg(s) (frequency); pasta/noodles (frequency); fish (frequency); and nuts/peanuts (frequency). The area under the receiver operating characteristic curve (AUC) was 0.889 (95% CI 0.870–0.907). The calibration slope was 1.03 (optimal slope 1.00). At a cut-off of 0.8 g/kg adjusted BW/d, the AUC was 0.916 (96% CI 0.897–0.936). Applying the regression equation to the HELIUS sample, the AUC was 0.856 (95% CI 0.824–0.888) and the calibration slope 0.92. Regression coefficients were therefore subsequently shrunken by a linear factor 0.92. To conclude, the short food questionnaire (Pro55+) can be used to validly screen for protein intake 1.0 g/kg adjusted BW/d in community-dwelling older adults. An online version can be found at www.proteinscreener.nl. External validation in other countries is recommended.","author":[{"dropping-particle":"","family":"Wijnhoven","given":"Hanneke A.H.","non-dropping-particle":"","parse-names":false,"suffix":""},{"dropping-particle":"","family":"Elstgeest","given":"Liset E.M.","non-dropping-particle":"","parse-names":false,"suffix":""},{"dropping-particle":"","family":"Vet","given":"Henrica C.W.","non-dropping-particle":"de","parse-names":false,"suffix":""},{"dropping-particle":"","family":"Nicolaou","given":"Mary","non-dropping-particle":"","parse-names":false,"suffix":""},{"dropping-particle":"","family":"Snijder","given":"Marieke B.","non-dropping-particle":"","parse-names":false,"suffix":""},{"dropping-particle":"","family":"Visser","given":"Marjolein","non-dropping-particle":"","parse-names":false,"suffix":""}],"container-title":"PLoS ONE","id":"ITEM-1","issue":"5","issued":{"date-parts":[["2018","5","1"]]},"publisher":"Public Library of Science","title":"Development and validation of a short food questionnaire to screen for low protein intake in community-dwelling older adults: The Protein Screener 55+ (Pro55+)","type":"article-journal","volume":"13"},"uris":["http://www.mendeley.com/documents/?uuid=ff0f1464-ecfa-3ac3-82d4-25c89ee39538"]}],"mendeley":{"formattedCitation":"(180)","plainTextFormattedCitation":"(180)","previouslyFormattedCitation":"(180)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(180)</w:t>
      </w:r>
      <w:r w:rsidRPr="00F56683">
        <w:rPr>
          <w:rFonts w:cstheme="minorHAnsi"/>
          <w:color w:val="000000" w:themeColor="text1"/>
        </w:rPr>
        <w:fldChar w:fldCharType="end"/>
      </w:r>
      <w:r w:rsidRPr="00F56683">
        <w:rPr>
          <w:rFonts w:cstheme="minorHAnsi"/>
          <w:color w:val="000000" w:themeColor="text1"/>
        </w:rPr>
        <w:t>.  Screening questionnaires are typically designed to be rapid and simple to administer and therefore easy and inexpensive to conduct by clinicians or practitioners on first contact with a subject. Iragorri et al</w:t>
      </w:r>
      <w:r w:rsidR="00251B8D" w:rsidRPr="00F56683">
        <w:rPr>
          <w:rFonts w:cstheme="minorHAnsi"/>
          <w:color w:val="000000" w:themeColor="text1"/>
        </w:rPr>
        <w:t>.</w:t>
      </w:r>
      <w:r w:rsidRPr="00F56683">
        <w:rPr>
          <w:rFonts w:cstheme="minorHAnsi"/>
          <w:color w:val="000000" w:themeColor="text1"/>
        </w:rPr>
        <w:t xml:space="preserve"> evaluated the value and cost</w:t>
      </w:r>
      <w:r w:rsidR="00932E05" w:rsidRPr="00F56683">
        <w:rPr>
          <w:rFonts w:cstheme="minorHAnsi"/>
          <w:color w:val="000000" w:themeColor="text1"/>
        </w:rPr>
        <w:t>-</w:t>
      </w:r>
      <w:r w:rsidRPr="00F56683">
        <w:rPr>
          <w:rFonts w:cstheme="minorHAnsi"/>
          <w:color w:val="000000" w:themeColor="text1"/>
        </w:rPr>
        <w:t xml:space="preserve">effectiveness of screening tools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{"citationItems":[{"id":"ITEM-1","itemData":{"DOI":"10.1186/S40985-018-0093-8/TABLES/4","ISSN":"21076952","abstract":"Background: Screening is an important part of preventive medicine. Ideally, screening tools identify patients early enough to provide treatment and avoid or reduce symptoms and other consequences, improving health outcomes of the population at a reasonable cost. Cost-effectiveness analyses combine the expected benefits and costs of interventions and can be used to assess the value of screening tools. Objective: This review seeks to evaluate the latest cost-effectiveness analyses on screening tools to identify the current challenges encountered and potential methods to overcome them. Methods: A systematic literature search of EMBASE and MEDLINE identified cost-effectiveness analyses of screening tools published in 2017. Data extracted included the population, disease, screening tools, comparators, perspective, time horizon, discounting, and outcomes. Challenges and methodological suggestions were narratively synthesized. Results: Four key categories were identified: screening pathways, pre-symptomatic disease, treatment outcomes, and non-health benefits. Not all studies included treatment outcomes; 15 studies (22%) did not include treatment following diagnosis. Quality-adjusted life years were used by 35 (51.4%) as the main outcome. Studies that undertook a societal perspective did not report non-health benefits and costs consistently. Two important challenges identified were (i) estimating the sojourn time, i.e., the time between when a patient can be identified by screening tests and when they would have been identified due to symptoms, and (ii) estimating the treatment effect and progression rates of patients identified early. Conclusions: To capture all important costs and outcomes of a screening tool, screening pathways should be modeled including patient treatment. Also, false positive and false negative patients are likely to have important costs and consequences and should be included in the analysis. As these patients are difficult to identify in regular data sources, common treatment patterns should be used to determine how these patients are likely to be treated. It is important that assumptions are clearly indicated and that the consequences of these assumptions are tested in sensitivity analyses, particularly the assumptions of independence of consecutive tests and the level of patient and provider compliance to guidelines and sojourn times. As data is rarely available regarding the progression of undiagnosed patients, extrapolation from dia…","author":[{"dropping-particle":"","family":"Iragorri","given":"Nicolas","non-dropping-particle":"","parse-names":false,"suffix":""},{"dropping-particle":"","family":"Spackman","given":"Eldon","non-dropping-particle":"","parse-names":false,"suffix":""}],"container-title":"Public Health Reviews","id":"ITEM-1","issue":"1","issued":{"date-parts":[["2018","7","13"]]},"page":"1-27","publisher":"BioMed Central Ltd.","title":"Assessing the value of screening tools: Reviewing the challenges and opportunities of cost-effectiveness analysis","type":"article-journal","volume":"39"},"uris":["http://www.mendeley.com/documents/?uuid=9349d168-8827-3b81-abb7-af5391e5f83d"]}],"mendeley":{"formattedCitation":"(162)","plainTextFormattedCitation":"(162)","previouslyFormattedCitation":"(162)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(162)</w:t>
      </w:r>
      <w:r w:rsidRPr="00F56683">
        <w:rPr>
          <w:rFonts w:cstheme="minorHAnsi"/>
          <w:color w:val="000000" w:themeColor="text1"/>
        </w:rPr>
        <w:fldChar w:fldCharType="end"/>
      </w:r>
      <w:r w:rsidRPr="00F56683">
        <w:rPr>
          <w:rFonts w:cstheme="minorHAnsi"/>
          <w:color w:val="000000" w:themeColor="text1"/>
        </w:rPr>
        <w:t>. They emphasised the importance of getting the treatment pathway correct following</w:t>
      </w:r>
      <w:r w:rsidR="00932E05" w:rsidRPr="00F56683">
        <w:rPr>
          <w:rFonts w:cstheme="minorHAnsi"/>
          <w:color w:val="000000" w:themeColor="text1"/>
        </w:rPr>
        <w:t xml:space="preserve"> the</w:t>
      </w:r>
      <w:r w:rsidRPr="00F56683">
        <w:rPr>
          <w:rFonts w:cstheme="minorHAnsi"/>
          <w:color w:val="000000" w:themeColor="text1"/>
        </w:rPr>
        <w:t xml:space="preserve"> screening. Once individuals have been screened, </w:t>
      </w:r>
      <w:r w:rsidR="00CC0020" w:rsidRPr="00F56683">
        <w:rPr>
          <w:rFonts w:cstheme="minorHAnsi"/>
          <w:color w:val="000000" w:themeColor="text1"/>
        </w:rPr>
        <w:t xml:space="preserve">if concerns are raised, </w:t>
      </w:r>
      <w:r w:rsidRPr="00F56683">
        <w:rPr>
          <w:rFonts w:cstheme="minorHAnsi"/>
          <w:color w:val="000000" w:themeColor="text1"/>
        </w:rPr>
        <w:t>they should undergo a thorough and detailed investigation to precisely identify and quantify nutrition issues. If warranted, strategies should be implemented to mitigate any possible problems. Furthermore, the tools need to be reliable to ensure false positive</w:t>
      </w:r>
      <w:r w:rsidR="00932E05" w:rsidRPr="00F56683">
        <w:rPr>
          <w:rFonts w:cstheme="minorHAnsi"/>
          <w:color w:val="000000" w:themeColor="text1"/>
        </w:rPr>
        <w:t>s</w:t>
      </w:r>
      <w:r w:rsidRPr="00F56683">
        <w:rPr>
          <w:rFonts w:cstheme="minorHAnsi"/>
          <w:color w:val="000000" w:themeColor="text1"/>
        </w:rPr>
        <w:t xml:space="preserve"> or negatives do not lead to unnecessary costs.</w:t>
      </w:r>
      <w:r w:rsidR="003B7B0F" w:rsidRPr="00F56683">
        <w:rPr>
          <w:rFonts w:cstheme="minorHAnsi"/>
          <w:color w:val="000000" w:themeColor="text1"/>
        </w:rPr>
        <w:t xml:space="preserve"> </w:t>
      </w:r>
      <w:r w:rsidRPr="00F56683">
        <w:rPr>
          <w:rFonts w:cstheme="minorHAnsi"/>
          <w:color w:val="000000" w:themeColor="text1"/>
        </w:rPr>
        <w:t xml:space="preserve">Factors which may influence the effectiveness of the tool would include their length and the validation protocol utilised. A newly developed screening tool should be validated </w:t>
      </w:r>
      <w:r w:rsidRPr="00F56683">
        <w:rPr>
          <w:rFonts w:cstheme="minorHAnsi"/>
          <w:color w:val="000000" w:themeColor="text1"/>
        </w:rPr>
        <w:lastRenderedPageBreak/>
        <w:t xml:space="preserve">by testing it against a well-established dietary assessment tool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{"citationItems":[{"id":"ITEM-1","itemData":{"DOI":"10.3305/NH.2015.31.SUP3.8757","ISSN":"1699-5198","PMID":"25719777","abstract":"In the last two decades easy-to-use simple instruments have been developed and validated to assess specific aspects of the diet or a general profile that can be compared with a reference dietary pattern as the Mediterranean Diet or with the recommendations of the Dietary Guidelines. Brief instruments are rapid, simple and easy to use tools that can be implemented by unskilled personnel without specific training. These tools are useful both in clinical settings and in Primary Health Care or in the community as a tool for triage, as a screening tool to identify individuals or groups of people at risk who require further care or even they have been used in studies to investigate associations between specific aspects of the diet and health outcomes. They are also used in interventions focused on changing eating behaviors as a diagnostic tool, for self-evaluation purposes, or to provide tailored advice in web based interventions or mobile apps. There are some specific instruments for use in children, adults, elderly or specific population groups.","author":[{"dropping-particle":"","family":"Rodrigo","given":"Carmen Pérez","non-dropping-particle":"","parse-names":false,"suffix":""},{"dropping-particle":"","family":"Fagúndez","given":"Luis Juan Morán","non-dropping-particle":"","parse-names":false,"suffix":""},{"dropping-particle":"","family":"Serván","given":"Pilar Riobó","non-dropping-particle":"","parse-names":false,"suffix":""},{"dropping-particle":"","family":"Bartrina","given":"Javier Aranceta","non-dropping-particle":"","parse-names":false,"suffix":""}],"container-title":"Nutricion hospitalaria","id":"ITEM-1","issued":{"date-parts":[["2015"]]},"page":"91-98","publisher":"Nutr Hosp","title":"Screeners and brief assessment methods","type":"article-journal","volume":"31 Suppl 3"},"uris":["http://www.mendeley.com/documents/?uuid=6b632fc8-b214-33d7-bfe4-a89e56596e8e"]}],"mendeley":{"formattedCitation":"(163)","plainTextFormattedCitation":"(163)","previouslyFormattedCitation":"(163)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(163)</w:t>
      </w:r>
      <w:r w:rsidRPr="00F56683">
        <w:rPr>
          <w:rFonts w:cstheme="minorHAnsi"/>
          <w:color w:val="000000" w:themeColor="text1"/>
        </w:rPr>
        <w:fldChar w:fldCharType="end"/>
      </w:r>
      <w:r w:rsidRPr="00F56683">
        <w:rPr>
          <w:rFonts w:cstheme="minorHAnsi"/>
          <w:color w:val="000000" w:themeColor="text1"/>
        </w:rPr>
        <w:t xml:space="preserve">. </w:t>
      </w:r>
      <w:r w:rsidR="003B7B0F" w:rsidRPr="00F56683">
        <w:rPr>
          <w:rFonts w:cstheme="minorHAnsi"/>
          <w:color w:val="000000" w:themeColor="text1"/>
        </w:rPr>
        <w:t xml:space="preserve">Screening tools are commonly used in nutrition research to identify participant </w:t>
      </w:r>
      <w:r w:rsidR="00A27C37" w:rsidRPr="00F56683">
        <w:rPr>
          <w:rFonts w:cstheme="minorHAnsi"/>
          <w:color w:val="000000" w:themeColor="text1"/>
        </w:rPr>
        <w:t>eligibility</w:t>
      </w:r>
      <w:r w:rsidR="003B7B0F" w:rsidRPr="00F56683">
        <w:rPr>
          <w:rFonts w:cstheme="minorHAnsi"/>
          <w:color w:val="000000" w:themeColor="text1"/>
        </w:rPr>
        <w:t xml:space="preserve"> for inclusion/exclusion. A protein screener is needed to aid with identifying low protein consumers so steps can be taken to limit risks associated with this behaviour, such as poor musculoskeletal health outcomes, including sarcopenia and osteoporosis </w:t>
      </w:r>
      <w:r w:rsidR="003B7B0F"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{"citationItems":[{"id":"ITEM-1","itemData":{"DOI":"10.1007/s00198-018-4534-5","ISSN":"14332965","PMID":"29740667","abstract":"A summary of systematic reviews and meta-analyses addressing the benefits and risks of dietary protein intakes for bone health in adults suggests that dietary protein levels even above the current RDA may be beneficial in reducing bone loss and hip fracture risk, provided calcium intakes are adequate. Several systematic reviews and meta-analyses have addressed the benefits and risks of dietary protein intakes for bone health in adults. This narrative review of the literature summarizes and synthesizes recent systematic reviews and meta-analyses and highlights key messages. Adequate supplies of dietary protein are required for optimal bone growth and maintenance of healthy bone. Variation in protein intakes within the “normal” range accounts for 2–4% of BMD variance in adults. In older people with osteoporosis, higher protein intake (≥ 0.8-g/kg body weight/day, i.e., above the current RDA) is associated with higher BMD, a slower rate of bone loss, and reduced risk of hip fracture, provided that dietary calcium intakes are adequate. Intervention with dietary protein supplements attenuate age-related BMD decrease and reduce bone turnover marker levels, together with an increase in IGF-I and a decrease in PTH. There is no evidence that diet-derived acid load is deleterious for bone health. Thus, insufficient dietary protein intakes may be a more severe problem than protein excess in the elderly. Long-term, well-controlled randomized trials are required to further assess the influence of dietary protein intakes on fracture risk.","author":[{"dropping-particle":"","family":"Rizzoli","given":"R.","non-dropping-particle":"","parse-names":false,"suffix":""},{"dropping-particle":"","family":"Biver","given":"E.","non-dropping-particle":"","parse-names":false,"suffix":""},{"dropping-particle":"","family":"Bonjour","given":"J. P.","non-dropping-particle":"","parse-names":false,"suffix":""},{"dropping-particle":"","family":"Coxam","given":"V.","non-dropping-particle":"","parse-names":false,"suffix":""},{"dropping-particle":"","family":"Goltzman","given":"D.","non-dropping-particle":"","parse-names":false,"suffix":""},{"dropping-particle":"","family":"Kanis","given":"J. A.","non-dropping-particle":"","parse-names":false,"suffix":""},{"dropping-particle":"","family":"Lappe","given":"J.","non-dropping-particle":"","parse-names":false,"suffix":""},{"dropping-particle":"","family":"Rejnmark","given":"L.","non-dropping-particle":"","parse-names":false,"suffix":""},{"dropping-particle":"","family":"Sahni","given":"S.","non-dropping-particle":"","parse-names":false,"suffix":""},{"dropping-particle":"","family":"Weaver","given":"C.","non-dropping-particle":"","parse-names":false,"suffix":""},{"dropping-particle":"","family":"Weiler","given":"H.","non-dropping-particle":"","parse-names":false,"suffix":""},{"dropping-particle":"","family":"Reginster","given":"J. Y.","non-dropping-particle":"","parse-names":false,"suffix":""}],"container-title":"Osteoporosis International","id":"ITEM-1","issue":"9","issued":{"date-parts":[["2018","9","1"]]},"page":"1933-1948","publisher":"Springer London","title":"Benefits and safety of dietary protein for bone health—an expert consensus paper endorsed by the European Society for Clinical and Economical Aspects of Osteopororosis, Osteoarthritis, and Musculoskeletal Diseases and by the International Osteoporosis Foundation","type":"article","volume":"29"},"uris":["http://www.mendeley.com/documents/?uuid=f2f336b7-793d-3822-ba2d-6ded00a47f54"]}],"mendeley":{"formattedCitation":"(181)","plainTextFormattedCitation":"(181)","previouslyFormattedCitation":"(181)"},"properties":{"noteIndex":0},"schema":"https://github.com/citation-style-language/schema/raw/master/csl-citation.json"}</w:instrText>
      </w:r>
      <w:r w:rsidR="003B7B0F" w:rsidRPr="00F56683">
        <w:rPr>
          <w:rFonts w:cstheme="minorHAnsi"/>
          <w:color w:val="000000" w:themeColor="text1"/>
        </w:rPr>
        <w:fldChar w:fldCharType="separate"/>
      </w:r>
      <w:r w:rsidR="00057AE3" w:rsidRPr="00057AE3">
        <w:rPr>
          <w:rFonts w:cstheme="minorHAnsi"/>
          <w:noProof/>
          <w:color w:val="000000" w:themeColor="text1"/>
        </w:rPr>
        <w:t>(181)</w:t>
      </w:r>
      <w:r w:rsidR="003B7B0F" w:rsidRPr="00F56683">
        <w:rPr>
          <w:rFonts w:cstheme="minorHAnsi"/>
          <w:color w:val="000000" w:themeColor="text1"/>
        </w:rPr>
        <w:fldChar w:fldCharType="end"/>
      </w:r>
      <w:r w:rsidR="003B7B0F" w:rsidRPr="00F56683">
        <w:rPr>
          <w:rFonts w:cstheme="minorHAnsi"/>
          <w:color w:val="000000" w:themeColor="text1"/>
        </w:rPr>
        <w:t xml:space="preserve"> and other chronic health conditions such as metabolic disorders </w:t>
      </w:r>
      <w:r w:rsidR="003B7B0F"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{"citationItems":[{"id":"ITEM-1","itemData":{"DOI":"10.4162/NRP.2022.16.S1.S37","ISSN":"20056168","abstract":"The Korea National Health and Nutrition Examination Survey of 2013 to 2017 reported that the average protein consumption of the Korean population is above the current recommended nutrient intake of protein proposed by the Dietary Reference Intakes for Koreans. Some health professionals and the media often advise consuming diets high in protein for promoting metabolic regulation, weight control, and muscle synthesis. However, due to lack of scientific evidence, the validity and safety of high protein consumption are yet to be fully ascertained. The present review assesses recent evidence published in 2014–2020 from human studies, focusing on adequate protein intake and protein sources for the prevention of chronic diseases, particularly metabolic disorders and sarcopenia.","author":[{"dropping-particle":"","family":"Park","given":"Yoon Jung","non-dropping-particle":"","parse-names":false,"suffix":""},{"dropping-particle":"","family":"Chung","given":"Sangwon","non-dropping-particle":"","parse-names":false,"suffix":""},{"dropping-particle":"","family":"Hwang","given":"Jin Taek","non-dropping-particle":"","parse-names":false,"suffix":""},{"dropping-particle":"","family":"Shon","given":"Jinyoung","non-dropping-particle":"","parse-names":false,"suffix":""},{"dropping-particle":"","family":"Kim","given":"Eunjung","non-dropping-particle":"","parse-names":false,"suffix":""}],"container-title":"Nutrition Research and Practice","id":"ITEM-1","issue":"Suppl 1","issued":{"date-parts":[["2022","5","1"]]},"page":"S37-S46","publisher":"The Korean Nutrition Society and the Korean Society of Community Nutrition","title":"A review of recent evidence of dietary protein intake and health","type":"article-journal","volume":"16"},"uris":["http://www.mendeley.com/documents/?uuid=5a26819d-b9fc-3292-ae31-9c64ea89b742"]}],"mendeley":{"formattedCitation":"(182)","plainTextFormattedCitation":"(182)","previouslyFormattedCitation":"(182)"},"properties":{"noteIndex":0},"schema":"https://github.com/citation-style-language/schema/raw/master/csl-citation.json"}</w:instrText>
      </w:r>
      <w:r w:rsidR="003B7B0F" w:rsidRPr="00F56683">
        <w:rPr>
          <w:rFonts w:cstheme="minorHAnsi"/>
          <w:color w:val="000000" w:themeColor="text1"/>
        </w:rPr>
        <w:fldChar w:fldCharType="separate"/>
      </w:r>
      <w:r w:rsidR="00057AE3" w:rsidRPr="00057AE3">
        <w:rPr>
          <w:rFonts w:cstheme="minorHAnsi"/>
          <w:noProof/>
          <w:color w:val="000000" w:themeColor="text1"/>
        </w:rPr>
        <w:t>(182)</w:t>
      </w:r>
      <w:r w:rsidR="003B7B0F" w:rsidRPr="00F56683">
        <w:rPr>
          <w:rFonts w:cstheme="minorHAnsi"/>
          <w:color w:val="000000" w:themeColor="text1"/>
        </w:rPr>
        <w:fldChar w:fldCharType="end"/>
      </w:r>
      <w:r w:rsidR="00CC0020" w:rsidRPr="00F56683">
        <w:rPr>
          <w:rFonts w:cstheme="minorHAnsi"/>
          <w:color w:val="000000" w:themeColor="text1"/>
        </w:rPr>
        <w:t xml:space="preserve"> T</w:t>
      </w:r>
      <w:r w:rsidR="003B7B0F" w:rsidRPr="00F56683">
        <w:rPr>
          <w:rFonts w:cstheme="minorHAnsi"/>
          <w:color w:val="000000" w:themeColor="text1"/>
        </w:rPr>
        <w:t xml:space="preserve">he limited </w:t>
      </w:r>
      <w:r w:rsidR="00CC0020" w:rsidRPr="00F56683">
        <w:rPr>
          <w:rFonts w:cstheme="minorHAnsi"/>
          <w:color w:val="000000" w:themeColor="text1"/>
        </w:rPr>
        <w:t>efficacy</w:t>
      </w:r>
      <w:r w:rsidR="003B7B0F" w:rsidRPr="00F56683">
        <w:rPr>
          <w:rFonts w:cstheme="minorHAnsi"/>
          <w:color w:val="000000" w:themeColor="text1"/>
        </w:rPr>
        <w:t xml:space="preserve"> of protein supplementation trials for promoting muscle changes</w:t>
      </w:r>
      <w:r w:rsidR="00CC0020" w:rsidRPr="00F56683">
        <w:rPr>
          <w:rFonts w:cstheme="minorHAnsi"/>
          <w:color w:val="000000" w:themeColor="text1"/>
        </w:rPr>
        <w:t xml:space="preserve"> may be a consequence of high/adequate protein intake at baseline.</w:t>
      </w:r>
      <w:r w:rsidR="003B7B0F" w:rsidRPr="00F56683">
        <w:rPr>
          <w:rFonts w:cstheme="minorHAnsi"/>
          <w:color w:val="000000" w:themeColor="text1"/>
        </w:rPr>
        <w:t xml:space="preserve"> It has been suggested that there is a</w:t>
      </w:r>
      <w:r w:rsidR="00A27C37" w:rsidRPr="00F56683">
        <w:rPr>
          <w:rFonts w:cstheme="minorHAnsi"/>
          <w:color w:val="000000" w:themeColor="text1"/>
        </w:rPr>
        <w:t>n</w:t>
      </w:r>
      <w:r w:rsidR="003B7B0F" w:rsidRPr="00F56683">
        <w:rPr>
          <w:rFonts w:cstheme="minorHAnsi"/>
          <w:color w:val="000000" w:themeColor="text1"/>
        </w:rPr>
        <w:t xml:space="preserve"> upper limit for protein intake </w:t>
      </w:r>
      <w:r w:rsidR="003B7B0F"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{"citationItems":[{"id":"ITEM-1","itemData":{"DOI":"10.3945/JN.114.199604","ISSN":"15416100","PMID":"25644339","abstract":"Background: The anabolic response of skeletal muscle to essential amino acids (EAAs) is dose dependent, maximal at modest doses, and short lived, even with continued EAA availability, a phenomenon termed \"muscle-full.\" However, the effect of EAA ingestion profile on muscle metabolism remains undefined. Objective: We determined the effect of Bolus vs. Spread EAA feeding in young men and hypothesized that muscle-full is regulated by a dose-, not delivery profile-, dependent mechanism. Methods: We provided 16 young healthy men with 15 g mixed-EAA, either as a single dose (\"Bolus\" n = 8) or in 4 fractions at 45-min intervals (\"Spread\"; n = 8). Plasma insulin and EAA concentrations were assayed by ELISA and ionexchange chromatography, respectively. Limb blood flow by was determined by Doppler ultrasound, muscle microvascular flow by Sonovue (Bracco) contrast-enhanced ultrasound, and phosphorylation of mammalian target of rapamycin complex 1 substrates by immunoblotting. Intermittent muscle biopsies were taken to quantify myofibrillarbound 13C6-phenylalanine to determine muscle protein synthesis (MPS). Results: Bolus feeding achieved rapid insulinemia (13.6 μIU ˙ mL-1, 25 min after commencement of feeding), aminoacidemia (~2500μMat 45min), and capillary recruitment (+45% at 45min),whereas Spread feeding achieved attenuated insulin responses, gradual low-amplitude aminoacidemia (peak: ~1500 μMat 135 min), and no detectable capillary recruitment (all P &lt; 0.01 vs. Bolus). Despite these differences, identical anabolic responses were observed; fasting fractional synthetic rates of 0.054% ˙ h-1 (Bolus) and 0.066% ˙ h-1 (Spread) increased to 0.095%and 0.104% ˙ h-1 (no difference in increment or final values between regimens). With both Spread and Bolus feeding strategies, a latency of at least 90 min was observed before an upswing in MPS was evident. Similarly with both feeding strategies, MPS returned to fasting rates by 180 min despite elevated circulating EAAs. Conclusion: These data do not support EAA delivery profile as an important determinant of anabolism in young men at rest, nor rapid aminoacidemia/leucinemia as being a key factor in maximizing MPS.","author":[{"dropping-particle":"","family":"Mitchell","given":"William Kyle","non-dropping-particle":"","parse-names":false,"suffix":""},{"dropping-particle":"","family":"Phillips","given":"Beth E.","non-dropping-particle":"","parse-names":false,"suffix":""},{"dropping-particle":"","family":"Williams","given":"John P.","non-dropping-particle":"","parse-names":false,"suffix":""},{"dropping-particle":"","family":"Rankin","given":"Debbie","non-dropping-particle":"","parse-names":false,"suffix":""},{"dropping-particle":"","family":"Lund","given":"Jonathan N.","non-dropping-particle":"","parse-names":false,"suffix":""},{"dropping-particle":"","family":"Smith","given":"Kenneth","non-dropping-particle":"","parse-names":false,"suffix":""},{"dropping-particle":"","family":"Atherton","given":"Philip J.","non-dropping-particle":"","parse-names":false,"suffix":""}],"container-title":"The Journal of Nutrition","id":"ITEM-1","issue":"2","issued":{"date-parts":[["2015"]]},"page":"207","publisher":"American Society for Nutrition","title":"A Dose- rather than Delivery Profile–Dependent Mechanism Regulates the “Muscle-Full” Effect in Response to Oral Essential Amino Acid Intake in Young Men","type":"article-journal","volume":"145"},"uris":["http://www.mendeley.com/documents/?uuid=ed2d6933-a28c-3695-a89d-99a303e731e5"]}],"mendeley":{"formattedCitation":"(103)","plainTextFormattedCitation":"(103)","previouslyFormattedCitation":"(103)"},"properties":{"noteIndex":0},"schema":"https://github.com/citation-style-language/schema/raw/master/csl-citation.json"}</w:instrText>
      </w:r>
      <w:r w:rsidR="003B7B0F" w:rsidRPr="00F56683">
        <w:rPr>
          <w:rFonts w:cstheme="minorHAnsi"/>
          <w:color w:val="000000" w:themeColor="text1"/>
        </w:rPr>
        <w:fldChar w:fldCharType="separate"/>
      </w:r>
      <w:r w:rsidR="00057AE3" w:rsidRPr="00057AE3">
        <w:rPr>
          <w:rFonts w:cstheme="minorHAnsi"/>
          <w:noProof/>
          <w:color w:val="000000" w:themeColor="text1"/>
        </w:rPr>
        <w:t>(103)</w:t>
      </w:r>
      <w:r w:rsidR="003B7B0F" w:rsidRPr="00F56683">
        <w:rPr>
          <w:rFonts w:cstheme="minorHAnsi"/>
          <w:color w:val="000000" w:themeColor="text1"/>
        </w:rPr>
        <w:fldChar w:fldCharType="end"/>
      </w:r>
      <w:r w:rsidR="003B7B0F" w:rsidRPr="00F56683">
        <w:rPr>
          <w:rFonts w:cstheme="minorHAnsi"/>
          <w:color w:val="000000" w:themeColor="text1"/>
        </w:rPr>
        <w:t>, so in research</w:t>
      </w:r>
      <w:r w:rsidR="00A27C37" w:rsidRPr="00F56683">
        <w:rPr>
          <w:rFonts w:cstheme="minorHAnsi"/>
          <w:color w:val="000000" w:themeColor="text1"/>
        </w:rPr>
        <w:t>,</w:t>
      </w:r>
      <w:r w:rsidR="003B7B0F" w:rsidRPr="00F56683">
        <w:rPr>
          <w:rFonts w:cstheme="minorHAnsi"/>
          <w:color w:val="000000" w:themeColor="text1"/>
        </w:rPr>
        <w:t xml:space="preserve"> it may be necessary to target low</w:t>
      </w:r>
      <w:r w:rsidR="00A27C37" w:rsidRPr="00F56683">
        <w:rPr>
          <w:rFonts w:cstheme="minorHAnsi"/>
          <w:color w:val="000000" w:themeColor="text1"/>
        </w:rPr>
        <w:t>-</w:t>
      </w:r>
      <w:r w:rsidR="003B7B0F" w:rsidRPr="00F56683">
        <w:rPr>
          <w:rFonts w:cstheme="minorHAnsi"/>
          <w:color w:val="000000" w:themeColor="text1"/>
        </w:rPr>
        <w:t xml:space="preserve">protein consumers. For this, participant selection for intervention trials using protein screener tools would be beneficial. </w:t>
      </w:r>
    </w:p>
    <w:p w14:paraId="3C76F54E" w14:textId="77777777" w:rsidR="004F4AF8" w:rsidRPr="00F56683" w:rsidRDefault="004F4AF8" w:rsidP="00F42CB9">
      <w:pPr>
        <w:spacing w:line="360" w:lineRule="auto"/>
        <w:rPr>
          <w:rFonts w:cstheme="minorHAnsi"/>
          <w:color w:val="000000" w:themeColor="text1"/>
        </w:rPr>
      </w:pPr>
    </w:p>
    <w:p w14:paraId="3AAD8302" w14:textId="5F434D41" w:rsidR="004F4AF8" w:rsidRPr="00F56683" w:rsidRDefault="004F4AF8" w:rsidP="00F42CB9">
      <w:pPr>
        <w:pStyle w:val="Heading3"/>
        <w:spacing w:line="360" w:lineRule="auto"/>
        <w:rPr>
          <w:rFonts w:asciiTheme="minorHAnsi" w:hAnsiTheme="minorHAnsi" w:cstheme="minorHAnsi"/>
          <w:color w:val="000000" w:themeColor="text1"/>
        </w:rPr>
      </w:pPr>
      <w:bookmarkStart w:id="80" w:name="_Toc135384269"/>
      <w:r w:rsidRPr="00F56683">
        <w:rPr>
          <w:rFonts w:asciiTheme="minorHAnsi" w:hAnsiTheme="minorHAnsi" w:cstheme="minorHAnsi"/>
          <w:color w:val="000000" w:themeColor="text1"/>
        </w:rPr>
        <w:t>3.1.2 Protein screener, Pro55+</w:t>
      </w:r>
      <w:bookmarkEnd w:id="80"/>
    </w:p>
    <w:p w14:paraId="2D87BD1E" w14:textId="77A246B5"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A protein screener was developed by a research group in the Netherlands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{"citationItems":[{"id":"ITEM-1","itemData":{"DOI":"10.1371/journal.pone.0196406","ISSN":"19326203","abstract":"In old age, sufficient protein intake is important to preserve muscle mass and function. Around 50% of older adults (65+ y) consumes 1.0 g/kg adjusted body weight (BW)/day (d). There is no rapid method available to screen for low protein intake in old age. Therefore, we aimed to develop and validate a short food questionnaire to screen for low protein intake in community-dwelling older adults. We used data of 1348 older men and women (56–101 y) of the LASA study (the Netherlands) to develop the questionnaire and data of 563 older men and women (55–71 y) of the HELIUS study (the Netherlands) for external validation. In both samples, protein intake was measured by the 238-item semi-quantitative HELIUS food frequency questionnaire (FFQ). Multivariable logistic regression analysis was used to predict protein intake 1.0 g/kg adjusted BW/d (based on the HELIUS FFQ). Candidate predictor variables were FFQ questions on frequency and amount of intake of specific foods. In both samples, 30% had a protein intake 1.0 g/kg adjusted BW/d. Our final model included adjusted body weight and 10 questions on the consumption (amount on average day or frequency in 4 weeks) of: slices of bread (number); glasses of milk (number); meat with warm meal (portion size); cheese (amount and frequency); dairy products (like yoghurt) (frequency); egg(s) (frequency); pasta/noodles (frequency); fish (frequency); and nuts/peanuts (frequency). The area under the receiver operating characteristic curve (AUC) was 0.889 (95% CI 0.870–0.907). The calibration slope was 1.03 (optimal slope 1.00). At a cut-off of 0.8 g/kg adjusted BW/d, the AUC was 0.916 (96% CI 0.897–0.936). Applying the regression equation to the HELIUS sample, the AUC was 0.856 (95% CI 0.824–0.888) and the calibration slope 0.92. Regression coefficients were therefore subsequently shrunken by a linear factor 0.92. To conclude, the short food questionnaire (Pro55+) can be used to validly screen for protein intake 1.0 g/kg adjusted BW/d in community-dwelling older adults. An online version can be found at www.proteinscreener.nl. External validation in other countries is recommended.","author":[{"dropping-particle":"","family":"Wijnhoven","given":"Hanneke A.H.","non-dropping-particle":"","parse-names":false,"suffix":""},{"dropping-particle":"","family":"Elstgeest","given":"Liset E.M.","non-dropping-particle":"","parse-names":false,"suffix":""},{"dropping-particle":"","family":"Vet","given":"Henrica C.W.","non-dropping-particle":"de","parse-names":false,"suffix":""},{"dropping-particle":"","family":"Nicolaou","given":"Mary","non-dropping-particle":"","parse-names":false,"suffix":""},{"dropping-particle":"","family":"Snijder","given":"Marieke B.","non-dropping-particle":"","parse-names":false,"suffix":""},{"dropping-particle":"","family":"Visser","given":"Marjolein","non-dropping-particle":"","parse-names":false,"suffix":""}],"container-title":"PLoS ONE","id":"ITEM-1","issue":"5","issued":{"date-parts":[["2018","5","1"]]},"publisher":"Public Library of Science","title":"Development and validation of a short food questionnaire to screen for low protein intake in community-dwelling older adults: The Protein Screener 55+ (Pro55+)","type":"article-journal","volume":"13"},"uris":["http://www.mendeley.com/documents/?uuid=ff0f1464-ecfa-3ac3-82d4-25c89ee39538"]}],"mendeley":{"formattedCitation":"(180)","plainTextFormattedCitation":"(180)","previouslyFormattedCitation":"(180)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(180)</w:t>
      </w:r>
      <w:r w:rsidRPr="00F56683">
        <w:rPr>
          <w:rFonts w:cstheme="minorHAnsi"/>
          <w:color w:val="000000" w:themeColor="text1"/>
        </w:rPr>
        <w:fldChar w:fldCharType="end"/>
      </w:r>
      <w:r w:rsidRPr="00F56683">
        <w:rPr>
          <w:rFonts w:cstheme="minorHAnsi"/>
          <w:color w:val="000000" w:themeColor="text1"/>
        </w:rPr>
        <w:t xml:space="preserve">. </w:t>
      </w:r>
      <w:r w:rsidR="003B7B0F" w:rsidRPr="00F56683">
        <w:rPr>
          <w:rFonts w:cstheme="minorHAnsi"/>
          <w:color w:val="000000" w:themeColor="text1"/>
        </w:rPr>
        <w:t>P</w:t>
      </w:r>
      <w:r w:rsidRPr="00F56683">
        <w:rPr>
          <w:rFonts w:cstheme="minorHAnsi"/>
          <w:color w:val="000000" w:themeColor="text1"/>
        </w:rPr>
        <w:t xml:space="preserve">rior to this, no tool looking specifically at protein existed. They aimed to address the lack of </w:t>
      </w:r>
      <w:r w:rsidR="0028780C" w:rsidRPr="00F56683">
        <w:rPr>
          <w:rFonts w:cstheme="minorHAnsi"/>
          <w:color w:val="000000" w:themeColor="text1"/>
        </w:rPr>
        <w:t>such a</w:t>
      </w:r>
      <w:r w:rsidRPr="00F56683">
        <w:rPr>
          <w:rFonts w:cstheme="minorHAnsi"/>
          <w:color w:val="000000" w:themeColor="text1"/>
        </w:rPr>
        <w:t xml:space="preserve"> tool by developing a short 10-question questionnaire that uses a syntax based on the individual’s responses. It was concluded by the research group that further validation in other populations is required, whereby there may be specific cultural and geographical dietary habits that influence protein consumption. It was therefore the aim of this work to assess if the tool was valid for use in a UK adult population</w:t>
      </w:r>
      <w:r w:rsidR="00CC0020" w:rsidRPr="00F56683">
        <w:rPr>
          <w:rFonts w:cstheme="minorHAnsi"/>
          <w:color w:val="000000" w:themeColor="text1"/>
        </w:rPr>
        <w:t xml:space="preserve"> and could be used in future protein intervention trials</w:t>
      </w:r>
    </w:p>
    <w:p w14:paraId="4B6EF620" w14:textId="77777777" w:rsidR="004F4AF8" w:rsidRPr="00F56683" w:rsidRDefault="004F4AF8" w:rsidP="00F42CB9">
      <w:pPr>
        <w:spacing w:line="360" w:lineRule="auto"/>
        <w:rPr>
          <w:rFonts w:cstheme="minorHAnsi"/>
          <w:color w:val="000000" w:themeColor="text1"/>
        </w:rPr>
      </w:pPr>
    </w:p>
    <w:p w14:paraId="3CA65637" w14:textId="77777777" w:rsidR="004F4AF8" w:rsidRPr="00F56683" w:rsidRDefault="004F4AF8" w:rsidP="00F42CB9">
      <w:pPr>
        <w:spacing w:line="360" w:lineRule="auto"/>
        <w:rPr>
          <w:rFonts w:cstheme="minorHAnsi"/>
          <w:color w:val="000000" w:themeColor="text1"/>
        </w:rPr>
      </w:pPr>
    </w:p>
    <w:p w14:paraId="54465D03" w14:textId="54E5B9E5" w:rsidR="004F4AF8" w:rsidRPr="00F56683" w:rsidRDefault="004F4AF8" w:rsidP="00F42CB9">
      <w:pPr>
        <w:pStyle w:val="Heading3"/>
        <w:spacing w:line="360" w:lineRule="auto"/>
        <w:rPr>
          <w:rFonts w:asciiTheme="minorHAnsi" w:hAnsiTheme="minorHAnsi" w:cstheme="minorHAnsi"/>
          <w:color w:val="000000" w:themeColor="text1"/>
        </w:rPr>
      </w:pPr>
      <w:bookmarkStart w:id="81" w:name="_Toc135384270"/>
      <w:r w:rsidRPr="00F56683">
        <w:rPr>
          <w:rFonts w:asciiTheme="minorHAnsi" w:hAnsiTheme="minorHAnsi" w:cstheme="minorHAnsi"/>
          <w:color w:val="000000" w:themeColor="text1"/>
        </w:rPr>
        <w:t>3.1.3 Dietary assessment tools</w:t>
      </w:r>
      <w:bookmarkEnd w:id="81"/>
    </w:p>
    <w:p w14:paraId="2A6B1E8C" w14:textId="1CA59FA3" w:rsidR="004F4AF8" w:rsidRPr="00F56683" w:rsidRDefault="004F4AF8" w:rsidP="00F42CB9">
      <w:pPr>
        <w:spacing w:line="360" w:lineRule="auto"/>
        <w:ind w:firstLine="720"/>
        <w:rPr>
          <w:rFonts w:cstheme="minorHAnsi"/>
          <w:color w:val="000000" w:themeColor="text1"/>
        </w:rPr>
      </w:pPr>
      <w:r w:rsidRPr="00F56683">
        <w:rPr>
          <w:rFonts w:cstheme="minorHAnsi"/>
          <w:color w:val="000000" w:themeColor="text1"/>
        </w:rPr>
        <w:t xml:space="preserve">An accurate assessment of dietary intake is needed to quantify </w:t>
      </w:r>
      <w:r w:rsidR="00A27C37" w:rsidRPr="00F56683">
        <w:rPr>
          <w:rFonts w:cstheme="minorHAnsi"/>
          <w:color w:val="000000" w:themeColor="text1"/>
        </w:rPr>
        <w:t xml:space="preserve">the </w:t>
      </w:r>
      <w:r w:rsidRPr="00F56683">
        <w:rPr>
          <w:rFonts w:cstheme="minorHAnsi"/>
          <w:color w:val="000000" w:themeColor="text1"/>
        </w:rPr>
        <w:t>intake of specific nutrients, food groups and dietary patterns. Dietary intake is varied and complex, meaning that an accurate evaluation can be technically challenging. Therefore the assessment used should be carefully considered in relation to the purpose of the data and the information required. Components of the diet which may be o</w:t>
      </w:r>
      <w:r w:rsidR="00F833F3" w:rsidRPr="00F56683">
        <w:rPr>
          <w:rFonts w:cstheme="minorHAnsi"/>
          <w:color w:val="000000" w:themeColor="text1"/>
        </w:rPr>
        <w:t>f</w:t>
      </w:r>
      <w:r w:rsidRPr="00F56683">
        <w:rPr>
          <w:rFonts w:cstheme="minorHAnsi"/>
          <w:color w:val="000000" w:themeColor="text1"/>
        </w:rPr>
        <w:t xml:space="preserve"> interest when carrying out dietary assessments include: total energy intakes, macronutrient and/or micronutrient intake, </w:t>
      </w:r>
      <w:r w:rsidRPr="00F56683">
        <w:rPr>
          <w:rFonts w:cstheme="minorHAnsi"/>
          <w:color w:val="000000" w:themeColor="text1"/>
        </w:rPr>
        <w:lastRenderedPageBreak/>
        <w:t xml:space="preserve">consumption of individual foods or food groups, exploring dietary patterns and dietary behaviours such as timing of food intake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{"citationItems":[{"id":"ITEM-1","itemData":{"URL":"https://dapa-toolkit.mrc.ac.uk/diet/introduction/nutrients-foods-and-diets","accessed":{"date-parts":[["2022","8","24"]]},"id":"ITEM-1","issued":{"date-parts":[["0"]]},"title":"DAPA Measurement Toolkit","type":"webpage"},"uris":["http://www.mendeley.com/documents/?uuid=5da20751-cb80-36ac-abd3-e67e3388fd55"]}],"mendeley":{"formattedCitation":"(183)","plainTextFormattedCitation":"(183)","previouslyFormattedCitation":"(183)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(183)</w:t>
      </w:r>
      <w:r w:rsidRPr="00F56683">
        <w:rPr>
          <w:rFonts w:cstheme="minorHAnsi"/>
          <w:color w:val="000000" w:themeColor="text1"/>
        </w:rPr>
        <w:fldChar w:fldCharType="end"/>
      </w:r>
      <w:r w:rsidRPr="00F56683">
        <w:rPr>
          <w:rFonts w:cstheme="minorHAnsi"/>
          <w:color w:val="000000" w:themeColor="text1"/>
        </w:rPr>
        <w:t>.</w:t>
      </w:r>
    </w:p>
    <w:p w14:paraId="6A7FAE42" w14:textId="77777777" w:rsidR="004F4AF8" w:rsidRPr="00F56683" w:rsidRDefault="004F4AF8" w:rsidP="00F42CB9">
      <w:pPr>
        <w:spacing w:line="360" w:lineRule="auto"/>
        <w:rPr>
          <w:rFonts w:cstheme="minorHAnsi"/>
          <w:color w:val="000000" w:themeColor="text1"/>
        </w:rPr>
      </w:pPr>
    </w:p>
    <w:p w14:paraId="3F4D0C2B" w14:textId="50252B70" w:rsidR="004F4AF8" w:rsidRPr="00F56683" w:rsidRDefault="004F4AF8" w:rsidP="00F42CB9">
      <w:pPr>
        <w:spacing w:line="360" w:lineRule="auto"/>
        <w:rPr>
          <w:rFonts w:cstheme="minorHAnsi"/>
          <w:color w:val="000000" w:themeColor="text1"/>
          <w:shd w:val="clear" w:color="auto" w:fill="FFFFFF"/>
        </w:rPr>
      </w:pPr>
      <w:r w:rsidRPr="00F56683">
        <w:rPr>
          <w:rFonts w:cstheme="minorHAnsi"/>
          <w:color w:val="000000" w:themeColor="text1"/>
        </w:rPr>
        <w:t xml:space="preserve">A variety of dietary assessment methods are available, each with </w:t>
      </w:r>
      <w:r w:rsidR="00F833F3" w:rsidRPr="00F56683">
        <w:rPr>
          <w:rFonts w:cstheme="minorHAnsi"/>
          <w:color w:val="000000" w:themeColor="text1"/>
        </w:rPr>
        <w:t>its</w:t>
      </w:r>
      <w:r w:rsidRPr="00F56683">
        <w:rPr>
          <w:rFonts w:cstheme="minorHAnsi"/>
          <w:color w:val="000000" w:themeColor="text1"/>
        </w:rPr>
        <w:t xml:space="preserve"> advantages and disadvantages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{"citationItems":[{"id":"ITEM-1","itemData":{"DOI":"10.1016/0091-7435(89)90036-4","ISSN":"0091-7435","PMID":"2616545","abstract":"It is possible that a \"good\" diet may enhance response to a chemopreventive agent, or that a diet deficient in some nutrients may weaken host defenses or host response to the agent. Thus, dietary intake should be assessed in chemoprevention as well as dietary studies. The advantages and disadvantages of several methods are presented. In addition, several principles and issues involved in dietary studies are discussed. Studies should attempt to assess the whole diet, not one or a few nutrients. Interpretation of the results of dietary studies can be seriously flawed and conclusions incorrect if only one or a few nutrients are assessed. Studies that ask about vegetable products but calculate only a fiber index are forced into drawing conclusions about fiber, when the true effective component may be elsewhere. Investigators should be cautious in the analysis and interpretation of results involving correlated nutrients. If two variables are quite highly correlated, either positively or negatively, a nutrient which has no effect may appear to have one, merely by being correlated with the other. Some examples are presented. Misclassification or measurement error is a serious problem for all dietary methods, although for different reasons. For most frequency or few-day-record methods, sample sizes must be multiplied several-fold over the sample size which standard formulas produce, to retain power in the face of measurement error. © 1989.","author":[{"dropping-particle":"","family":"Block","given":"Gladys","non-dropping-particle":"","parse-names":false,"suffix":""}],"container-title":"Preventive Medicine","id":"ITEM-1","issue":"5","issued":{"date-parts":[["1989","9","1"]]},"page":"653-660","publisher":"Academic Press","title":"Human dietary assessment: Methods and issues","type":"article-journal","volume":"18"},"uris":["http://www.mendeley.com/documents/?uuid=0217774b-9398-3455-b134-4831591a327f"]},{"id":"ITEM-2","itemData":{"DOI":"10.1016/B978-0-12-802928-2.00001-1","ISBN":"9780128029282","abstract":"The intent of this chapter is to enhance understanding of various dietary assessment methods so that the most appropriate method for a particular need is chosen. This review focuses only on individual level food intake assessment. It is intended to serve as a resource for those who wish to assess diet in a research study using individual measurements for group level analysis. The chapter reviews major dietary assessment methods, their advantages and disadvantages, and validity; describes which dietary assessment methods are appropriate for different types of studies and populations; and discusses specific issues that relate to all methods.","author":[{"dropping-particle":"","family":"Thompson","given":"Frances E.","non-dropping-particle":"","parse-names":false,"suffix":""},{"dropping-particle":"","family":"Subar","given":"Amy F.","non-dropping-particle":"","parse-names":false,"suffix":""}],"container-title":"Nutrition in the Prevention and Treatment of Disease","id":"ITEM-2","issued":{"date-parts":[["2017","1","1"]]},"page":"5-48","publisher":"Academic Press","title":"Dietary Assessment Methodology","type":"article-journal"},"uris":["http://www.mendeley.com/documents/?uuid=d6a4e840-3e52-3e3b-befd-69b465a05c8b"]},{"id":"ITEM-3","itemData":{"DOI":"10.4178/epih/e2014009","ISSN":"2092-7193","PMID":"25078382","abstract":"Diet is a major lifestyle-related risk factor of various chronic diseases. Dietary intake can be assessed by subjective report and objective observation. Subjective assessment is possible using open-ended surveys such as dietary recalls or records, or using closed-ended surveys including food frequency questionnaires. Each method has inherent strengths and limitations. Continued efforts to improve the accuracy of dietary intake assessment and enhance its feasibility in epidemiological studies have been made. This article reviews common dietary assessment methods and their feasibility in epidemiological studies.","author":[{"dropping-particle":"","family":"Shim","given":"Jee-Seon","non-dropping-particle":"","parse-names":false,"suffix":""},{"dropping-particle":"","family":"Oh","given":"Kyungwon","non-dropping-particle":"","parse-names":false,"suffix":""},{"dropping-particle":"","family":"Kim","given":"Hyeon Chang","non-dropping-particle":"","parse-names":false,"suffix":""}],"container-title":"Epidemiology and Health","id":"ITEM-3","issued":{"date-parts":[["2014","7","22"]]},"page":"e2014009","publisher":"Korean Society of Epidemiology","title":"Dietary assessment methods in epidemiologic studies","type":"article-journal","volume":"36"},"uris":["http://www.mendeley.com/documents/?uuid=a4084ec3-e227-36d3-8465-164c677ffcc0"]}],"mendeley":{"formattedCitation":"(184–186)","plainTextFormattedCitation":"(184–186)","previouslyFormattedCitation":"(184–186)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(184–186)</w:t>
      </w:r>
      <w:r w:rsidRPr="00F56683">
        <w:rPr>
          <w:rFonts w:cstheme="minorHAnsi"/>
          <w:color w:val="000000" w:themeColor="text1"/>
        </w:rPr>
        <w:fldChar w:fldCharType="end"/>
      </w:r>
      <w:r w:rsidRPr="00F56683">
        <w:rPr>
          <w:rFonts w:cstheme="minorHAnsi"/>
          <w:color w:val="000000" w:themeColor="text1"/>
        </w:rPr>
        <w:t xml:space="preserve">; these include both objective (direct observation, duplicate diets, nutritional biomarkers) and subjective (food diaries, 24-hour recall, food frequency questionnaires, dietary checklists, dietary history) measurements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{"citationItems":[{"id":"ITEM-1","itemData":{"DOI":"10.1097/MCO.0B013E3282FBA5D7","ISSN":"13631950","PMID":"18403920","abstract":"PURPOSE OF REVIEW: Objective and subjective methods are used to assess nutritional status. They are used as diagnostic, prognostic and response tools. It is still controversial which of them is more suitable for each situation and what they are really assessing. The most recent findings about these methods will be discussed in this review. RECENT FINDINGS: Malnutrition still has a high prevalence all over the world. Anthropometric measurements are best useful to assess chronic malnutrition, and albumin and other visceral protein should no longer be considered as nutritional markers, but inflammatory response markers. Subjective global assessment enables comparison among different populations, and its scored version may be useful in other clinical situations besides cancer. Functional methods and bioelectrical impedance analysis may become possible to identify malnutrition in an early stage. Nitrogen balance seems to be the only way to assess the response to nutritional interventions. SUMMARY: Malnutrition should be understood as a continuum. Nutritional assessment should not be an expensive and time-consuming process, and simple methods such as subjective global assessment may be enough to identify those patients who need nutritional intervention. Future studies may show which method is more suitable to evaluate the response to this treatment. © 2008 Lippincott Williams &amp; Wilkins, Inc.","author":[{"dropping-particle":"","family":"Barbosa-Silva","given":"M. Cristina G.","non-dropping-particle":"","parse-names":false,"suffix":""}],"container-title":"Current Opinion in Clinical Nutrition and Metabolic Care","id":"ITEM-1","issue":"3","issued":{"date-parts":[["2008","5"]]},"page":"248-254","title":"Subjective and objective nutritional assessment methods: What do they really assess?","type":"article-journal","volume":"11"},"uris":["http://www.mendeley.com/documents/?uuid=313cdec8-e310-37f2-91b7-0f5e6254fe82"]}],"mendeley":{"formattedCitation":"(86)","plainTextFormattedCitation":"(86)","previouslyFormattedCitation":"(86)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(86)</w:t>
      </w:r>
      <w:r w:rsidRPr="00F56683">
        <w:rPr>
          <w:rFonts w:cstheme="minorHAnsi"/>
          <w:color w:val="000000" w:themeColor="text1"/>
        </w:rPr>
        <w:fldChar w:fldCharType="end"/>
      </w:r>
      <w:r w:rsidRPr="00F56683">
        <w:rPr>
          <w:rFonts w:cstheme="minorHAnsi"/>
          <w:color w:val="000000" w:themeColor="text1"/>
        </w:rPr>
        <w:t xml:space="preserve">. Best practice guidelines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{"citationItems":[{"id":"ITEM-1","itemData":{"DOI":"10.1186/S12916-017-0962-X/TABLES/2","ISSN":"17417015","PMID":"29137630","abstract":"Background: Dietary assessment is complex, and strategies to select the most appropriate dietary assessment tool (DAT) in epidemiological research are needed. The DIETary Assessment Tool NETwork (DIET@NET) aimed to establish expert consensus on Best Practice Guidelines (BPGs) for dietary assessment using self-report. Methods: The BPGs were developed using the Delphi technique. Two Delphi rounds were conducted. A total of 131 experts were invited, and of these 65 accepted, with 48 completing Delphi round I and 51 completing Delphi round II. In all, a total of 57 experts from North America, Europe, Asia and Australia commented on the 47 suggested guidelines. Results: Forty-three guidelines were generated, grouped into the following four stages: Stage I. Define what is to be measured in terms of dietary intake (what? who? and when?); Stage II. Investigate different types of DATs; Stage III. Evaluate existing tools to select the most appropriate DAT by evaluating published validation studies; Stage IV. Think through the implementation of the chosen DAT and consider sources of potential biases. Conclusions: The Delphi technique consolidated expert views on best practice in assessing dietary intake. The BPGs provide a valuable guide for health researchers to choose the most appropriate dietary assessment method for their studies. These guidelines will be accessible through the Nutritools website, www.nutritools.org.","author":[{"dropping-particle":"","family":"Cade","given":"Janet E.","non-dropping-particle":"","parse-names":false,"suffix":""},{"dropping-particle":"","family":"Warthon-Medina","given":"Marisol","non-dropping-particle":"","parse-names":false,"suffix":""},{"dropping-particle":"","family":"Albar","given":"Salwa","non-dropping-particle":"","parse-names":false,"suffix":""},{"dropping-particle":"","family":"Alwan","given":"Nisreen A.","non-dropping-particle":"","parse-names":false,"suffix":""},{"dropping-particle":"","family":"Ness","given":"Andrew","non-dropping-particle":"","parse-names":false,"suffix":""},{"dropping-particle":"","family":"Roe","given":"Mark","non-dropping-particle":"","parse-names":false,"suffix":""},{"dropping-particle":"","family":"Wark","given":"Petra A.","non-dropping-particle":"","parse-names":false,"suffix":""},{"dropping-particle":"","family":"Greathead","given":"Katharine","non-dropping-particle":"","parse-names":false,"suffix":""},{"dropping-particle":"","family":"Burley","given":"Victoria J.","non-dropping-particle":"","parse-names":false,"suffix":""},{"dropping-particle":"","family":"Finglas","given":"Paul","non-dropping-particle":"","parse-names":false,"suffix":""},{"dropping-particle":"","family":"Johnson","given":"Laura","non-dropping-particle":"","parse-names":false,"suffix":""},{"dropping-particle":"","family":"Page","given":"Polly","non-dropping-particle":"","parse-names":false,"suffix":""},{"dropping-particle":"","family":"Roberts","given":"Katharine","non-dropping-particle":"","parse-names":false,"suffix":""},{"dropping-particle":"","family":"Steer","given":"Toni","non-dropping-particle":"","parse-names":false,"suffix":""},{"dropping-particle":"","family":"Hooson","given":"Jozef","non-dropping-particle":"","parse-names":false,"suffix":""},{"dropping-particle":"","family":"Greenwood","given":"Darren C.","non-dropping-particle":"","parse-names":false,"suffix":""},{"dropping-particle":"","family":"Robinson","given":"Sian","non-dropping-particle":"","parse-names":false,"suffix":""},{"dropping-particle":"","family":"Allman-Farinelli","given":"Margaret","non-dropping-particle":"","parse-names":false,"suffix":""},{"dropping-particle":"","family":"Ambrosini","given":"Gina","non-dropping-particle":"","parse-names":false,"suffix":""},{"dropping-particle":"","family":"Andersen","given":"Lene Frost","non-dropping-particle":"","parse-names":false,"suffix":""},{"dropping-particle":"","family":"Anderson","given":"Annie","non-dropping-particle":"","parse-names":false,"suffix":""},{"dropping-particle":"","family":"Bandera","given":"Elisa","non-dropping-particle":"","parse-names":false,"suffix":""},{"dropping-particle":"","family":"Baranowski","given":"Thomas","non-dropping-particle":"","parse-names":false,"suffix":""},{"dropping-particle":"","family":"Bryant","given":"Maria","non-dropping-particle":"","parse-names":false,"suffix":""},{"dropping-particle":"","family":"Burrows","given":"Tracy","non-dropping-particle":"","parse-names":false,"suffix":""},{"dropping-particle":"","family":"Church","given":"Ms Susan","non-dropping-particle":"","parse-names":false,"suffix":""},{"dropping-particle":"","family":"Collins","given":"Clare","non-dropping-particle":"","parse-names":false,"suffix":""},{"dropping-particle":"","family":"Craig","given":"Leone","non-dropping-particle":"","parse-names":false,"suffix":""},{"dropping-particle":"","family":"Looy","given":"Anne","non-dropping-particle":"de","parse-names":false,"suffix":""},{"dropping-particle":"","family":"Drewnowski","given":"Adam","non-dropping-particle":"","parse-names":false,"suffix":""},{"dropping-particle":"","family":"Edwards","given":"Kim","non-dropping-particle":"","parse-names":false,"suffix":""},{"dropping-particle":"","family":"Emmett","given":"Pauline","non-dropping-particle":"","parse-names":false,"suffix":""},{"dropping-particle":"","family":"Foster","given":"Emma","non-dropping-particle":"","parse-names":false,"suffix":""},{"dropping-particle":"","family":"Gibson","given":"Rosalind","non-dropping-particle":"","parse-names":false,"suffix":""},{"dropping-particle":"","family":"Gurinovic","given":"Mirjana","non-dropping-particle":"","parse-names":false,"suffix":""},{"dropping-particle":"","family":"Holdsworth","given":"Michelle","non-dropping-particle":"","parse-names":false,"suffix":""},{"dropping-particle":"","family":"Holmes","given":"Bridget","non-dropping-particle":"","parse-names":false,"suffix":""},{"dropping-particle":"","family":"Kesse-Guyot","given":"Emmanuelle","non-dropping-particle":"","parse-names":false,"suffix":""},{"dropping-particle":"","family":"Kirkpatrick","given":"Sharron","non-dropping-particle":"","parse-names":false,"suffix":""},{"dropping-particle":"","family":"Kolahdooz","given":"Fariba","non-dropping-particle":"","parse-names":false,"suffix":""},{"dropping-particle":"","family":"Lachat","given":"Carl","non-dropping-particle":"","parse-names":false,"suffix":""},{"dropping-particle":"","family":"Lanigan","given":"Julie","non-dropping-particle":"","parse-names":false,"suffix":""},{"dropping-particle":"","family":"Lawrence","given":"Mark","non-dropping-particle":"","parse-names":false,"suffix":""},{"dropping-particle":"","family":"Lennox","given":"Alison","non-dropping-particle":"","parse-names":false,"suffix":""},{"dropping-particle":"","family":"Levy","given":"Renata","non-dropping-particle":"","parse-names":false,"suffix":""},{"dropping-particle":"","family":"Louzada","given":"Maria Laura","non-dropping-particle":"","parse-names":false,"suffix":""},{"dropping-particle":"","family":"Mendez","given":"Michelle","non-dropping-particle":"","parse-names":false,"suffix":""},{"dropping-particle":"","family":"Micha","given":"Renata","non-dropping-particle":"","parse-names":false,"suffix":""},{"dropping-particle":"","family":"Naska","given":"Androniki","non-dropping-particle":"","parse-names":false,"suffix":""},{"dropping-particle":"","family":"Nelson","given":"Michael","non-dropping-particle":"","parse-names":false,"suffix":""},{"dropping-particle":"","family":"Nestel","given":"Penny","non-dropping-particle":"","parse-names":false,"suffix":""},{"dropping-particle":"","family":"Nicolaou","given":"Mary","non-dropping-particle":"","parse-names":false,"suffix":""},{"dropping-particle":"","family":"Ocke","given":"Marga","non-dropping-particle":"","parse-names":false,"suffix":""},{"dropping-particle":"","family":"Okubo","given":"Hitomi","non-dropping-particle":"","parse-names":false,"suffix":""},{"dropping-particle":"","family":"Pot","given":"Gerda","non-dropping-particle":"","parse-names":false,"suffix":""},{"dropping-particle":"","family":"Robertson","given":"Claire","non-dropping-particle":"","parse-names":false,"suffix":""},{"dropping-particle":"","family":"Robson","given":"Paula","non-dropping-particle":"","parse-names":false,"suffix":""},{"dropping-particle":"","family":"Seal","given":"Chris","non-dropping-particle":"","parse-names":false,"suffix":""},{"dropping-particle":"","family":"Sharma","given":"Sangita","non-dropping-particle":"","parse-names":false,"suffix":""},{"dropping-particle":"","family":"Strachan","given":"Emma","non-dropping-particle":"","parse-names":false,"suffix":""},{"dropping-particle":"","family":"Subar","given":"Amy","non-dropping-particle":"","parse-names":false,"suffix":""},{"dropping-particle":"","family":"Summerbell","given":"Carolyn","non-dropping-particle":"","parse-names":false,"suffix":""},{"dropping-particle":"","family":"Swan","given":"Gillian","non-dropping-particle":"","parse-names":false,"suffix":""},{"dropping-particle":"","family":"Tabacchi","given":"Garden","non-dropping-particle":"","parse-names":false,"suffix":""},{"dropping-particle":"","family":"Thompson","given":"Frances","non-dropping-particle":"","parse-names":false,"suffix":""},{"dropping-particle":"","family":"Thompson","given":"Janice L.","non-dropping-particle":"","parse-names":false,"suffix":""},{"dropping-particle":"","family":"Thornton","given":"Lukar","non-dropping-particle":"","parse-names":false,"suffix":""},{"dropping-particle":"","family":"Touvier","given":"Mathilde","non-dropping-particle":"","parse-names":false,"suffix":""},{"dropping-particle":"","family":"Turrini","given":"Aida","non-dropping-particle":"","parse-names":false,"suffix":""},{"dropping-particle":"","family":"Warren","given":"Janet","non-dropping-particle":"","parse-names":false,"suffix":""},{"dropping-particle":"","family":"Welch","given":"Ailsa","non-dropping-particle":"","parse-names":false,"suffix":""},{"dropping-particle":"","family":"Wheeler","given":"Simon","non-dropping-particle":"","parse-names":false,"suffix":""},{"dropping-particle":"","family":"Willett","given":"Walter","non-dropping-particle":"","parse-names":false,"suffix":""},{"dropping-particle":"","family":"Harvey","given":"Linda","non-dropping-particle":"","parse-names":false,"suffix":""}],"container-title":"BMC Medicine","id":"ITEM-1","issue":"1","issued":{"date-parts":[["2017","11","15"]]},"page":"1-15","publisher":"BioMed Central Ltd.","title":"DIET@NET: Best Practice Guidelines for dietary assessment in health research","type":"article-journal","volume":"15"},"uris":["http://www.mendeley.com/documents/?uuid=669f5d24-014d-368b-827c-cec50b6ed51e"]}],"mendeley":{"formattedCitation":"(187)","plainTextFormattedCitation":"(187)","previouslyFormattedCitation":"(187)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(187)</w:t>
      </w:r>
      <w:r w:rsidRPr="00F56683">
        <w:rPr>
          <w:rFonts w:cstheme="minorHAnsi"/>
          <w:color w:val="000000" w:themeColor="text1"/>
        </w:rPr>
        <w:fldChar w:fldCharType="end"/>
      </w:r>
      <w:r w:rsidRPr="00F56683">
        <w:rPr>
          <w:rFonts w:cstheme="minorHAnsi"/>
          <w:color w:val="000000" w:themeColor="text1"/>
        </w:rPr>
        <w:t xml:space="preserve"> and comprehensive toolkits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{"citationItems":[{"id":"ITEM-1","itemData":{"DOI":"10.1017/S1368980018002951","ISSN":"14752727","PMID":"30428939","abstract":"Objective A wide variety of methods are available to assess dietary intake, each one with different strengths and weaknesses. Researchers face multiple challenges when diet and nutrition need to be accurately assessed, particularly in the selection of the most appropriate dietary assessment method for their study. The goal of the current collaborative work is to present a collection of available resources for dietary assessment implementation.Design/Setting/Participants As a follow-up to the 9th International Conference on Diet and Physical Activity Methods held in 2015, developers of dietary assessment toolkits agreed to collaborate in the preparation of the present paper, which provides an overview of each toolkit. The toolkits presented include: the Diet, Anthropometry and Physical Activity Measurement Toolkit (DAPA; UK); the National Cancer Institute's (NCI) Dietary Assessment Primer (USA); the Nutritools website (UK); the Australasian Child and Adolescent Obesity Research Network (ACAORN) method selector (Australia); and the Danone Dietary Assessment Toolkit (DanoneDAT; France). An at-a-glance summary of features and comparison of the toolkits is provided.Results The present review contains general background on dietary assessment, along with a summary of each of the included toolkits, a feature comparison table and direct links to each toolkit, all of which are freely available online.Conclusions This overview of dietary assessment toolkits provides comprehensive information to aid users in the selection and implementation of the most appropriate dietary assessment method, or combination of methods, with the goal of collecting the highest-quality dietary data possible.","author":[{"dropping-particle":"","family":"Dao","given":"Maria Carlota","non-dropping-particle":"","parse-names":false,"suffix":""},{"dropping-particle":"","family":"Subar","given":"Amy F.","non-dropping-particle":"","parse-names":false,"suffix":""},{"dropping-particle":"","family":"Warthon-Medina","given":"Marisol","non-dropping-particle":"","parse-names":false,"suffix":""},{"dropping-particle":"","family":"Cade","given":"Janet E.","non-dropping-particle":"","parse-names":false,"suffix":""},{"dropping-particle":"","family":"Burrows","given":"Tracy","non-dropping-particle":"","parse-names":false,"suffix":""},{"dropping-particle":"","family":"Golley","given":"Rebecca K.","non-dropping-particle":"","parse-names":false,"suffix":""},{"dropping-particle":"","family":"Forouhi","given":"Nita G.","non-dropping-particle":"","parse-names":false,"suffix":""},{"dropping-particle":"","family":"Pearce","given":"Matthew","non-dropping-particle":"","parse-names":false,"suffix":""},{"dropping-particle":"","family":"Holmes","given":"Bridget A.","non-dropping-particle":"","parse-names":false,"suffix":""}],"container-title":"Public health nutrition","id":"ITEM-1","issue":"3","issued":{"date-parts":[["2019","3","1"]]},"page":"404","publisher":"Europe PMC Funders","title":"Dietary Assessment Toolkits: An Overview","type":"article-journal","volume":"22"},"uris":["http://www.mendeley.com/documents/?uuid=4703c8cf-098f-3be8-97ec-1e3678cf6b88"]}],"mendeley":{"formattedCitation":"(188)","plainTextFormattedCitation":"(188)","previouslyFormattedCitation":"(188)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(188)</w:t>
      </w:r>
      <w:r w:rsidRPr="00F56683">
        <w:rPr>
          <w:rFonts w:cstheme="minorHAnsi"/>
          <w:color w:val="000000" w:themeColor="text1"/>
        </w:rPr>
        <w:fldChar w:fldCharType="end"/>
      </w:r>
      <w:r w:rsidRPr="00F56683">
        <w:rPr>
          <w:rFonts w:cstheme="minorHAnsi"/>
          <w:color w:val="000000" w:themeColor="text1"/>
        </w:rPr>
        <w:t xml:space="preserve"> are available to aid users with these decisions. </w:t>
      </w:r>
      <w:r w:rsidRPr="00F56683">
        <w:rPr>
          <w:rFonts w:cstheme="minorHAnsi"/>
          <w:color w:val="000000" w:themeColor="text1"/>
          <w:shd w:val="clear" w:color="auto" w:fill="FFFFFF"/>
        </w:rPr>
        <w:t>This emphasises the importance of making sure the correct tool is selected. In the UK, the Diet, Anthropometry and Physical Activity Measurement Toolkit</w:t>
      </w:r>
      <w:r w:rsidRPr="00F56683">
        <w:rPr>
          <w:rFonts w:cstheme="minorHAnsi"/>
          <w:color w:val="000000" w:themeColor="text1"/>
        </w:rPr>
        <w:t xml:space="preserve"> </w:t>
      </w:r>
      <w:r w:rsidRPr="00F56683">
        <w:rPr>
          <w:rFonts w:cstheme="minorHAnsi"/>
          <w:color w:val="000000" w:themeColor="text1"/>
          <w:shd w:val="clear" w:color="auto" w:fill="FFFFFF"/>
        </w:rPr>
        <w:t>(DAPA) have developed a simplified and easy</w:t>
      </w:r>
      <w:r w:rsidR="00F833F3" w:rsidRPr="00F56683">
        <w:rPr>
          <w:rFonts w:cstheme="minorHAnsi"/>
          <w:color w:val="000000" w:themeColor="text1"/>
          <w:shd w:val="clear" w:color="auto" w:fill="FFFFFF"/>
        </w:rPr>
        <w:t>-</w:t>
      </w:r>
      <w:r w:rsidRPr="00F56683">
        <w:rPr>
          <w:rFonts w:cstheme="minorHAnsi"/>
          <w:color w:val="000000" w:themeColor="text1"/>
          <w:shd w:val="clear" w:color="auto" w:fill="FFFFFF"/>
        </w:rPr>
        <w:t>to</w:t>
      </w:r>
      <w:r w:rsidR="00F833F3"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use “method selector” table </w:t>
      </w:r>
      <w:r w:rsidRPr="00F56683">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{"citationItems":[{"id":"ITEM-1","itemData":{"URL":"https://dapa-toolkit.mrc.ac.uk/diet-individual-analysis-decision-matrix","accessed":{"date-parts":[["2022","8","24"]]},"id":"ITEM-1","issued":{"date-parts":[["0"]]},"title":"DAPA Measurement Toolkit","type":"webpage"},"uris":["http://www.mendeley.com/documents/?uuid=de9f85a9-df85-37fd-98b1-20d1ca6f9ca3"]}],"mendeley":{"formattedCitation":"(189)","plainTextFormattedCitation":"(189)","previouslyFormattedCitation":"(189)"},"properties":{"noteIndex":0},"schema":"https://github.com/citation-style-language/schema/raw/master/csl-citation.json"}</w:instrText>
      </w:r>
      <w:r w:rsidRPr="00F56683">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(189)</w:t>
      </w:r>
      <w:r w:rsidRPr="00F56683">
        <w:rPr>
          <w:rFonts w:cstheme="minorHAnsi"/>
          <w:color w:val="000000" w:themeColor="text1"/>
          <w:shd w:val="clear" w:color="auto" w:fill="FFFFFF"/>
        </w:rPr>
        <w:fldChar w:fldCharType="end"/>
      </w:r>
      <w:r w:rsidR="00A4138A" w:rsidRPr="00F56683">
        <w:rPr>
          <w:rFonts w:cstheme="minorHAnsi"/>
          <w:color w:val="000000" w:themeColor="text1"/>
          <w:shd w:val="clear" w:color="auto" w:fill="FFFFFF"/>
        </w:rPr>
        <w:t xml:space="preserve"> for this purpose.</w:t>
      </w:r>
    </w:p>
    <w:p w14:paraId="09D8A092" w14:textId="77777777" w:rsidR="004F4AF8" w:rsidRPr="00F56683" w:rsidRDefault="004F4AF8" w:rsidP="00F42CB9">
      <w:pPr>
        <w:spacing w:line="360" w:lineRule="auto"/>
        <w:rPr>
          <w:rFonts w:cstheme="minorHAnsi"/>
          <w:color w:val="000000" w:themeColor="text1"/>
        </w:rPr>
      </w:pPr>
    </w:p>
    <w:p w14:paraId="5694B770" w14:textId="232209B7" w:rsidR="004F4AF8" w:rsidRPr="00F56683" w:rsidRDefault="004F4AF8" w:rsidP="00F42CB9">
      <w:pPr>
        <w:spacing w:line="360" w:lineRule="auto"/>
        <w:rPr>
          <w:rFonts w:cstheme="minorHAnsi"/>
          <w:color w:val="000000" w:themeColor="text1"/>
        </w:rPr>
      </w:pPr>
      <w:r w:rsidRPr="00F56683">
        <w:rPr>
          <w:rFonts w:cstheme="minorHAnsi"/>
          <w:color w:val="000000" w:themeColor="text1"/>
        </w:rPr>
        <w:t xml:space="preserve">Factors which require consideration when selecting a dietary assessment method include: the time and resources available, costs (of development and use), the level of detail required about the diet, respondent numbers, respondent literacy requirements, ecological validity, risk of bias (recall, reactivity, social desirability and observer) which may lead to inaccurate reporting (often underreporting), participant burden and invasiveness, as well as researcher burden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{"citationItems":[{"id":"ITEM-1","itemData":{"DOI":"10.1017/S1368980018002951","ISSN":"14752727","PMID":"30428939","abstract":"Objective A wide variety of methods are available to assess dietary intake, each one with different strengths and weaknesses. Researchers face multiple challenges when diet and nutrition need to be accurately assessed, particularly in the selection of the most appropriate dietary assessment method for their study. The goal of the current collaborative work is to present a collection of available resources for dietary assessment implementation.Design/Setting/Participants As a follow-up to the 9th International Conference on Diet and Physical Activity Methods held in 2015, developers of dietary assessment toolkits agreed to collaborate in the preparation of the present paper, which provides an overview of each toolkit. The toolkits presented include: the Diet, Anthropometry and Physical Activity Measurement Toolkit (DAPA; UK); the National Cancer Institute's (NCI) Dietary Assessment Primer (USA); the Nutritools website (UK); the Australasian Child and Adolescent Obesity Research Network (ACAORN) method selector (Australia); and the Danone Dietary Assessment Toolkit (DanoneDAT; France). An at-a-glance summary of features and comparison of the toolkits is provided.Results The present review contains general background on dietary assessment, along with a summary of each of the included toolkits, a feature comparison table and direct links to each toolkit, all of which are freely available online.Conclusions This overview of dietary assessment toolkits provides comprehensive information to aid users in the selection and implementation of the most appropriate dietary assessment method, or combination of methods, with the goal of collecting the highest-quality dietary data possible.","author":[{"dropping-particle":"","family":"Dao","given":"Maria Carlota","non-dropping-particle":"","parse-names":false,"suffix":""},{"dropping-particle":"","family":"Subar","given":"Amy F.","non-dropping-particle":"","parse-names":false,"suffix":""},{"dropping-particle":"","family":"Warthon-Medina","given":"Marisol","non-dropping-particle":"","parse-names":false,"suffix":""},{"dropping-particle":"","family":"Cade","given":"Janet E.","non-dropping-particle":"","parse-names":false,"suffix":""},{"dropping-particle":"","family":"Burrows","given":"Tracy","non-dropping-particle":"","parse-names":false,"suffix":""},{"dropping-particle":"","family":"Golley","given":"Rebecca K.","non-dropping-particle":"","parse-names":false,"suffix":""},{"dropping-particle":"","family":"Forouhi","given":"Nita G.","non-dropping-particle":"","parse-names":false,"suffix":""},{"dropping-particle":"","family":"Pearce","given":"Matthew","non-dropping-particle":"","parse-names":false,"suffix":""},{"dropping-particle":"","family":"Holmes","given":"Bridget A.","non-dropping-particle":"","parse-names":false,"suffix":""}],"container-title":"Public health nutrition","id":"ITEM-1","issue":"3","issued":{"date-parts":[["2019","3","1"]]},"page":"404","publisher":"Europe PMC Funders","title":"Dietary Assessment Toolkits: An Overview","type":"article-journal","volume":"22"},"uris":["http://www.mendeley.com/documents/?uuid=4703c8cf-098f-3be8-97ec-1e3678cf6b88"]}],"mendeley":{"formattedCitation":"(188)","plainTextFormattedCitation":"(188)","previouslyFormattedCitation":"(188)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(188)</w:t>
      </w:r>
      <w:r w:rsidRPr="00F56683">
        <w:rPr>
          <w:rFonts w:cstheme="minorHAnsi"/>
          <w:color w:val="000000" w:themeColor="text1"/>
        </w:rPr>
        <w:fldChar w:fldCharType="end"/>
      </w:r>
      <w:r w:rsidRPr="00F56683">
        <w:rPr>
          <w:rFonts w:cstheme="minorHAnsi"/>
          <w:color w:val="000000" w:themeColor="text1"/>
        </w:rPr>
        <w:t>.</w:t>
      </w:r>
    </w:p>
    <w:p w14:paraId="224E1895" w14:textId="77777777" w:rsidR="004F4AF8" w:rsidRPr="00F56683" w:rsidRDefault="004F4AF8" w:rsidP="00F42CB9">
      <w:pPr>
        <w:spacing w:line="360" w:lineRule="auto"/>
        <w:rPr>
          <w:rFonts w:cstheme="minorHAnsi"/>
          <w:color w:val="000000" w:themeColor="text1"/>
        </w:rPr>
      </w:pPr>
    </w:p>
    <w:p w14:paraId="2911DE41" w14:textId="2815274B" w:rsidR="004F4AF8" w:rsidRPr="00F56683" w:rsidRDefault="004F4AF8" w:rsidP="00F42CB9">
      <w:pPr>
        <w:pStyle w:val="Heading3"/>
        <w:spacing w:line="360" w:lineRule="auto"/>
        <w:rPr>
          <w:rFonts w:asciiTheme="minorHAnsi" w:hAnsiTheme="minorHAnsi" w:cstheme="minorHAnsi"/>
          <w:color w:val="000000" w:themeColor="text1"/>
        </w:rPr>
      </w:pPr>
      <w:bookmarkStart w:id="82" w:name="_Toc135384271"/>
      <w:r w:rsidRPr="00F56683">
        <w:rPr>
          <w:rFonts w:asciiTheme="minorHAnsi" w:hAnsiTheme="minorHAnsi" w:cstheme="minorHAnsi"/>
          <w:color w:val="000000" w:themeColor="text1"/>
        </w:rPr>
        <w:t>3.1.4 Validation methods</w:t>
      </w:r>
      <w:bookmarkEnd w:id="82"/>
    </w:p>
    <w:p w14:paraId="2D881A16" w14:textId="7D195299" w:rsidR="004F4AF8" w:rsidRPr="00F56683" w:rsidRDefault="004F4AF8" w:rsidP="00F42CB9">
      <w:pPr>
        <w:spacing w:line="360" w:lineRule="auto"/>
        <w:rPr>
          <w:rFonts w:cstheme="minorHAnsi"/>
          <w:color w:val="000000" w:themeColor="text1"/>
        </w:rPr>
      </w:pPr>
      <w:r w:rsidRPr="00F56683">
        <w:rPr>
          <w:rFonts w:cstheme="minorHAnsi"/>
          <w:color w:val="000000" w:themeColor="text1"/>
        </w:rPr>
        <w:t>To identify if the new screening tool is reliable and consistently produces accurate results, assessments between dietary information collected using an established comparison reference need to be carried out (outlined above in section 3.1.3). Sensitivity of the test, also known as the true positive rate, defines the ability of the tool to correctly identify a positive result and corroborate the comparison tool. Calculations of specificity identif</w:t>
      </w:r>
      <w:r w:rsidR="00F833F3" w:rsidRPr="00F56683">
        <w:rPr>
          <w:rFonts w:cstheme="minorHAnsi"/>
          <w:color w:val="000000" w:themeColor="text1"/>
        </w:rPr>
        <w:t>y</w:t>
      </w:r>
      <w:r w:rsidRPr="00F56683">
        <w:rPr>
          <w:rFonts w:cstheme="minorHAnsi"/>
          <w:color w:val="000000" w:themeColor="text1"/>
        </w:rPr>
        <w:t xml:space="preserve"> the true negative rate i.e. the rate that the screener tool accurately captures those who are not of concern. It is also important to establish the false positive rate (1-specificity) and false negative results, as this helps establish when the screener may produce an incorrect result.  The gold standard technique for validating dietary protein intake is urinary excretion of nitrogen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{"citationItems":[{"id":"ITEM-1","itemData":{"DOI":"10.1093/IJE/DYG264","ISSN":"0300-5771","PMID":"14681273","abstract":"Background. Most large cohort studies have used a food frequency questionnaire (FFQ) for assessing dietary intake. Several biomarker studies, however, have cast doubt on whether the FFQ has sufficient precision to allow detection of moderate but important diet-disease associations. We use data from the Observing Protein and Energy Nutrition (OPEN) study to compare the performance of a FFQ with that of a 24-hour recall (24HR). Methods. The OPEN study included 484 healthy volunteer participants (261 men, 223 women) from Montgomery County, Maryland, aged 40-69. Each participant was asked to complete a FFQ and 24HR on two occasions 3 months apart, and a doubly labelled water (DLW) assessment and two 24-hour urine collections during the 2 weeks after the first FFQ and 24HR assessment. For both the FFQ and 24HR and for both men and women, we calculated attenuation factors for absolute energy, absolute protein, and protein density. Results. For absolute energy and protein, a single FFQs attenuation factor is 0.04-0.16. Repeat administrations lead to little improvement (0.08-0.19). Attenuation factors for a single 24HR are 0.10-0.20, but four repeats would yield attenuations of 0.20-0.37. For protein density a single FFQ has an attenuation of 0.3-0.4; for a single 24HR the attenuation factor is 0.15-0.25 but would increase to 0.35-0.50 with four repeats. Conclusions. Because of severe attenuation, the FFQ cannot be recommended as an instrument for evaluating relations between absolute intake of energy or protein and disease. Although this attenuation is lessened in analyses of energy-adjusted protein, it remains substantial for both FFQ and multiple 24HR. The utility of either of these instruments for detecting important but moderate relative risks (between 1.5 and 2.0), even for energy-adjusted dietary factors, is questionable.","author":[{"dropping-particle":"","family":"Schatzkin","given":"Arthur","non-dropping-particle":"","parse-names":false,"suffix":""},{"dropping-particle":"","family":"Kipnis","given":"Victor","non-dropping-particle":"","parse-names":false,"suffix":""},{"dropping-particle":"","family":"Carroll","given":"Raymond J.","non-dropping-particle":"","parse-names":false,"suffix":""},{"dropping-particle":"","family":"Midthune","given":"Douglas","non-dropping-particle":"","parse-names":false,"suffix":""},{"dropping-particle":"","family":"Subar","given":"Amy F.","non-dropping-particle":"","parse-names":false,"suffix":""},{"dropping-particle":"","family":"Bingham","given":"Sheila","non-dropping-particle":"","parse-names":false,"suffix":""},{"dropping-particle":"","family":"Schoeller","given":"Dale A.","non-dropping-particle":"","parse-names":false,"suffix":""},{"dropping-particle":"","family":"Troiano","given":"Richard P.","non-dropping-particle":"","parse-names":false,"suffix":""},{"dropping-particle":"","family":"Freedman","given":"Laurence S.","non-dropping-particle":"","parse-names":false,"suffix":""}],"container-title":"International journal of epidemiology","id":"ITEM-1","issue":"6","issued":{"date-parts":[["2003","12"]]},"page":"1054-1062","publisher":"Int J Epidemiol","title":"A comparison of a food frequency questionnaire with a 24-hour recall for use in an epidemiological cohort study: results from the biomarker-based Observing Protein and Energy Nutrition (OPEN) study","type":"article-journal","volume":"32"},"uris":["http://www.mendeley.com/documents/?uuid=34523b31-c2d3-3123-8398-240b012eb88f"]}],"mendeley":{"formattedCitation":"(190)","plainTextFormattedCitation":"(190)","previouslyFormattedCitation":"(190)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(190)</w:t>
      </w:r>
      <w:r w:rsidRPr="00F56683">
        <w:rPr>
          <w:rFonts w:cstheme="minorHAnsi"/>
          <w:color w:val="000000" w:themeColor="text1"/>
        </w:rPr>
        <w:fldChar w:fldCharType="end"/>
      </w:r>
      <w:r w:rsidRPr="00F56683">
        <w:rPr>
          <w:rFonts w:cstheme="minorHAnsi"/>
          <w:color w:val="000000" w:themeColor="text1"/>
        </w:rPr>
        <w:t>, however</w:t>
      </w:r>
      <w:r w:rsidR="00733EAE" w:rsidRPr="00F56683">
        <w:rPr>
          <w:rFonts w:cstheme="minorHAnsi"/>
          <w:color w:val="000000" w:themeColor="text1"/>
        </w:rPr>
        <w:t>,</w:t>
      </w:r>
      <w:r w:rsidRPr="00F56683">
        <w:rPr>
          <w:rFonts w:cstheme="minorHAnsi"/>
          <w:color w:val="000000" w:themeColor="text1"/>
        </w:rPr>
        <w:t xml:space="preserve"> this is expensive and difficult to do in large cohorts. The next best tool would be an accurate quantitative assessment such as a repeated food diary or 24-hour recall, of a minimum of 3 days, including a weekend day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{"citationItems":[{"id":"ITEM-1","itemData":{"DOI":"10.1017/S1368980018002951","ISSN":"14752727","PMID":"30428939","abstract":"Objective A wide variety of methods are available to assess dietary intake, each one with different strengths and weaknesses. Researchers face multiple challenges when diet and nutrition need to be accurately assessed, particularly in the selection of the most appropriate dietary assessment method for their study. The goal of the current collaborative work is to present a collection of available resources for dietary assessment implementation.Design/Setting/Participants As a follow-up to the 9th International Conference on Diet and Physical Activity Methods held in 2015, developers of dietary assessment toolkits agreed to collaborate in the preparation of the present paper, which provides an overview of each toolkit. The toolkits presented include: the Diet, Anthropometry and Physical Activity Measurement Toolkit (DAPA; UK); the National Cancer Institute's (NCI) Dietary Assessment Primer (USA); the Nutritools website (UK); the Australasian Child and Adolescent Obesity Research Network (ACAORN) method selector (Australia); and the Danone Dietary Assessment Toolkit (DanoneDAT; France). An at-a-glance summary of features and comparison of the toolkits is provided.Results The present review contains general background on dietary assessment, along with a summary of each of the included toolkits, a feature comparison table and direct links to each toolkit, all of which are freely available online.Conclusions This overview of dietary assessment toolkits provides comprehensive information to aid users in the selection and implementation of the most appropriate dietary assessment method, or combination of methods, with the goal of collecting the highest-quality dietary data possible.","author":[{"dropping-particle":"","family":"Dao","given":"Maria Carlota","non-dropping-particle":"","parse-names":false,"suffix":""},{"dropping-particle":"","family":"Subar","given":"Amy F.","non-dropping-particle":"","parse-names":false,"suffix":""},{"dropping-particle":"","family":"Warthon-Medina","given":"Marisol","non-dropping-particle":"","parse-names":false,"suffix":""},{"dropping-particle":"","family":"Cade","given":"Janet E.","non-dropping-particle":"","parse-names":false,"suffix":""},{"dropping-particle":"","family":"Burrows","given":"Tracy","non-dropping-particle":"","parse-names":false,"suffix":""},{"dropping-particle":"","family":"Golley","given":"Rebecca K.","non-dropping-particle":"","parse-names":false,"suffix":""},{"dropping-particle":"","family":"Forouhi","given":"Nita G.","non-dropping-particle":"","parse-names":false,"suffix":""},{"dropping-particle":"","family":"Pearce","given":"Matthew","non-dropping-particle":"","parse-names":false,"suffix":""},{"dropping-particle":"","family":"Holmes","given":"Bridget A.","non-dropping-particle":"","parse-names":false,"suffix":""}],"container-title":"Public health nutrition","id":"ITEM-1","issue":"3","issued":{"date-parts":[["2019","3","1"]]},"page":"404","publisher":"Europe PMC Funders","title":"Dietary Assessment Toolkits: An Overview","type":"article-journal","volume":"22"},"uris":["http://www.mendeley.com/documents/?uuid=4703c8cf-098f-3be8-97ec-1e3678cf6b88"]}],"mendeley":{"formattedCitation":"(188)","plainTextFormattedCitation":"(188)","previouslyFormattedCitation":"(188)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(188)</w:t>
      </w:r>
      <w:r w:rsidRPr="00F56683">
        <w:rPr>
          <w:rFonts w:cstheme="minorHAnsi"/>
          <w:color w:val="000000" w:themeColor="text1"/>
        </w:rPr>
        <w:fldChar w:fldCharType="end"/>
      </w:r>
      <w:r w:rsidRPr="00F56683">
        <w:rPr>
          <w:rFonts w:cstheme="minorHAnsi"/>
          <w:color w:val="000000" w:themeColor="text1"/>
        </w:rPr>
        <w:t xml:space="preserve"> but often interactions </w:t>
      </w:r>
      <w:r w:rsidRPr="00F56683">
        <w:rPr>
          <w:rFonts w:cstheme="minorHAnsi"/>
          <w:color w:val="000000" w:themeColor="text1"/>
        </w:rPr>
        <w:lastRenderedPageBreak/>
        <w:t>between the researcher and the participants are need</w:t>
      </w:r>
      <w:r w:rsidR="00733EAE" w:rsidRPr="00F56683">
        <w:rPr>
          <w:rFonts w:cstheme="minorHAnsi"/>
          <w:color w:val="000000" w:themeColor="text1"/>
        </w:rPr>
        <w:t>ed</w:t>
      </w:r>
      <w:r w:rsidRPr="00F56683">
        <w:rPr>
          <w:rFonts w:cstheme="minorHAnsi"/>
          <w:color w:val="000000" w:themeColor="text1"/>
        </w:rPr>
        <w:t xml:space="preserve"> to ensure</w:t>
      </w:r>
      <w:r w:rsidR="00733EAE" w:rsidRPr="00F56683">
        <w:rPr>
          <w:rFonts w:cstheme="minorHAnsi"/>
          <w:color w:val="000000" w:themeColor="text1"/>
        </w:rPr>
        <w:t xml:space="preserve"> the</w:t>
      </w:r>
      <w:r w:rsidRPr="00F56683">
        <w:rPr>
          <w:rFonts w:cstheme="minorHAnsi"/>
          <w:color w:val="000000" w:themeColor="text1"/>
        </w:rPr>
        <w:t xml:space="preserve"> best practices protocols are followed and the data collected is of the highest degree of accuracy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{"citationItems":[{"id":"ITEM-1","itemData":{"DOI":"10.1017/S1368980018002951","ISSN":"14752727","PMID":"30428939","abstract":"Objective A wide variety of methods are available to assess dietary intake, each one with different strengths and weaknesses. Researchers face multiple challenges when diet and nutrition need to be accurately assessed, particularly in the selection of the most appropriate dietary assessment method for their study. The goal of the current collaborative work is to present a collection of available resources for dietary assessment implementation.Design/Setting/Participants As a follow-up to the 9th International Conference on Diet and Physical Activity Methods held in 2015, developers of dietary assessment toolkits agreed to collaborate in the preparation of the present paper, which provides an overview of each toolkit. The toolkits presented include: the Diet, Anthropometry and Physical Activity Measurement Toolkit (DAPA; UK); the National Cancer Institute's (NCI) Dietary Assessment Primer (USA); the Nutritools website (UK); the Australasian Child and Adolescent Obesity Research Network (ACAORN) method selector (Australia); and the Danone Dietary Assessment Toolkit (DanoneDAT; France). An at-a-glance summary of features and comparison of the toolkits is provided.Results The present review contains general background on dietary assessment, along with a summary of each of the included toolkits, a feature comparison table and direct links to each toolkit, all of which are freely available online.Conclusions This overview of dietary assessment toolkits provides comprehensive information to aid users in the selection and implementation of the most appropriate dietary assessment method, or combination of methods, with the goal of collecting the highest-quality dietary data possible.","author":[{"dropping-particle":"","family":"Dao","given":"Maria Carlota","non-dropping-particle":"","parse-names":false,"suffix":""},{"dropping-particle":"","family":"Subar","given":"Amy F.","non-dropping-particle":"","parse-names":false,"suffix":""},{"dropping-particle":"","family":"Warthon-Medina","given":"Marisol","non-dropping-particle":"","parse-names":false,"suffix":""},{"dropping-particle":"","family":"Cade","given":"Janet E.","non-dropping-particle":"","parse-names":false,"suffix":""},{"dropping-particle":"","family":"Burrows","given":"Tracy","non-dropping-particle":"","parse-names":false,"suffix":""},{"dropping-particle":"","family":"Golley","given":"Rebecca K.","non-dropping-particle":"","parse-names":false,"suffix":""},{"dropping-particle":"","family":"Forouhi","given":"Nita G.","non-dropping-particle":"","parse-names":false,"suffix":""},{"dropping-particle":"","family":"Pearce","given":"Matthew","non-dropping-particle":"","parse-names":false,"suffix":""},{"dropping-particle":"","family":"Holmes","given":"Bridget A.","non-dropping-particle":"","parse-names":false,"suffix":""}],"container-title":"Public health nutrition","id":"ITEM-1","issue":"3","issued":{"date-parts":[["2019","3","1"]]},"page":"404","publisher":"Europe PMC Funders","title":"Dietary Assessment Toolkits: An Overview","type":"article-journal","volume":"22"},"uris":["http://www.mendeley.com/documents/?uuid=4703c8cf-098f-3be8-97ec-1e3678cf6b88"]}],"mendeley":{"formattedCitation":"(188)","plainTextFormattedCitation":"(188)","previouslyFormattedCitation":"(188)"},"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(188)</w:t>
      </w:r>
      <w:r w:rsidRPr="00F56683">
        <w:rPr>
          <w:rFonts w:cstheme="minorHAnsi"/>
          <w:color w:val="000000" w:themeColor="text1"/>
        </w:rPr>
        <w:fldChar w:fldCharType="end"/>
      </w:r>
      <w:r w:rsidRPr="00F56683">
        <w:rPr>
          <w:rFonts w:cstheme="minorHAnsi"/>
          <w:color w:val="000000" w:themeColor="text1"/>
        </w:rPr>
        <w:t xml:space="preserve">. </w:t>
      </w:r>
    </w:p>
    <w:p w14:paraId="260D49B0" w14:textId="77777777" w:rsidR="007C0EBB" w:rsidRPr="00F56683" w:rsidRDefault="007C0EBB" w:rsidP="00F42CB9">
      <w:pPr>
        <w:spacing w:line="360" w:lineRule="auto"/>
        <w:ind w:firstLine="720"/>
        <w:rPr>
          <w:rFonts w:cstheme="minorHAnsi"/>
          <w:color w:val="000000" w:themeColor="text1"/>
        </w:rPr>
      </w:pPr>
    </w:p>
    <w:p w14:paraId="02143EF2" w14:textId="3053F5BE" w:rsidR="007C0EBB" w:rsidRPr="00F56683" w:rsidRDefault="007C0EBB" w:rsidP="00F42CB9">
      <w:pPr>
        <w:pStyle w:val="Heading2"/>
        <w:spacing w:line="360" w:lineRule="auto"/>
        <w:rPr>
          <w:rFonts w:asciiTheme="minorHAnsi" w:hAnsiTheme="minorHAnsi" w:cstheme="minorHAnsi"/>
          <w:b/>
          <w:bCs/>
          <w:color w:val="000000" w:themeColor="text1"/>
          <w:sz w:val="24"/>
          <w:szCs w:val="24"/>
        </w:rPr>
      </w:pPr>
      <w:bookmarkStart w:id="83" w:name="_Toc135384272"/>
      <w:r w:rsidRPr="00F56683">
        <w:rPr>
          <w:rFonts w:asciiTheme="minorHAnsi" w:hAnsiTheme="minorHAnsi" w:cstheme="minorHAnsi"/>
          <w:b/>
          <w:bCs/>
          <w:color w:val="000000" w:themeColor="text1"/>
          <w:sz w:val="24"/>
          <w:szCs w:val="24"/>
        </w:rPr>
        <w:t xml:space="preserve">3.2 Part A </w:t>
      </w:r>
      <w:r w:rsidR="003B7B0F" w:rsidRPr="00F56683">
        <w:rPr>
          <w:rFonts w:asciiTheme="minorHAnsi" w:hAnsiTheme="minorHAnsi" w:cstheme="minorHAnsi"/>
          <w:b/>
          <w:bCs/>
          <w:color w:val="000000" w:themeColor="text1"/>
          <w:sz w:val="24"/>
          <w:szCs w:val="24"/>
        </w:rPr>
        <w:t>- ProScreenerUK</w:t>
      </w:r>
      <w:bookmarkEnd w:id="83"/>
    </w:p>
    <w:p w14:paraId="5DBF7080" w14:textId="36058362" w:rsidR="007C0EBB" w:rsidRPr="00F56683" w:rsidRDefault="007C0EBB" w:rsidP="00F42CB9">
      <w:pPr>
        <w:pStyle w:val="Heading3"/>
        <w:spacing w:line="360" w:lineRule="auto"/>
        <w:rPr>
          <w:rFonts w:asciiTheme="minorHAnsi" w:hAnsiTheme="minorHAnsi" w:cstheme="minorHAnsi"/>
          <w:color w:val="000000" w:themeColor="text1"/>
        </w:rPr>
      </w:pPr>
      <w:bookmarkStart w:id="84" w:name="_Toc135384273"/>
      <w:r w:rsidRPr="00F56683">
        <w:rPr>
          <w:rFonts w:asciiTheme="minorHAnsi" w:hAnsiTheme="minorHAnsi" w:cstheme="minorHAnsi"/>
          <w:color w:val="000000" w:themeColor="text1"/>
        </w:rPr>
        <w:t>3.2.1 Part A aims, hypothesis and objectives.</w:t>
      </w:r>
      <w:bookmarkEnd w:id="84"/>
    </w:p>
    <w:p w14:paraId="144BCD40" w14:textId="77777777" w:rsidR="007C0EBB" w:rsidRPr="00F56683" w:rsidRDefault="007C0EBB" w:rsidP="00F42CB9">
      <w:pPr>
        <w:spacing w:line="360" w:lineRule="auto"/>
        <w:rPr>
          <w:rFonts w:cstheme="minorHAnsi"/>
          <w:color w:val="000000" w:themeColor="text1"/>
        </w:rPr>
      </w:pPr>
      <w:r w:rsidRPr="00F56683">
        <w:rPr>
          <w:rFonts w:cstheme="minorHAnsi"/>
          <w:color w:val="000000" w:themeColor="text1"/>
        </w:rPr>
        <w:t>Aim: to adapt and validate a protein screener tool for use with an adult UK population (ProScreenerUK).</w:t>
      </w:r>
    </w:p>
    <w:p w14:paraId="3B0DC633" w14:textId="77777777" w:rsidR="007C0EBB" w:rsidRPr="00F56683" w:rsidRDefault="007C0EBB" w:rsidP="00F42CB9">
      <w:pPr>
        <w:spacing w:line="360" w:lineRule="auto"/>
        <w:rPr>
          <w:rFonts w:cstheme="minorHAnsi"/>
          <w:color w:val="000000" w:themeColor="text1"/>
        </w:rPr>
      </w:pPr>
      <w:r w:rsidRPr="00F56683">
        <w:rPr>
          <w:rFonts w:cstheme="minorHAnsi"/>
          <w:color w:val="000000" w:themeColor="text1"/>
        </w:rPr>
        <w:t>Hypothesis: It is hypothesised that the amended protein screener tool would be valid for use in a UK population.</w:t>
      </w:r>
    </w:p>
    <w:p w14:paraId="1A7963FA" w14:textId="77777777" w:rsidR="007C0EBB" w:rsidRPr="00F56683" w:rsidRDefault="007C0EBB" w:rsidP="00F42CB9">
      <w:pPr>
        <w:spacing w:line="360" w:lineRule="auto"/>
        <w:rPr>
          <w:rFonts w:cstheme="minorHAnsi"/>
          <w:color w:val="000000" w:themeColor="text1"/>
        </w:rPr>
      </w:pPr>
      <w:r w:rsidRPr="00F56683">
        <w:rPr>
          <w:rFonts w:cstheme="minorHAnsi"/>
          <w:color w:val="000000" w:themeColor="text1"/>
        </w:rPr>
        <w:t>Objectives:</w:t>
      </w:r>
    </w:p>
    <w:p w14:paraId="3DFD324E" w14:textId="489B345A" w:rsidR="007C0EBB" w:rsidRPr="00F56683" w:rsidRDefault="007C0EBB" w:rsidP="00F42CB9">
      <w:pPr>
        <w:pStyle w:val="ListParagraph"/>
        <w:numPr>
          <w:ilvl w:val="0"/>
          <w:numId w:val="3"/>
        </w:numPr>
        <w:spacing w:line="360" w:lineRule="auto"/>
        <w:rPr>
          <w:rFonts w:cstheme="minorHAnsi"/>
          <w:color w:val="000000" w:themeColor="text1"/>
        </w:rPr>
      </w:pPr>
      <w:r w:rsidRPr="00F56683">
        <w:rPr>
          <w:rFonts w:cstheme="minorHAnsi"/>
          <w:color w:val="000000" w:themeColor="text1"/>
        </w:rPr>
        <w:t>To amend a version of a protein screener tool</w:t>
      </w:r>
      <w:r w:rsidR="008201F8" w:rsidRPr="00F56683">
        <w:rPr>
          <w:rFonts w:cstheme="minorHAnsi"/>
          <w:color w:val="000000" w:themeColor="text1"/>
        </w:rPr>
        <w:t>,</w:t>
      </w:r>
      <w:r w:rsidRPr="00F56683">
        <w:rPr>
          <w:rFonts w:cstheme="minorHAnsi"/>
          <w:color w:val="000000" w:themeColor="text1"/>
        </w:rPr>
        <w:t xml:space="preserve"> so it reflects the UK diet.</w:t>
      </w:r>
    </w:p>
    <w:p w14:paraId="357FB4ED" w14:textId="75EA3548" w:rsidR="007C0EBB" w:rsidRPr="00F56683" w:rsidRDefault="007C0EBB" w:rsidP="00F42CB9">
      <w:pPr>
        <w:pStyle w:val="ListParagraph"/>
        <w:numPr>
          <w:ilvl w:val="0"/>
          <w:numId w:val="3"/>
        </w:numPr>
        <w:spacing w:line="360" w:lineRule="auto"/>
        <w:rPr>
          <w:rFonts w:cstheme="minorHAnsi"/>
          <w:color w:val="000000" w:themeColor="text1"/>
        </w:rPr>
      </w:pPr>
      <w:r w:rsidRPr="00F56683">
        <w:rPr>
          <w:rFonts w:cstheme="minorHAnsi"/>
          <w:color w:val="000000" w:themeColor="text1"/>
        </w:rPr>
        <w:t>To recruit adults</w:t>
      </w:r>
      <w:r w:rsidR="00D94525" w:rsidRPr="00F56683">
        <w:rPr>
          <w:rFonts w:cstheme="minorHAnsi"/>
          <w:color w:val="000000" w:themeColor="text1"/>
        </w:rPr>
        <w:t xml:space="preserve"> </w:t>
      </w:r>
      <w:r w:rsidRPr="00F56683">
        <w:rPr>
          <w:rFonts w:cstheme="minorHAnsi"/>
          <w:color w:val="000000" w:themeColor="text1"/>
        </w:rPr>
        <w:t>aged 18+ to complete the protein screener tool and complete a food frequency questionnaire (FFQ).</w:t>
      </w:r>
    </w:p>
    <w:p w14:paraId="7F4CB2B9" w14:textId="05343C30" w:rsidR="007C0EBB" w:rsidRPr="00F56683" w:rsidRDefault="007C0EBB" w:rsidP="00F42CB9">
      <w:pPr>
        <w:pStyle w:val="ListParagraph"/>
        <w:numPr>
          <w:ilvl w:val="0"/>
          <w:numId w:val="3"/>
        </w:numPr>
        <w:spacing w:line="360" w:lineRule="auto"/>
        <w:rPr>
          <w:rFonts w:cstheme="minorHAnsi"/>
          <w:color w:val="000000" w:themeColor="text1"/>
        </w:rPr>
      </w:pPr>
      <w:r w:rsidRPr="00F56683">
        <w:rPr>
          <w:rFonts w:cstheme="minorHAnsi"/>
          <w:color w:val="000000" w:themeColor="text1"/>
        </w:rPr>
        <w:t>To obtain estimates of protein intakes based on FFQ responses.</w:t>
      </w:r>
    </w:p>
    <w:p w14:paraId="3C71601D" w14:textId="1BA0DB1F" w:rsidR="007C0EBB" w:rsidRPr="00F56683" w:rsidRDefault="007C0EBB" w:rsidP="00F42CB9">
      <w:pPr>
        <w:pStyle w:val="ListParagraph"/>
        <w:numPr>
          <w:ilvl w:val="0"/>
          <w:numId w:val="3"/>
        </w:numPr>
        <w:spacing w:line="360" w:lineRule="auto"/>
        <w:rPr>
          <w:rFonts w:cstheme="minorHAnsi"/>
          <w:color w:val="000000" w:themeColor="text1"/>
        </w:rPr>
      </w:pPr>
      <w:r w:rsidRPr="00F56683">
        <w:rPr>
          <w:rFonts w:cstheme="minorHAnsi"/>
          <w:color w:val="000000" w:themeColor="text1"/>
        </w:rPr>
        <w:t>To conduct sensitivity, specificity and ROC curve analysis to validate the amended ProScreenUK tool, using derived protein intakes (FFQ data) against</w:t>
      </w:r>
      <w:r w:rsidR="00A4138A" w:rsidRPr="00F56683">
        <w:rPr>
          <w:rFonts w:cstheme="minorHAnsi"/>
          <w:color w:val="000000" w:themeColor="text1"/>
        </w:rPr>
        <w:t xml:space="preserve"> the </w:t>
      </w:r>
      <w:r w:rsidRPr="00F56683">
        <w:rPr>
          <w:rFonts w:cstheme="minorHAnsi"/>
          <w:color w:val="000000" w:themeColor="text1"/>
        </w:rPr>
        <w:t>screener</w:t>
      </w:r>
      <w:r w:rsidR="00A4138A" w:rsidRPr="00F56683">
        <w:rPr>
          <w:rFonts w:cstheme="minorHAnsi"/>
          <w:color w:val="000000" w:themeColor="text1"/>
        </w:rPr>
        <w:t xml:space="preserve"> tool's</w:t>
      </w:r>
      <w:r w:rsidRPr="00F56683">
        <w:rPr>
          <w:rFonts w:cstheme="minorHAnsi"/>
          <w:color w:val="000000" w:themeColor="text1"/>
        </w:rPr>
        <w:t xml:space="preserve"> protein intake estimates.</w:t>
      </w:r>
    </w:p>
    <w:p w14:paraId="64810A94" w14:textId="77777777" w:rsidR="007C0EBB" w:rsidRPr="00F56683" w:rsidRDefault="007C0EBB" w:rsidP="00F42CB9">
      <w:pPr>
        <w:spacing w:line="360" w:lineRule="auto"/>
        <w:rPr>
          <w:rFonts w:cstheme="minorHAnsi"/>
          <w:color w:val="000000" w:themeColor="text1"/>
        </w:rPr>
      </w:pPr>
    </w:p>
    <w:p w14:paraId="457FCBFF" w14:textId="77777777" w:rsidR="007C0EBB" w:rsidRPr="00F56683" w:rsidRDefault="007C0EBB" w:rsidP="00F42CB9">
      <w:pPr>
        <w:pStyle w:val="Heading3"/>
        <w:spacing w:line="360" w:lineRule="auto"/>
        <w:rPr>
          <w:rFonts w:asciiTheme="minorHAnsi" w:hAnsiTheme="minorHAnsi" w:cstheme="minorHAnsi"/>
          <w:color w:val="000000" w:themeColor="text1"/>
        </w:rPr>
      </w:pPr>
      <w:bookmarkStart w:id="85" w:name="_Toc135384274"/>
      <w:r w:rsidRPr="00F56683">
        <w:rPr>
          <w:rFonts w:asciiTheme="minorHAnsi" w:hAnsiTheme="minorHAnsi" w:cstheme="minorHAnsi"/>
          <w:color w:val="000000" w:themeColor="text1"/>
        </w:rPr>
        <w:t>3.2.2 Part A Study design</w:t>
      </w:r>
      <w:bookmarkEnd w:id="85"/>
      <w:r w:rsidRPr="00F56683">
        <w:rPr>
          <w:rFonts w:asciiTheme="minorHAnsi" w:hAnsiTheme="minorHAnsi" w:cstheme="minorHAnsi"/>
          <w:color w:val="000000" w:themeColor="text1"/>
        </w:rPr>
        <w:t xml:space="preserve"> </w:t>
      </w:r>
    </w:p>
    <w:p w14:paraId="52C1D59E" w14:textId="5C75AFA5" w:rsidR="007C0EBB" w:rsidRPr="00F56683" w:rsidRDefault="007C0EBB" w:rsidP="00F42CB9">
      <w:pPr>
        <w:spacing w:line="360" w:lineRule="auto"/>
        <w:rPr>
          <w:rFonts w:cstheme="minorHAnsi"/>
          <w:color w:val="000000" w:themeColor="text1"/>
          <w:shd w:val="clear" w:color="auto" w:fill="FFFFFF"/>
        </w:rPr>
      </w:pPr>
      <w:r w:rsidRPr="00F56683">
        <w:rPr>
          <w:rFonts w:cstheme="minorHAnsi"/>
          <w:color w:val="000000" w:themeColor="text1"/>
        </w:rPr>
        <w:t xml:space="preserve">This was a cross-sectional online survey </w:t>
      </w:r>
      <w:r w:rsidR="001A2814" w:rsidRPr="00F56683">
        <w:rPr>
          <w:rFonts w:cstheme="minorHAnsi"/>
          <w:color w:val="000000" w:themeColor="text1"/>
        </w:rPr>
        <w:t xml:space="preserve">using an amended version of the pro55+ protein screening tool, </w:t>
      </w:r>
      <w:r w:rsidRPr="00F56683">
        <w:rPr>
          <w:rFonts w:cstheme="minorHAnsi"/>
          <w:color w:val="000000" w:themeColor="text1"/>
        </w:rPr>
        <w:t xml:space="preserve">followed by validation methodology. All data was collected using </w:t>
      </w:r>
      <w:r w:rsidR="008201F8" w:rsidRPr="00F56683">
        <w:rPr>
          <w:rFonts w:cstheme="minorHAnsi"/>
          <w:color w:val="000000" w:themeColor="text1"/>
        </w:rPr>
        <w:t>G</w:t>
      </w:r>
      <w:r w:rsidRPr="00F56683">
        <w:rPr>
          <w:rFonts w:cstheme="minorHAnsi"/>
          <w:color w:val="000000" w:themeColor="text1"/>
        </w:rPr>
        <w:t>oogle</w:t>
      </w:r>
      <w:r w:rsidR="008201F8" w:rsidRPr="00F56683">
        <w:rPr>
          <w:rFonts w:cstheme="minorHAnsi"/>
          <w:color w:val="000000" w:themeColor="text1"/>
        </w:rPr>
        <w:t xml:space="preserve"> F</w:t>
      </w:r>
      <w:r w:rsidRPr="00F56683">
        <w:rPr>
          <w:rFonts w:cstheme="minorHAnsi"/>
          <w:color w:val="000000" w:themeColor="text1"/>
        </w:rPr>
        <w:t xml:space="preserve">orms, which exported responses to a data file. Each section of the survey was presented </w:t>
      </w:r>
      <w:r w:rsidR="008201F8" w:rsidRPr="00F56683">
        <w:rPr>
          <w:rFonts w:cstheme="minorHAnsi"/>
          <w:color w:val="000000" w:themeColor="text1"/>
        </w:rPr>
        <w:t>o</w:t>
      </w:r>
      <w:r w:rsidRPr="00F56683">
        <w:rPr>
          <w:rFonts w:cstheme="minorHAnsi"/>
          <w:color w:val="000000" w:themeColor="text1"/>
        </w:rPr>
        <w:t xml:space="preserve">n a separate page, this ensured that participants completed the research in the desired order. A participant information sheet was uploaded to page one of the survey to </w:t>
      </w:r>
      <w:r w:rsidR="00A4138A" w:rsidRPr="00F56683">
        <w:rPr>
          <w:rFonts w:cstheme="minorHAnsi"/>
          <w:color w:val="000000" w:themeColor="text1"/>
        </w:rPr>
        <w:t>make</w:t>
      </w:r>
      <w:r w:rsidRPr="00F56683">
        <w:rPr>
          <w:rFonts w:cstheme="minorHAnsi"/>
          <w:color w:val="000000" w:themeColor="text1"/>
        </w:rPr>
        <w:t xml:space="preserve"> participants aware of </w:t>
      </w:r>
      <w:r w:rsidR="008201F8" w:rsidRPr="00F56683">
        <w:rPr>
          <w:rFonts w:cstheme="minorHAnsi"/>
          <w:color w:val="000000" w:themeColor="text1"/>
        </w:rPr>
        <w:t xml:space="preserve">the </w:t>
      </w:r>
      <w:r w:rsidRPr="00F56683">
        <w:rPr>
          <w:rFonts w:cstheme="minorHAnsi"/>
          <w:color w:val="000000" w:themeColor="text1"/>
        </w:rPr>
        <w:t>study requirements. Participants could not pass page one and proceed to the questionnaire without providing their informed consent. Page two was the amended screener. Finally, food frequency questionnaires (FFQs) were used as the dietary assessment comparison tool. The EPIC (133 item</w:t>
      </w:r>
      <w:r w:rsidR="008201F8" w:rsidRPr="00F56683">
        <w:rPr>
          <w:rFonts w:cstheme="minorHAnsi"/>
          <w:color w:val="000000" w:themeColor="text1"/>
        </w:rPr>
        <w:t>s</w:t>
      </w:r>
      <w:r w:rsidRPr="00F56683">
        <w:rPr>
          <w:rFonts w:cstheme="minorHAnsi"/>
          <w:color w:val="000000" w:themeColor="text1"/>
        </w:rPr>
        <w:t xml:space="preserve">) questionnaire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{"citationItems":[{"id":"ITEM-1","itemData":{"DOI":"10.1093/IJE/26.SUPPL_1.S137","ISSN":"0300-5771","PMID":"9126542","abstract":"Background. In the UK EPIC validation studies, the accuracy of several methods was assessed by comparison with 16-day weighed records and the biomarkers, 24-hour urine nitrogen (N) and potassium (K), plasma carotenoids and plasma vitamin C. Methods. Comparisons between methods were made on 156 women, studied over 1 year at 3-monthly intervals at home. On each of four occasions, volunteers completed 4 days of weighed records and provided two 24-hour urine collections and a fasting blood sample. Results. In comparison with the 16 days of weighed records, a food frequency questionnaire (FFQ) yielded higher values mainly due to greater reported consumption of milk and of vegetables. A 24-hour recall was as good as the FFQ in placing individuals in the distribution of habitual diet from weighed records. Results obtained from a 7-day estimated record were closest to those obtained from the weighed record. Correlations between 24-hour urine excretion and dietary N intake from weighed records were high (0.78-0.87) as were those with estimated food diaries (0.60-0.70). Correlations between urine N and the FFQ and 24-hour recall were lower (0.10 to 0.27), but improved by energy adjustment using residuals for N and K which are correlated with total energy intake. Comparisons between dietary estimates and urinary K and serum carotenoids and vitamin C showed broadly similar results. Limited biomarker information amongst 200 UK EPIC participants supported the findings of the validation study. Conclusions. UK EPIC uses three methods (the 7-day diary, an improved FFQ, and the 24-hour recall) to assess diet. 93% of first food diaries are returned completed by participants. Repeated diaries are the main dietary assessment method for nested case-control analyses.","author":[{"dropping-particle":"","family":"Bingham","given":"Sheila A.","non-dropping-particle":"","parse-names":false,"suffix":""},{"dropping-particle":"","family":"Gill","given":"Caroline","non-dropping-particle":"","parse-names":false,"suffix":""},{"dropping-particle":"","family":"Welch","given":"Ailsa","non-dropping-particle":"","parse-names":false,"suffix":""},{"dropping-particle":"","family":"Cassidy","given":"Aedin","non-dropping-particle":"","parse-names":false,"suffix":""},{"dropping-particle":"","family":"Runswick","given":"Shirley A.","non-dropping-particle":"","parse-names":false,"suffix":""},{"dropping-particle":"","family":"Oakes","given":"Suzy","non-dropping-particle":"","parse-names":false,"suffix":""},{"dropping-particle":"","family":"Lubin","given":"Robert","non-dropping-particle":"","parse-names":false,"suffix":""},{"dropping-particle":"","family":"Thurnham","given":"David I.","non-dropping-particle":"","parse-names":false,"suffix":""},{"dropping-particle":"","family":"Key","given":"Timothy J.A.","non-dropping-particle":"","parse-names":false,"suffix":""},{"dropping-particle":"","family":"Roe","given":"Lynn","non-dropping-particle":"","parse-names":false,"suffix":""},{"dropping-particle":"","family":"Khaw","given":"Kay Tee","non-dropping-particle":"","parse-names":false,"suffix":""},{"dropping-particle":"","family":"Day","given":"Nicholas E.","non-dropping-particle":"","parse-names":false,"suffix":""}],"container-title":"International Journal of Epidemiology","id":"ITEM-1","issue":"suppl_1","issued":{"date-parts":[["1997","1","1"]]},"page":"S137-S151","publisher":"Oxford Academic","title":"Validation of dietary assessment methods in the UK arm of EPIC using weighed records, and 24-hour urinary nitrogen and potassium and serum vitamin C and carotenoids as biomarkers.","type":"article-journal","volume":"26"},"uris":["http://www.mendeley.com/documents/?uuid=80e418a5-a5ce-3fc6-8e0a-dbbe20d78b04"]}],"mendeley":{"formattedCitation":"(191)","plainTextFormattedCitation":"(191)","previouslyFormattedCitation":"(191)"},"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(191)</w:t>
      </w:r>
      <w:r w:rsidRPr="00F56683">
        <w:rPr>
          <w:rFonts w:cstheme="minorHAnsi"/>
          <w:color w:val="000000" w:themeColor="text1"/>
        </w:rPr>
        <w:fldChar w:fldCharType="end"/>
      </w:r>
      <w:r w:rsidRPr="00F56683">
        <w:rPr>
          <w:rFonts w:cstheme="minorHAnsi"/>
          <w:color w:val="000000" w:themeColor="text1"/>
        </w:rPr>
        <w:t xml:space="preserve"> was transferred into a </w:t>
      </w:r>
      <w:r w:rsidR="00B80335" w:rsidRPr="00F56683">
        <w:rPr>
          <w:rFonts w:cstheme="minorHAnsi"/>
          <w:color w:val="000000" w:themeColor="text1"/>
        </w:rPr>
        <w:t>G</w:t>
      </w:r>
      <w:r w:rsidRPr="00F56683">
        <w:rPr>
          <w:rFonts w:cstheme="minorHAnsi"/>
          <w:color w:val="000000" w:themeColor="text1"/>
        </w:rPr>
        <w:t>oogle</w:t>
      </w:r>
      <w:r w:rsidR="00B80335" w:rsidRPr="00F56683">
        <w:rPr>
          <w:rFonts w:cstheme="minorHAnsi"/>
          <w:color w:val="000000" w:themeColor="text1"/>
        </w:rPr>
        <w:t xml:space="preserve"> F</w:t>
      </w:r>
      <w:r w:rsidRPr="00F56683">
        <w:rPr>
          <w:rFonts w:cstheme="minorHAnsi"/>
          <w:color w:val="000000" w:themeColor="text1"/>
        </w:rPr>
        <w:t>orm format</w:t>
      </w:r>
      <w:r w:rsidR="001A2814" w:rsidRPr="00F56683">
        <w:rPr>
          <w:rFonts w:cstheme="minorHAnsi"/>
          <w:color w:val="000000" w:themeColor="text1"/>
        </w:rPr>
        <w:t>.</w:t>
      </w:r>
      <w:r w:rsidRPr="00F56683">
        <w:rPr>
          <w:rFonts w:cstheme="minorHAnsi"/>
          <w:color w:val="000000" w:themeColor="text1"/>
        </w:rPr>
        <w:t xml:space="preserve"> The rationale for using an FFQ was that it could be self-administered, is self-explanatory and can be completed mostly unaided, although some participant literacy is still required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{"citationItems":[{"id":"ITEM-1","itemData":{"URL":"https://dapa-toolkit.mrc.ac.uk/diet/objective-methods/introduction","accessed":{"date-parts":[["2022","8","24"]]},"id":"ITEM-1","issued":{"date-parts":[["0"]]},"title":"DAPA Measurement Toolkit","type":"webpage"},"uris":["http://www.mendeley.com/documents/?uuid=812d6dae-de11-39fc-ae05-2190998c7daf"]}],"mendeley":{"formattedCitation":"(192)","plainTextFormattedCitation":"(192)","previouslyFormattedCitation":"(192)"},"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(192)</w:t>
      </w:r>
      <w:r w:rsidRPr="00F56683">
        <w:rPr>
          <w:rFonts w:cstheme="minorHAnsi"/>
          <w:color w:val="000000" w:themeColor="text1"/>
        </w:rPr>
        <w:fldChar w:fldCharType="end"/>
      </w:r>
      <w:r w:rsidRPr="00F56683">
        <w:rPr>
          <w:rFonts w:cstheme="minorHAnsi"/>
          <w:color w:val="000000" w:themeColor="text1"/>
        </w:rPr>
        <w:t>. FFQs also have</w:t>
      </w:r>
      <w:r w:rsidR="008201F8" w:rsidRPr="00F56683">
        <w:rPr>
          <w:rFonts w:cstheme="minorHAnsi"/>
          <w:color w:val="000000" w:themeColor="text1"/>
        </w:rPr>
        <w:t xml:space="preserve"> a</w:t>
      </w:r>
      <w:r w:rsidRPr="00F56683">
        <w:rPr>
          <w:rFonts w:cstheme="minorHAnsi"/>
          <w:color w:val="000000" w:themeColor="text1"/>
        </w:rPr>
        <w:t xml:space="preserve"> low participant burden. Notwithstanding, </w:t>
      </w:r>
      <w:r w:rsidRPr="00F56683">
        <w:rPr>
          <w:rFonts w:cstheme="minorHAnsi"/>
          <w:color w:val="000000" w:themeColor="text1"/>
          <w:shd w:val="clear" w:color="auto" w:fill="FFFFFF"/>
        </w:rPr>
        <w:t xml:space="preserve">they are </w:t>
      </w:r>
      <w:r w:rsidRPr="00F56683">
        <w:rPr>
          <w:rFonts w:cstheme="minorHAnsi"/>
          <w:color w:val="000000" w:themeColor="text1"/>
          <w:shd w:val="clear" w:color="auto" w:fill="FFFFFF"/>
        </w:rPr>
        <w:lastRenderedPageBreak/>
        <w:t>mainly designed to assess the ranking of intakes within a study population, so their use for providing accurate estimations of absolute intakes of foods and nutrients is still contentious (177), as such, follow</w:t>
      </w:r>
      <w:r w:rsidR="00B80335" w:rsidRPr="00F56683">
        <w:rPr>
          <w:rFonts w:cstheme="minorHAnsi"/>
          <w:color w:val="000000" w:themeColor="text1"/>
          <w:shd w:val="clear" w:color="auto" w:fill="FFFFFF"/>
        </w:rPr>
        <w:t>-</w:t>
      </w:r>
      <w:r w:rsidRPr="00F56683">
        <w:rPr>
          <w:rFonts w:cstheme="minorHAnsi"/>
          <w:color w:val="000000" w:themeColor="text1"/>
          <w:shd w:val="clear" w:color="auto" w:fill="FFFFFF"/>
        </w:rPr>
        <w:t>up validation is likely to be warranted.</w:t>
      </w:r>
      <w:r w:rsidR="00D94525" w:rsidRPr="00F56683">
        <w:rPr>
          <w:rFonts w:cstheme="minorHAnsi"/>
          <w:color w:val="000000" w:themeColor="text1"/>
          <w:shd w:val="clear" w:color="auto" w:fill="FFFFFF"/>
        </w:rPr>
        <w:t xml:space="preserve"> Data was collected using online/telephone responses due to the research being conducted during the COVID-19 pandemic</w:t>
      </w:r>
      <w:r w:rsidR="00A4138A" w:rsidRPr="00F56683">
        <w:rPr>
          <w:rFonts w:cstheme="minorHAnsi"/>
          <w:color w:val="000000" w:themeColor="text1"/>
          <w:shd w:val="clear" w:color="auto" w:fill="FFFFFF"/>
        </w:rPr>
        <w:t>,</w:t>
      </w:r>
      <w:r w:rsidR="00D94525" w:rsidRPr="00F56683">
        <w:rPr>
          <w:rFonts w:cstheme="minorHAnsi"/>
          <w:color w:val="000000" w:themeColor="text1"/>
          <w:shd w:val="clear" w:color="auto" w:fill="FFFFFF"/>
        </w:rPr>
        <w:t xml:space="preserve"> when social distancing measures were in place. Informed consent was therefore obtained online or verbally, too. </w:t>
      </w:r>
    </w:p>
    <w:p w14:paraId="33D17B8F" w14:textId="067DE542" w:rsidR="005D74BC" w:rsidRPr="00F56683" w:rsidRDefault="005D74BC" w:rsidP="00F42CB9">
      <w:pPr>
        <w:spacing w:line="360" w:lineRule="auto"/>
        <w:rPr>
          <w:rFonts w:cstheme="minorHAnsi"/>
          <w:color w:val="000000" w:themeColor="text1"/>
          <w:shd w:val="clear" w:color="auto" w:fill="FFFFFF"/>
        </w:rPr>
      </w:pPr>
    </w:p>
    <w:p w14:paraId="6A04938D" w14:textId="2C27AD76" w:rsidR="005D74BC" w:rsidRPr="00F56683" w:rsidRDefault="005D74BC" w:rsidP="00F42CB9">
      <w:pPr>
        <w:spacing w:line="360" w:lineRule="auto"/>
        <w:rPr>
          <w:rFonts w:cstheme="minorHAnsi"/>
          <w:color w:val="000000" w:themeColor="text1"/>
          <w:shd w:val="clear" w:color="auto" w:fill="FFFFFF"/>
        </w:rPr>
      </w:pPr>
      <w:r w:rsidRPr="00F56683">
        <w:rPr>
          <w:rFonts w:cstheme="minorHAnsi"/>
          <w:color w:val="000000" w:themeColor="text1"/>
          <w:shd w:val="clear" w:color="auto" w:fill="FFFFFF"/>
        </w:rPr>
        <w:t>The following work was published in the Journal of Nutritional Science</w:t>
      </w:r>
      <w:r w:rsidR="00B80335" w:rsidRPr="00F56683">
        <w:rPr>
          <w:rFonts w:cstheme="minorHAnsi"/>
          <w:color w:val="000000" w:themeColor="text1"/>
          <w:shd w:val="clear" w:color="auto" w:fill="FFFFFF"/>
        </w:rPr>
        <w:t>,</w:t>
      </w:r>
      <w:r w:rsidRPr="00F56683">
        <w:rPr>
          <w:rFonts w:cstheme="minorHAnsi"/>
          <w:color w:val="000000" w:themeColor="text1"/>
          <w:shd w:val="clear" w:color="auto" w:fill="FFFFFF"/>
        </w:rPr>
        <w:t xml:space="preserve"> and the article is available at: </w:t>
      </w:r>
      <w:r w:rsidRPr="00F56683">
        <w:rPr>
          <w:rFonts w:cstheme="minorHAnsi"/>
          <w:color w:val="000000" w:themeColor="text1"/>
        </w:rPr>
        <w:t> DOI</w:t>
      </w:r>
      <w:r w:rsidR="00194C78" w:rsidRPr="00F56683">
        <w:rPr>
          <w:rFonts w:cstheme="minorHAnsi"/>
          <w:color w:val="000000" w:themeColor="text1"/>
        </w:rPr>
        <w:t>:</w:t>
      </w:r>
      <w:r w:rsidRPr="00F56683">
        <w:rPr>
          <w:rFonts w:cstheme="minorHAnsi"/>
          <w:color w:val="000000" w:themeColor="text1"/>
        </w:rPr>
        <w:t> </w:t>
      </w:r>
      <w:hyperlink r:id="rId18" w:history="1">
        <w:r w:rsidRPr="00F56683">
          <w:rPr>
            <w:rFonts w:cstheme="minorHAnsi"/>
            <w:color w:val="000000" w:themeColor="text1"/>
          </w:rPr>
          <w:t>10.1017/jns.2022.96</w:t>
        </w:r>
      </w:hyperlink>
    </w:p>
    <w:p w14:paraId="4EBBFAFB" w14:textId="77777777" w:rsidR="005D74BC" w:rsidRPr="00F56683" w:rsidRDefault="005D74BC" w:rsidP="00F42CB9">
      <w:pPr>
        <w:spacing w:line="360" w:lineRule="auto"/>
        <w:rPr>
          <w:rFonts w:cstheme="minorHAnsi"/>
          <w:color w:val="000000" w:themeColor="text1"/>
          <w:shd w:val="clear" w:color="auto" w:fill="FFFFFF"/>
        </w:rPr>
      </w:pPr>
    </w:p>
    <w:p w14:paraId="2BD0D3AA" w14:textId="575FFB03" w:rsidR="004F4AF8" w:rsidRPr="00F56683" w:rsidRDefault="005D74BC" w:rsidP="00F42CB9">
      <w:pPr>
        <w:spacing w:line="360" w:lineRule="auto"/>
        <w:rPr>
          <w:rFonts w:cstheme="minorHAnsi"/>
          <w:color w:val="000000" w:themeColor="text1"/>
          <w:shd w:val="clear" w:color="auto" w:fill="FFFFFF"/>
        </w:rPr>
      </w:pPr>
      <w:r w:rsidRPr="00F56683">
        <w:rPr>
          <w:rFonts w:cstheme="minorHAnsi"/>
          <w:color w:val="000000" w:themeColor="text1"/>
        </w:rPr>
        <w:t>3.2.3 Statement of Authorship</w:t>
      </w:r>
      <w:r w:rsidRPr="00F56683">
        <w:rPr>
          <w:rFonts w:cstheme="minorHAnsi"/>
          <w:color w:val="000000" w:themeColor="text1"/>
        </w:rPr>
        <w:br/>
        <w:t>I (</w:t>
      </w:r>
      <w:r w:rsidR="00194C78" w:rsidRPr="00F56683">
        <w:rPr>
          <w:rFonts w:cstheme="minorHAnsi"/>
          <w:color w:val="000000" w:themeColor="text1"/>
        </w:rPr>
        <w:t>ERT</w:t>
      </w:r>
      <w:r w:rsidRPr="00F56683">
        <w:rPr>
          <w:rFonts w:cstheme="minorHAnsi"/>
          <w:color w:val="000000" w:themeColor="text1"/>
        </w:rPr>
        <w:t>) and supervisors (EAW</w:t>
      </w:r>
      <w:r w:rsidR="00194C78" w:rsidRPr="00F56683">
        <w:rPr>
          <w:rFonts w:cstheme="minorHAnsi"/>
          <w:color w:val="000000" w:themeColor="text1"/>
        </w:rPr>
        <w:t>/BC</w:t>
      </w:r>
      <w:r w:rsidRPr="00F56683">
        <w:rPr>
          <w:rFonts w:cstheme="minorHAnsi"/>
          <w:color w:val="000000" w:themeColor="text1"/>
        </w:rPr>
        <w:t>) created the concept of the study</w:t>
      </w:r>
      <w:r w:rsidR="00194C78" w:rsidRPr="00F56683">
        <w:rPr>
          <w:rFonts w:cstheme="minorHAnsi"/>
          <w:color w:val="000000" w:themeColor="text1"/>
        </w:rPr>
        <w:t xml:space="preserve">, with advice from HW based on previous work in this field. </w:t>
      </w:r>
      <w:r w:rsidRPr="00F56683">
        <w:rPr>
          <w:rFonts w:cstheme="minorHAnsi"/>
          <w:color w:val="000000" w:themeColor="text1"/>
        </w:rPr>
        <w:t xml:space="preserve"> </w:t>
      </w:r>
      <w:r w:rsidR="00194C78" w:rsidRPr="00F56683">
        <w:rPr>
          <w:rFonts w:cstheme="minorHAnsi"/>
          <w:color w:val="000000" w:themeColor="text1"/>
        </w:rPr>
        <w:t xml:space="preserve">ET was responsible for </w:t>
      </w:r>
      <w:r w:rsidRPr="00F56683">
        <w:rPr>
          <w:rFonts w:cstheme="minorHAnsi"/>
          <w:color w:val="000000" w:themeColor="text1"/>
        </w:rPr>
        <w:t>ethics approval</w:t>
      </w:r>
      <w:r w:rsidR="00194C78" w:rsidRPr="00F56683">
        <w:rPr>
          <w:rFonts w:cstheme="minorHAnsi"/>
          <w:color w:val="000000" w:themeColor="text1"/>
        </w:rPr>
        <w:t xml:space="preserve"> and</w:t>
      </w:r>
      <w:r w:rsidRPr="00F56683">
        <w:rPr>
          <w:rFonts w:cstheme="minorHAnsi"/>
          <w:color w:val="000000" w:themeColor="text1"/>
        </w:rPr>
        <w:t xml:space="preserve"> participant paperwork</w:t>
      </w:r>
      <w:r w:rsidR="00194C78" w:rsidRPr="00F56683">
        <w:rPr>
          <w:rFonts w:cstheme="minorHAnsi"/>
          <w:color w:val="000000" w:themeColor="text1"/>
        </w:rPr>
        <w:t xml:space="preserve">. ET, EI and EW </w:t>
      </w:r>
      <w:r w:rsidR="00B80335" w:rsidRPr="00F56683">
        <w:rPr>
          <w:rFonts w:cstheme="minorHAnsi"/>
          <w:color w:val="000000" w:themeColor="text1"/>
        </w:rPr>
        <w:t>performed</w:t>
      </w:r>
      <w:r w:rsidR="00194C78" w:rsidRPr="00F56683">
        <w:rPr>
          <w:rFonts w:cstheme="minorHAnsi"/>
          <w:color w:val="000000" w:themeColor="text1"/>
        </w:rPr>
        <w:t xml:space="preserve"> amendments to the Pro55+ screener based on an iterative process</w:t>
      </w:r>
      <w:r w:rsidR="00B80335" w:rsidRPr="00F56683">
        <w:rPr>
          <w:rFonts w:cstheme="minorHAnsi"/>
          <w:color w:val="000000" w:themeColor="text1"/>
        </w:rPr>
        <w:t>,</w:t>
      </w:r>
      <w:r w:rsidR="00194C78" w:rsidRPr="00F56683">
        <w:rPr>
          <w:rFonts w:cstheme="minorHAnsi"/>
          <w:color w:val="000000" w:themeColor="text1"/>
        </w:rPr>
        <w:t xml:space="preserve"> and HW provided an adapted syntax to reflect the changes made. Data collection was carried out by ET and EI. Data analysis was independently conducted by ET and EI before results were compared to enhance accuracy.  ET</w:t>
      </w:r>
      <w:r w:rsidRPr="00F56683">
        <w:rPr>
          <w:rFonts w:cstheme="minorHAnsi"/>
          <w:color w:val="000000" w:themeColor="text1"/>
        </w:rPr>
        <w:t xml:space="preserve"> wrote the primary draft of the manuscript. EAW</w:t>
      </w:r>
      <w:r w:rsidR="00194C78" w:rsidRPr="00F56683">
        <w:rPr>
          <w:rFonts w:cstheme="minorHAnsi"/>
          <w:color w:val="000000" w:themeColor="text1"/>
        </w:rPr>
        <w:t xml:space="preserve">/BC </w:t>
      </w:r>
      <w:r w:rsidRPr="00F56683">
        <w:rPr>
          <w:rFonts w:cstheme="minorHAnsi"/>
          <w:color w:val="000000" w:themeColor="text1"/>
        </w:rPr>
        <w:t xml:space="preserve">gave guidance through </w:t>
      </w:r>
      <w:r w:rsidR="00B80335" w:rsidRPr="00F56683">
        <w:rPr>
          <w:rFonts w:cstheme="minorHAnsi"/>
          <w:color w:val="000000" w:themeColor="text1"/>
        </w:rPr>
        <w:t xml:space="preserve">the </w:t>
      </w:r>
      <w:r w:rsidRPr="00F56683">
        <w:rPr>
          <w:rFonts w:cstheme="minorHAnsi"/>
          <w:color w:val="000000" w:themeColor="text1"/>
        </w:rPr>
        <w:t xml:space="preserve">editing </w:t>
      </w:r>
      <w:r w:rsidR="00194C78" w:rsidRPr="00F56683">
        <w:rPr>
          <w:rFonts w:cstheme="minorHAnsi"/>
          <w:color w:val="000000" w:themeColor="text1"/>
        </w:rPr>
        <w:t>process before all</w:t>
      </w:r>
      <w:r w:rsidRPr="00F56683">
        <w:rPr>
          <w:rFonts w:cstheme="minorHAnsi"/>
          <w:color w:val="000000" w:themeColor="text1"/>
        </w:rPr>
        <w:t xml:space="preserve"> authors agreed on the</w:t>
      </w:r>
      <w:r w:rsidR="00194C78" w:rsidRPr="00F56683">
        <w:rPr>
          <w:rFonts w:cstheme="minorHAnsi"/>
          <w:color w:val="000000" w:themeColor="text1"/>
        </w:rPr>
        <w:t xml:space="preserve"> f</w:t>
      </w:r>
      <w:r w:rsidRPr="00F56683">
        <w:rPr>
          <w:rFonts w:cstheme="minorHAnsi"/>
          <w:color w:val="000000" w:themeColor="text1"/>
        </w:rPr>
        <w:t>inal manuscript for publication.</w:t>
      </w:r>
    </w:p>
    <w:p w14:paraId="0554E2A0" w14:textId="74F729AD" w:rsidR="004F4AF8" w:rsidRPr="00F56683" w:rsidRDefault="00594192" w:rsidP="00F42CB9">
      <w:pPr>
        <w:pStyle w:val="Heading3"/>
        <w:spacing w:line="360" w:lineRule="auto"/>
        <w:rPr>
          <w:rFonts w:asciiTheme="minorHAnsi" w:hAnsiTheme="minorHAnsi" w:cstheme="minorHAnsi"/>
          <w:color w:val="000000" w:themeColor="text1"/>
        </w:rPr>
      </w:pPr>
      <w:bookmarkStart w:id="86" w:name="_Toc135384275"/>
      <w:r w:rsidRPr="00F56683">
        <w:rPr>
          <w:rFonts w:asciiTheme="minorHAnsi" w:hAnsiTheme="minorHAnsi" w:cstheme="minorHAnsi"/>
          <w:noProof/>
          <w:color w:val="000000" w:themeColor="text1"/>
        </w:rPr>
        <w:lastRenderedPageBreak/>
        <w:drawing>
          <wp:anchor distT="0" distB="0" distL="114300" distR="114300" simplePos="0" relativeHeight="251699200" behindDoc="0" locked="0" layoutInCell="1" allowOverlap="1" wp14:anchorId="5530F6C7" wp14:editId="5AE182C5">
            <wp:simplePos x="0" y="0"/>
            <wp:positionH relativeFrom="column">
              <wp:posOffset>-314325</wp:posOffset>
            </wp:positionH>
            <wp:positionV relativeFrom="paragraph">
              <wp:posOffset>371475</wp:posOffset>
            </wp:positionV>
            <wp:extent cx="6400165" cy="8282940"/>
            <wp:effectExtent l="0" t="0" r="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6400165" cy="8282940"/>
                    </a:xfrm>
                    <a:prstGeom prst="rect">
                      <a:avLst/>
                    </a:prstGeom>
                  </pic:spPr>
                </pic:pic>
              </a:graphicData>
            </a:graphic>
            <wp14:sizeRelH relativeFrom="page">
              <wp14:pctWidth>0</wp14:pctWidth>
            </wp14:sizeRelH>
            <wp14:sizeRelV relativeFrom="page">
              <wp14:pctHeight>0</wp14:pctHeight>
            </wp14:sizeRelV>
          </wp:anchor>
        </w:drawing>
      </w:r>
      <w:r w:rsidR="004F4AF8" w:rsidRPr="00F56683">
        <w:rPr>
          <w:rFonts w:asciiTheme="minorHAnsi" w:hAnsiTheme="minorHAnsi" w:cstheme="minorHAnsi"/>
          <w:color w:val="000000" w:themeColor="text1"/>
        </w:rPr>
        <w:t>3.2.</w:t>
      </w:r>
      <w:r w:rsidR="005D74BC" w:rsidRPr="00F56683">
        <w:rPr>
          <w:rFonts w:asciiTheme="minorHAnsi" w:hAnsiTheme="minorHAnsi" w:cstheme="minorHAnsi"/>
          <w:color w:val="000000" w:themeColor="text1"/>
        </w:rPr>
        <w:t>4</w:t>
      </w:r>
      <w:r w:rsidR="004F4AF8" w:rsidRPr="00F56683">
        <w:rPr>
          <w:rFonts w:asciiTheme="minorHAnsi" w:hAnsiTheme="minorHAnsi" w:cstheme="minorHAnsi"/>
          <w:color w:val="000000" w:themeColor="text1"/>
        </w:rPr>
        <w:t xml:space="preserve"> Publication</w:t>
      </w:r>
      <w:bookmarkEnd w:id="86"/>
    </w:p>
    <w:p w14:paraId="6D5467B3" w14:textId="7057D79A" w:rsidR="004F4AF8" w:rsidRPr="00F56683" w:rsidRDefault="004F4AF8" w:rsidP="00F42CB9">
      <w:pPr>
        <w:spacing w:line="360" w:lineRule="auto"/>
        <w:rPr>
          <w:rFonts w:cstheme="minorHAnsi"/>
          <w:color w:val="000000" w:themeColor="text1"/>
        </w:rPr>
      </w:pPr>
    </w:p>
    <w:p w14:paraId="5A1B3E87" w14:textId="77777777" w:rsidR="004F4AF8" w:rsidRPr="00F56683" w:rsidRDefault="004F4AF8" w:rsidP="00F42CB9">
      <w:pPr>
        <w:spacing w:line="360" w:lineRule="auto"/>
        <w:rPr>
          <w:rFonts w:cstheme="minorHAnsi"/>
          <w:color w:val="000000" w:themeColor="text1"/>
        </w:rPr>
      </w:pPr>
      <w:r w:rsidRPr="00F56683">
        <w:rPr>
          <w:rFonts w:cstheme="minorHAnsi"/>
          <w:noProof/>
          <w:color w:val="000000" w:themeColor="text1"/>
        </w:rPr>
        <w:lastRenderedPageBreak/>
        <w:drawing>
          <wp:anchor distT="0" distB="0" distL="114300" distR="114300" simplePos="0" relativeHeight="251676672" behindDoc="0" locked="0" layoutInCell="1" allowOverlap="1" wp14:anchorId="62B9458E" wp14:editId="6454951C">
            <wp:simplePos x="0" y="0"/>
            <wp:positionH relativeFrom="column">
              <wp:posOffset>-647065</wp:posOffset>
            </wp:positionH>
            <wp:positionV relativeFrom="paragraph">
              <wp:posOffset>0</wp:posOffset>
            </wp:positionV>
            <wp:extent cx="7065645" cy="9425305"/>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65645" cy="9425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AAEA9" w14:textId="77777777" w:rsidR="004F4AF8" w:rsidRPr="00F56683" w:rsidRDefault="004F4AF8" w:rsidP="00F42CB9">
      <w:pPr>
        <w:spacing w:line="360" w:lineRule="auto"/>
        <w:rPr>
          <w:rFonts w:cstheme="minorHAnsi"/>
          <w:color w:val="000000" w:themeColor="text1"/>
        </w:rPr>
      </w:pPr>
      <w:r w:rsidRPr="00F56683">
        <w:rPr>
          <w:rFonts w:cstheme="minorHAnsi"/>
          <w:noProof/>
          <w:color w:val="000000" w:themeColor="text1"/>
        </w:rPr>
        <w:lastRenderedPageBreak/>
        <w:drawing>
          <wp:anchor distT="0" distB="0" distL="114300" distR="114300" simplePos="0" relativeHeight="251677696" behindDoc="0" locked="0" layoutInCell="1" allowOverlap="1" wp14:anchorId="515DA867" wp14:editId="1BE94823">
            <wp:simplePos x="0" y="0"/>
            <wp:positionH relativeFrom="column">
              <wp:posOffset>-637656</wp:posOffset>
            </wp:positionH>
            <wp:positionV relativeFrom="paragraph">
              <wp:posOffset>0</wp:posOffset>
            </wp:positionV>
            <wp:extent cx="7028815" cy="9375775"/>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028815" cy="937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B7FA3" w14:textId="6E54EB39" w:rsidR="004F4AF8" w:rsidRPr="00F56683" w:rsidRDefault="00201224" w:rsidP="00F42CB9">
      <w:pPr>
        <w:spacing w:line="360" w:lineRule="auto"/>
        <w:rPr>
          <w:rFonts w:cstheme="minorHAnsi"/>
          <w:color w:val="000000" w:themeColor="text1"/>
        </w:rPr>
      </w:pPr>
      <w:bookmarkStart w:id="87" w:name="_Toc122963298"/>
      <w:r w:rsidRPr="00F56683">
        <w:rPr>
          <w:rFonts w:cstheme="minorHAnsi"/>
          <w:noProof/>
          <w:color w:val="000000" w:themeColor="text1"/>
        </w:rPr>
        <w:lastRenderedPageBreak/>
        <w:drawing>
          <wp:anchor distT="0" distB="0" distL="114300" distR="114300" simplePos="0" relativeHeight="251683840" behindDoc="0" locked="0" layoutInCell="1" allowOverlap="1" wp14:anchorId="59C28BF4" wp14:editId="79F2D7A5">
            <wp:simplePos x="0" y="0"/>
            <wp:positionH relativeFrom="column">
              <wp:posOffset>-692785</wp:posOffset>
            </wp:positionH>
            <wp:positionV relativeFrom="paragraph">
              <wp:posOffset>0</wp:posOffset>
            </wp:positionV>
            <wp:extent cx="7130415" cy="9510395"/>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30415" cy="95103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7"/>
    </w:p>
    <w:p w14:paraId="6B6C3574" w14:textId="083466BC" w:rsidR="004F4AF8" w:rsidRPr="00F56683" w:rsidRDefault="00201224" w:rsidP="00F42CB9">
      <w:pPr>
        <w:spacing w:line="360" w:lineRule="auto"/>
        <w:rPr>
          <w:rFonts w:cstheme="minorHAnsi"/>
          <w:color w:val="000000" w:themeColor="text1"/>
        </w:rPr>
      </w:pPr>
      <w:r w:rsidRPr="00F56683">
        <w:rPr>
          <w:rFonts w:cstheme="minorHAnsi"/>
          <w:noProof/>
          <w:color w:val="000000" w:themeColor="text1"/>
        </w:rPr>
        <w:lastRenderedPageBreak/>
        <w:drawing>
          <wp:anchor distT="0" distB="0" distL="114300" distR="114300" simplePos="0" relativeHeight="251678720" behindDoc="0" locked="0" layoutInCell="1" allowOverlap="1" wp14:anchorId="5B91E6C1" wp14:editId="5F812EF2">
            <wp:simplePos x="0" y="0"/>
            <wp:positionH relativeFrom="column">
              <wp:posOffset>-701675</wp:posOffset>
            </wp:positionH>
            <wp:positionV relativeFrom="paragraph">
              <wp:posOffset>0</wp:posOffset>
            </wp:positionV>
            <wp:extent cx="7103745" cy="9476105"/>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03745" cy="9476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94370" w14:textId="77777777" w:rsidR="00201224" w:rsidRPr="00F56683" w:rsidRDefault="00201224" w:rsidP="00F42CB9">
      <w:pPr>
        <w:spacing w:line="360" w:lineRule="auto"/>
        <w:rPr>
          <w:rFonts w:cstheme="minorHAnsi"/>
          <w:color w:val="000000" w:themeColor="text1"/>
        </w:rPr>
        <w:sectPr w:rsidR="00201224" w:rsidRPr="00F56683" w:rsidSect="00EF1855">
          <w:pgSz w:w="11900" w:h="16840"/>
          <w:pgMar w:top="1440" w:right="1440" w:bottom="1440" w:left="1440" w:header="708" w:footer="708" w:gutter="0"/>
          <w:cols w:space="708"/>
          <w:docGrid w:linePitch="360"/>
        </w:sectPr>
      </w:pPr>
    </w:p>
    <w:p w14:paraId="6DC30D13" w14:textId="4AB28C44" w:rsidR="00201224" w:rsidRPr="00F56683" w:rsidRDefault="00201224" w:rsidP="00F42CB9">
      <w:pPr>
        <w:tabs>
          <w:tab w:val="left" w:pos="1193"/>
        </w:tabs>
        <w:spacing w:line="360" w:lineRule="auto"/>
        <w:rPr>
          <w:rFonts w:cstheme="minorHAnsi"/>
          <w:color w:val="000000" w:themeColor="text1"/>
        </w:rPr>
      </w:pPr>
      <w:r w:rsidRPr="00F56683">
        <w:rPr>
          <w:rFonts w:cstheme="minorHAnsi"/>
          <w:noProof/>
          <w:color w:val="000000" w:themeColor="text1"/>
        </w:rPr>
        <w:lastRenderedPageBreak/>
        <w:drawing>
          <wp:anchor distT="0" distB="0" distL="114300" distR="114300" simplePos="0" relativeHeight="251687936" behindDoc="0" locked="0" layoutInCell="1" allowOverlap="1" wp14:anchorId="500E6DFC" wp14:editId="7447DE0F">
            <wp:simplePos x="0" y="0"/>
            <wp:positionH relativeFrom="column">
              <wp:posOffset>-655839</wp:posOffset>
            </wp:positionH>
            <wp:positionV relativeFrom="paragraph">
              <wp:posOffset>0</wp:posOffset>
            </wp:positionV>
            <wp:extent cx="7120890" cy="9498965"/>
            <wp:effectExtent l="0" t="0" r="381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20890" cy="9498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683">
        <w:rPr>
          <w:rFonts w:cstheme="minorHAnsi"/>
          <w:color w:val="000000" w:themeColor="text1"/>
        </w:rPr>
        <w:tab/>
      </w:r>
    </w:p>
    <w:p w14:paraId="047CD6FD" w14:textId="1D5AA847" w:rsidR="00201224" w:rsidRPr="00F56683" w:rsidRDefault="00201224" w:rsidP="00F42CB9">
      <w:pPr>
        <w:tabs>
          <w:tab w:val="left" w:pos="1193"/>
        </w:tabs>
        <w:spacing w:line="360" w:lineRule="auto"/>
        <w:rPr>
          <w:rFonts w:cstheme="minorHAnsi"/>
          <w:color w:val="000000" w:themeColor="text1"/>
        </w:rPr>
        <w:sectPr w:rsidR="00201224" w:rsidRPr="00F56683" w:rsidSect="00EF1855">
          <w:pgSz w:w="11900" w:h="16840"/>
          <w:pgMar w:top="1440" w:right="1440" w:bottom="1440" w:left="1440" w:header="708" w:footer="708" w:gutter="0"/>
          <w:cols w:space="708"/>
          <w:docGrid w:linePitch="360"/>
        </w:sectPr>
      </w:pPr>
    </w:p>
    <w:p w14:paraId="314B878C" w14:textId="52A7DDE9" w:rsidR="004F4AF8" w:rsidRPr="00F56683" w:rsidRDefault="00201224" w:rsidP="00F42CB9">
      <w:pPr>
        <w:spacing w:line="360" w:lineRule="auto"/>
        <w:rPr>
          <w:rFonts w:cstheme="minorHAnsi"/>
          <w:color w:val="000000" w:themeColor="text1"/>
        </w:rPr>
      </w:pPr>
      <w:r w:rsidRPr="00F56683">
        <w:rPr>
          <w:rFonts w:cstheme="minorHAnsi"/>
          <w:noProof/>
          <w:color w:val="000000" w:themeColor="text1"/>
        </w:rPr>
        <w:lastRenderedPageBreak/>
        <w:drawing>
          <wp:anchor distT="0" distB="0" distL="114300" distR="114300" simplePos="0" relativeHeight="251689984" behindDoc="0" locked="0" layoutInCell="1" allowOverlap="1" wp14:anchorId="409F92F7" wp14:editId="041ECEE1">
            <wp:simplePos x="0" y="0"/>
            <wp:positionH relativeFrom="column">
              <wp:posOffset>-591185</wp:posOffset>
            </wp:positionH>
            <wp:positionV relativeFrom="paragraph">
              <wp:posOffset>0</wp:posOffset>
            </wp:positionV>
            <wp:extent cx="6797675" cy="906780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97675" cy="906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AF8" w:rsidRPr="00F56683">
        <w:rPr>
          <w:rFonts w:cstheme="minorHAnsi"/>
          <w:color w:val="000000" w:themeColor="text1"/>
        </w:rPr>
        <w:t>3.2.</w:t>
      </w:r>
      <w:r w:rsidRPr="00F56683">
        <w:rPr>
          <w:rFonts w:cstheme="minorHAnsi"/>
          <w:noProof/>
          <w:color w:val="000000" w:themeColor="text1"/>
        </w:rPr>
        <w:t xml:space="preserve"> </w:t>
      </w:r>
      <w:r w:rsidR="004F4AF8" w:rsidRPr="00F56683">
        <w:rPr>
          <w:rFonts w:cstheme="minorHAnsi"/>
          <w:color w:val="000000" w:themeColor="text1"/>
        </w:rPr>
        <w:t>4 Part A: summary of findings</w:t>
      </w:r>
    </w:p>
    <w:p w14:paraId="4C6B923B" w14:textId="69DF880B" w:rsidR="002A446E" w:rsidRPr="00F56683" w:rsidRDefault="002A446E" w:rsidP="00F42CB9">
      <w:pPr>
        <w:pStyle w:val="Heading3"/>
        <w:spacing w:line="360" w:lineRule="auto"/>
        <w:rPr>
          <w:rFonts w:asciiTheme="minorHAnsi" w:hAnsiTheme="minorHAnsi" w:cstheme="minorHAnsi"/>
          <w:color w:val="000000" w:themeColor="text1"/>
        </w:rPr>
      </w:pPr>
      <w:bookmarkStart w:id="88" w:name="_Toc127044377"/>
      <w:bookmarkStart w:id="89" w:name="_Toc135384276"/>
      <w:r w:rsidRPr="00F56683">
        <w:rPr>
          <w:rFonts w:asciiTheme="minorHAnsi" w:hAnsiTheme="minorHAnsi" w:cstheme="minorHAnsi"/>
          <w:noProof/>
          <w:color w:val="000000" w:themeColor="text1"/>
        </w:rPr>
        <w:lastRenderedPageBreak/>
        <w:drawing>
          <wp:anchor distT="0" distB="0" distL="114300" distR="114300" simplePos="0" relativeHeight="251692032" behindDoc="0" locked="0" layoutInCell="1" allowOverlap="1" wp14:anchorId="26E690FB" wp14:editId="2CF330BB">
            <wp:simplePos x="0" y="0"/>
            <wp:positionH relativeFrom="column">
              <wp:posOffset>-782955</wp:posOffset>
            </wp:positionH>
            <wp:positionV relativeFrom="paragraph">
              <wp:posOffset>231</wp:posOffset>
            </wp:positionV>
            <wp:extent cx="7212965" cy="6584950"/>
            <wp:effectExtent l="0" t="0" r="635"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a:extLst>
                        <a:ext uri="{28A0092B-C50C-407E-A947-70E740481C1C}">
                          <a14:useLocalDpi xmlns:a14="http://schemas.microsoft.com/office/drawing/2010/main" val="0"/>
                        </a:ext>
                      </a:extLst>
                    </a:blip>
                    <a:srcRect b="31558"/>
                    <a:stretch/>
                  </pic:blipFill>
                  <pic:spPr bwMode="auto">
                    <a:xfrm>
                      <a:off x="0" y="0"/>
                      <a:ext cx="7212965" cy="658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88"/>
      <w:bookmarkEnd w:id="89"/>
    </w:p>
    <w:p w14:paraId="283BCE90" w14:textId="365B5BDA" w:rsidR="002A446E" w:rsidRPr="00F56683" w:rsidRDefault="002A446E" w:rsidP="00F42CB9">
      <w:pPr>
        <w:pStyle w:val="Heading3"/>
        <w:spacing w:line="360" w:lineRule="auto"/>
        <w:rPr>
          <w:rFonts w:asciiTheme="minorHAnsi" w:hAnsiTheme="minorHAnsi" w:cstheme="minorHAnsi"/>
          <w:color w:val="000000" w:themeColor="text1"/>
        </w:rPr>
      </w:pPr>
      <w:bookmarkStart w:id="90" w:name="_Toc135384277"/>
      <w:r w:rsidRPr="00F56683">
        <w:rPr>
          <w:rFonts w:asciiTheme="minorHAnsi" w:hAnsiTheme="minorHAnsi" w:cstheme="minorHAnsi"/>
          <w:color w:val="000000" w:themeColor="text1"/>
        </w:rPr>
        <w:t>3.2.5 Summary of Part A findings</w:t>
      </w:r>
      <w:bookmarkEnd w:id="90"/>
    </w:p>
    <w:p w14:paraId="399BD702" w14:textId="156702DB" w:rsidR="004F4AF8" w:rsidRPr="00F56683" w:rsidRDefault="004F4AF8" w:rsidP="00F42CB9">
      <w:pPr>
        <w:spacing w:line="360" w:lineRule="auto"/>
        <w:rPr>
          <w:rFonts w:cstheme="minorHAnsi"/>
          <w:color w:val="000000" w:themeColor="text1"/>
        </w:rPr>
        <w:sectPr w:rsidR="004F4AF8" w:rsidRPr="00F56683" w:rsidSect="00EF1855">
          <w:pgSz w:w="11900" w:h="16840"/>
          <w:pgMar w:top="1440" w:right="1440" w:bottom="1440" w:left="1440" w:header="708" w:footer="708" w:gutter="0"/>
          <w:cols w:space="708"/>
          <w:docGrid w:linePitch="360"/>
        </w:sectPr>
      </w:pPr>
      <w:r w:rsidRPr="00F56683">
        <w:rPr>
          <w:rFonts w:cstheme="minorHAnsi"/>
          <w:color w:val="000000" w:themeColor="text1"/>
        </w:rPr>
        <w:t>The research presented in the publication suggested that the amended protein screener tool was valid for use in a UK-adult population. However, the limitations of the FFQ were recognised</w:t>
      </w:r>
      <w:r w:rsidR="00A24F88" w:rsidRPr="00F56683">
        <w:rPr>
          <w:rFonts w:cstheme="minorHAnsi"/>
          <w:color w:val="000000" w:themeColor="text1"/>
        </w:rPr>
        <w:t>,</w:t>
      </w:r>
      <w:r w:rsidRPr="00F56683">
        <w:rPr>
          <w:rFonts w:cstheme="minorHAnsi"/>
          <w:color w:val="000000" w:themeColor="text1"/>
        </w:rPr>
        <w:t xml:space="preserve"> and the need to repeat the work with a larger sample size </w:t>
      </w:r>
      <w:r w:rsidR="00523C08" w:rsidRPr="00F56683">
        <w:rPr>
          <w:rFonts w:cstheme="minorHAnsi"/>
          <w:color w:val="000000" w:themeColor="text1"/>
        </w:rPr>
        <w:t>using</w:t>
      </w:r>
      <w:r w:rsidRPr="00F56683">
        <w:rPr>
          <w:rFonts w:cstheme="minorHAnsi"/>
          <w:color w:val="000000" w:themeColor="text1"/>
        </w:rPr>
        <w:t xml:space="preserve"> a more robust dietary analysis method was acknowledged.  Further validation of the protein screener is described in Part B below.</w:t>
      </w:r>
    </w:p>
    <w:p w14:paraId="2A9436B4" w14:textId="1B9C5180" w:rsidR="004F4AF8" w:rsidRPr="00F56683" w:rsidRDefault="004F4AF8" w:rsidP="00F42CB9">
      <w:pPr>
        <w:pStyle w:val="Heading2"/>
        <w:spacing w:line="360" w:lineRule="auto"/>
        <w:rPr>
          <w:rFonts w:asciiTheme="minorHAnsi" w:hAnsiTheme="minorHAnsi" w:cstheme="minorHAnsi"/>
          <w:color w:val="000000" w:themeColor="text1"/>
          <w:sz w:val="24"/>
          <w:szCs w:val="24"/>
        </w:rPr>
      </w:pPr>
      <w:bookmarkStart w:id="91" w:name="_Toc135384278"/>
      <w:r w:rsidRPr="00F56683">
        <w:rPr>
          <w:rFonts w:asciiTheme="minorHAnsi" w:hAnsiTheme="minorHAnsi" w:cstheme="minorHAnsi"/>
          <w:color w:val="000000" w:themeColor="text1"/>
          <w:sz w:val="24"/>
          <w:szCs w:val="24"/>
        </w:rPr>
        <w:lastRenderedPageBreak/>
        <w:t>3.3 Part B</w:t>
      </w:r>
      <w:r w:rsidR="00201224" w:rsidRPr="00F56683">
        <w:rPr>
          <w:rFonts w:asciiTheme="minorHAnsi" w:hAnsiTheme="minorHAnsi" w:cstheme="minorHAnsi"/>
          <w:color w:val="000000" w:themeColor="text1"/>
          <w:sz w:val="24"/>
          <w:szCs w:val="24"/>
        </w:rPr>
        <w:t xml:space="preserve"> - SheffProUK</w:t>
      </w:r>
      <w:bookmarkEnd w:id="91"/>
    </w:p>
    <w:p w14:paraId="13035C1A" w14:textId="4BF197C5" w:rsidR="004F4AF8" w:rsidRPr="00F56683" w:rsidRDefault="004F4AF8" w:rsidP="00F42CB9">
      <w:pPr>
        <w:pStyle w:val="Heading3"/>
        <w:spacing w:line="360" w:lineRule="auto"/>
        <w:rPr>
          <w:rFonts w:asciiTheme="minorHAnsi" w:hAnsiTheme="minorHAnsi" w:cstheme="minorHAnsi"/>
          <w:color w:val="000000" w:themeColor="text1"/>
        </w:rPr>
      </w:pPr>
      <w:bookmarkStart w:id="92" w:name="_Toc135384279"/>
      <w:r w:rsidRPr="00F56683">
        <w:rPr>
          <w:rFonts w:asciiTheme="minorHAnsi" w:hAnsiTheme="minorHAnsi" w:cstheme="minorHAnsi"/>
          <w:color w:val="000000" w:themeColor="text1"/>
        </w:rPr>
        <w:t>3.3.1 Rationale</w:t>
      </w:r>
      <w:bookmarkEnd w:id="92"/>
    </w:p>
    <w:p w14:paraId="02F11A94" w14:textId="399531C6" w:rsidR="004F4AF8" w:rsidRPr="00F56683" w:rsidRDefault="004F4AF8" w:rsidP="00F42CB9">
      <w:pPr>
        <w:spacing w:line="360" w:lineRule="auto"/>
        <w:rPr>
          <w:rFonts w:cstheme="minorHAnsi"/>
          <w:color w:val="000000" w:themeColor="text1"/>
        </w:rPr>
      </w:pPr>
      <w:r w:rsidRPr="00F56683">
        <w:rPr>
          <w:rFonts w:cstheme="minorHAnsi"/>
          <w:color w:val="000000" w:themeColor="text1"/>
        </w:rPr>
        <w:t>Limitations of the previous ProScreen</w:t>
      </w:r>
      <w:r w:rsidR="00EA0130" w:rsidRPr="00F56683">
        <w:rPr>
          <w:rFonts w:cstheme="minorHAnsi"/>
          <w:color w:val="000000" w:themeColor="text1"/>
        </w:rPr>
        <w:t>er</w:t>
      </w:r>
      <w:r w:rsidRPr="00F56683">
        <w:rPr>
          <w:rFonts w:cstheme="minorHAnsi"/>
          <w:color w:val="000000" w:themeColor="text1"/>
        </w:rPr>
        <w:t>UK validation protocols have been outlined</w:t>
      </w:r>
      <w:r w:rsidR="00405247" w:rsidRPr="00F56683">
        <w:rPr>
          <w:rFonts w:cstheme="minorHAnsi"/>
          <w:color w:val="000000" w:themeColor="text1"/>
        </w:rPr>
        <w:t xml:space="preserve"> in the published</w:t>
      </w:r>
      <w:r w:rsidR="00530279" w:rsidRPr="00F56683">
        <w:rPr>
          <w:rFonts w:cstheme="minorHAnsi"/>
          <w:color w:val="000000" w:themeColor="text1"/>
        </w:rPr>
        <w:t xml:space="preserve"> manuscript</w:t>
      </w:r>
      <w:r w:rsidRPr="00F56683">
        <w:rPr>
          <w:rFonts w:cstheme="minorHAnsi"/>
          <w:color w:val="000000" w:themeColor="text1"/>
        </w:rPr>
        <w:t xml:space="preserve">. Addressing these </w:t>
      </w:r>
      <w:r w:rsidR="002D4D67">
        <w:rPr>
          <w:rFonts w:cstheme="minorHAnsi"/>
          <w:color w:val="000000" w:themeColor="text1"/>
        </w:rPr>
        <w:t>are</w:t>
      </w:r>
      <w:r w:rsidRPr="00F56683">
        <w:rPr>
          <w:rFonts w:cstheme="minorHAnsi"/>
          <w:color w:val="000000" w:themeColor="text1"/>
        </w:rPr>
        <w:t xml:space="preserve"> necessary to </w:t>
      </w:r>
      <w:r w:rsidR="0094614B" w:rsidRPr="00F56683">
        <w:rPr>
          <w:rFonts w:cstheme="minorHAnsi"/>
          <w:color w:val="000000" w:themeColor="text1"/>
        </w:rPr>
        <w:t xml:space="preserve">confirm </w:t>
      </w:r>
      <w:r w:rsidRPr="00F56683">
        <w:rPr>
          <w:rFonts w:cstheme="minorHAnsi"/>
          <w:color w:val="000000" w:themeColor="text1"/>
        </w:rPr>
        <w:t>the accuracy of the protein screener tools and understand the circumstance where it may be app</w:t>
      </w:r>
      <w:r w:rsidR="003F54A3" w:rsidRPr="00F56683">
        <w:rPr>
          <w:rFonts w:cstheme="minorHAnsi"/>
          <w:color w:val="000000" w:themeColor="text1"/>
        </w:rPr>
        <w:t>licable</w:t>
      </w:r>
      <w:r w:rsidRPr="00F56683">
        <w:rPr>
          <w:rFonts w:cstheme="minorHAnsi"/>
          <w:color w:val="000000" w:themeColor="text1"/>
        </w:rPr>
        <w:t xml:space="preserve"> to use this tool. The following measures were taken to advance this research. Based on cross</w:t>
      </w:r>
      <w:r w:rsidR="00A24F88" w:rsidRPr="00F56683">
        <w:rPr>
          <w:rFonts w:cstheme="minorHAnsi"/>
          <w:color w:val="000000" w:themeColor="text1"/>
        </w:rPr>
        <w:t>-</w:t>
      </w:r>
      <w:r w:rsidRPr="00F56683">
        <w:rPr>
          <w:rFonts w:cstheme="minorHAnsi"/>
          <w:color w:val="000000" w:themeColor="text1"/>
        </w:rPr>
        <w:t xml:space="preserve">sectional sample size calculations, </w:t>
      </w:r>
      <w:r w:rsidR="00A24F88" w:rsidRPr="00F56683">
        <w:rPr>
          <w:rFonts w:cstheme="minorHAnsi"/>
          <w:color w:val="000000" w:themeColor="text1"/>
        </w:rPr>
        <w:t xml:space="preserve">the </w:t>
      </w:r>
      <w:r w:rsidRPr="00F56683">
        <w:rPr>
          <w:rFonts w:cstheme="minorHAnsi"/>
          <w:color w:val="000000" w:themeColor="text1"/>
        </w:rPr>
        <w:t>minimum targets for participant recruitment were n=3</w:t>
      </w:r>
      <w:r w:rsidR="00821D82">
        <w:rPr>
          <w:rFonts w:cstheme="minorHAnsi"/>
          <w:color w:val="000000" w:themeColor="text1"/>
        </w:rPr>
        <w:t>49</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{"citationItems":[{"id":"ITEM-1","itemData":{"ISSN":"20082258","PMID":"24834239","abstract":"Optimum sample size is an essential component of any research. The main purpose of the sample size calculation is to determine the number of samples needed to detect significant changes in clinical parameters, treatment effects or associations after data gathering. It is not uncommon for studies to be underpowered and thereby fail to detect the existing treatment effects due to inadequate sample size. In this paper, we explain briefly the basic principles of sample size calculations in medical studies. © 2013 RIGLD.","author":[{"dropping-particle":"","family":"Pourhoseingholi","given":"Mohamad Amin","non-dropping-particle":"","parse-names":false,"suffix":""},{"dropping-particle":"","family":"Vahedi","given":"Mohsen","non-dropping-particle":"","parse-names":false,"suffix":""},{"dropping-particle":"","family":"Rahimzadeh","given":"Mitra","non-dropping-particle":"","parse-names":false,"suffix":""}],"container-title":"Gastroenterology and Hepatology From Bed to Bench","id":"ITEM-1","issue":"1","issued":{"date-parts":[["2013"]]},"page":"14","publisher":"Shahid Beheshti University of Medical Sciences","title":"Sample size calculation in medical studies","type":"article-journal","volume":"6"},"uris":["http://www.mendeley.com/documents/?uuid=672e873a-c8ea-3d75-b64d-c5d7e80b744c"]}],"mendeley":{"formattedCitation":"(193)","plainTextFormattedCitation":"(193)","previouslyFormattedCitation":"(193)"},"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(193)</w:t>
      </w:r>
      <w:r w:rsidRPr="00F56683">
        <w:rPr>
          <w:rFonts w:cstheme="minorHAnsi"/>
          <w:color w:val="000000" w:themeColor="text1"/>
        </w:rPr>
        <w:fldChar w:fldCharType="end"/>
      </w:r>
      <w:r w:rsidR="00A24F88" w:rsidRPr="00F56683">
        <w:rPr>
          <w:rFonts w:cstheme="minorHAnsi"/>
          <w:color w:val="000000" w:themeColor="text1"/>
        </w:rPr>
        <w:t>,</w:t>
      </w:r>
      <w:r w:rsidR="00405247" w:rsidRPr="00F56683">
        <w:rPr>
          <w:rFonts w:cstheme="minorHAnsi"/>
          <w:color w:val="000000" w:themeColor="text1"/>
        </w:rPr>
        <w:t xml:space="preserve"> across age groups</w:t>
      </w:r>
      <w:r w:rsidR="00A24F88" w:rsidRPr="00F56683">
        <w:rPr>
          <w:rFonts w:cstheme="minorHAnsi"/>
          <w:color w:val="000000" w:themeColor="text1"/>
        </w:rPr>
        <w:t>, including older adults (aged &gt;55 years)</w:t>
      </w:r>
      <w:r w:rsidRPr="00F56683">
        <w:rPr>
          <w:rFonts w:cstheme="minorHAnsi"/>
          <w:color w:val="000000" w:themeColor="text1"/>
        </w:rPr>
        <w:t>. To address th</w:t>
      </w:r>
      <w:r w:rsidR="00EA0130" w:rsidRPr="00F56683">
        <w:rPr>
          <w:rFonts w:cstheme="minorHAnsi"/>
          <w:color w:val="000000" w:themeColor="text1"/>
        </w:rPr>
        <w:t>e FFQ imprecisions, such as long memory recall durations and limitations by the length/items listed in the questionnaire (188)</w:t>
      </w:r>
      <w:r w:rsidRPr="00F56683">
        <w:rPr>
          <w:rFonts w:cstheme="minorHAnsi"/>
          <w:color w:val="000000" w:themeColor="text1"/>
        </w:rPr>
        <w:t xml:space="preserve"> we collected diet data using 24-hour recalls, which are deemed to be a more robust dietary assessment method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{"citationItems":[{"id":"ITEM-1","itemData":{"DOI":"10.1093/IJE/DYG264","ISSN":"0300-5771","PMID":"14681273","abstract":"Background. Most large cohort studies have used a food frequency questionnaire (FFQ) for assessing dietary intake. Several biomarker studies, however, have cast doubt on whether the FFQ has sufficient precision to allow detection of moderate but important diet-disease associations. We use data from the Observing Protein and Energy Nutrition (OPEN) study to compare the performance of a FFQ with that of a 24-hour recall (24HR). Methods. The OPEN study included 484 healthy volunteer participants (261 men, 223 women) from Montgomery County, Maryland, aged 40-69. Each participant was asked to complete a FFQ and 24HR on two occasions 3 months apart, and a doubly labelled water (DLW) assessment and two 24-hour urine collections during the 2 weeks after the first FFQ and 24HR assessment. For both the FFQ and 24HR and for both men and women, we calculated attenuation factors for absolute energy, absolute protein, and protein density. Results. For absolute energy and protein, a single FFQs attenuation factor is 0.04-0.16. Repeat administrations lead to little improvement (0.08-0.19). Attenuation factors for a single 24HR are 0.10-0.20, but four repeats would yield attenuations of 0.20-0.37. For protein density a single FFQ has an attenuation of 0.3-0.4; for a single 24HR the attenuation factor is 0.15-0.25 but would increase to 0.35-0.50 with four repeats. Conclusions. Because of severe attenuation, the FFQ cannot be recommended as an instrument for evaluating relations between absolute intake of energy or protein and disease. Although this attenuation is lessened in analyses of energy-adjusted protein, it remains substantial for both FFQ and multiple 24HR. The utility of either of these instruments for detecting important but moderate relative risks (between 1.5 and 2.0), even for energy-adjusted dietary factors, is questionable.","author":[{"dropping-particle":"","family":"Schatzkin","given":"Arthur","non-dropping-particle":"","parse-names":false,"suffix":""},{"dropping-particle":"","family":"Kipnis","given":"Victor","non-dropping-particle":"","parse-names":false,"suffix":""},{"dropping-particle":"","family":"Carroll","given":"Raymond J.","non-dropping-particle":"","parse-names":false,"suffix":""},{"dropping-particle":"","family":"Midthune","given":"Douglas","non-dropping-particle":"","parse-names":false,"suffix":""},{"dropping-particle":"","family":"Subar","given":"Amy F.","non-dropping-particle":"","parse-names":false,"suffix":""},{"dropping-particle":"","family":"Bingham","given":"Sheila","non-dropping-particle":"","parse-names":false,"suffix":""},{"dropping-particle":"","family":"Schoeller","given":"Dale A.","non-dropping-particle":"","parse-names":false,"suffix":""},{"dropping-particle":"","family":"Troiano","given":"Richard P.","non-dropping-particle":"","parse-names":false,"suffix":""},{"dropping-particle":"","family":"Freedman","given":"Laurence S.","non-dropping-particle":"","parse-names":false,"suffix":""}],"container-title":"International journal of epidemiology","id":"ITEM-1","issue":"6","issued":{"date-parts":[["2003","12"]]},"page":"1054-1062","publisher":"Int J Epidemiol","title":"A comparison of a food frequency questionnaire with a 24-hour recall for use in an epidemiological cohort study: results from the biomarker-based Observing Protein and Energy Nutrition (OPEN) study","type":"article-journal","volume":"32"},"uris":["http://www.mendeley.com/documents/?uuid=34523b31-c2d3-3123-8398-240b012eb88f"]}],"mendeley":{"formattedCitation":"(190)","plainTextFormattedCitation":"(190)","previouslyFormattedCitation":"(190)"},"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(190)</w:t>
      </w:r>
      <w:r w:rsidRPr="00F56683">
        <w:rPr>
          <w:rFonts w:cstheme="minorHAnsi"/>
          <w:color w:val="000000" w:themeColor="text1"/>
        </w:rPr>
        <w:fldChar w:fldCharType="end"/>
      </w:r>
      <w:r w:rsidRPr="00F56683">
        <w:rPr>
          <w:rFonts w:cstheme="minorHAnsi"/>
          <w:color w:val="000000" w:themeColor="text1"/>
        </w:rPr>
        <w:t xml:space="preserve">. </w:t>
      </w:r>
    </w:p>
    <w:p w14:paraId="76955E07" w14:textId="77C69578" w:rsidR="004F4AF8" w:rsidRPr="00F56683" w:rsidRDefault="004F4AF8" w:rsidP="00F42CB9">
      <w:pPr>
        <w:spacing w:line="360" w:lineRule="auto"/>
        <w:rPr>
          <w:rFonts w:cstheme="minorHAnsi"/>
          <w:color w:val="000000" w:themeColor="text1"/>
        </w:rPr>
        <w:sectPr w:rsidR="004F4AF8" w:rsidRPr="00F56683" w:rsidSect="00EF1855">
          <w:pgSz w:w="11900" w:h="16840"/>
          <w:pgMar w:top="1440" w:right="1440" w:bottom="1440" w:left="1440" w:header="708" w:footer="708" w:gutter="0"/>
          <w:cols w:space="708"/>
          <w:docGrid w:linePitch="360"/>
        </w:sectPr>
      </w:pPr>
      <w:r w:rsidRPr="00F56683">
        <w:rPr>
          <w:rFonts w:cstheme="minorHAnsi"/>
          <w:color w:val="000000" w:themeColor="text1"/>
        </w:rPr>
        <w:t>All data was</w:t>
      </w:r>
      <w:r w:rsidR="00EA0130" w:rsidRPr="00F56683">
        <w:rPr>
          <w:rFonts w:cstheme="minorHAnsi"/>
          <w:color w:val="000000" w:themeColor="text1"/>
        </w:rPr>
        <w:t xml:space="preserve"> again</w:t>
      </w:r>
      <w:r w:rsidRPr="00F56683">
        <w:rPr>
          <w:rFonts w:cstheme="minorHAnsi"/>
          <w:color w:val="000000" w:themeColor="text1"/>
        </w:rPr>
        <w:t xml:space="preserve"> collected using online surveys and tools. This has a low participant burden rate, so it was reasonable to use this large cohort to also obtain further information in relation to other factors which may influence protein intakes. As such, participants who complete</w:t>
      </w:r>
      <w:r w:rsidR="00A24F88" w:rsidRPr="00F56683">
        <w:rPr>
          <w:rFonts w:cstheme="minorHAnsi"/>
          <w:color w:val="000000" w:themeColor="text1"/>
        </w:rPr>
        <w:t>d</w:t>
      </w:r>
      <w:r w:rsidRPr="00F56683">
        <w:rPr>
          <w:rFonts w:cstheme="minorHAnsi"/>
          <w:color w:val="000000" w:themeColor="text1"/>
        </w:rPr>
        <w:t xml:space="preserve"> the protein screener questionnaire and provide</w:t>
      </w:r>
      <w:r w:rsidR="00405247" w:rsidRPr="00F56683">
        <w:rPr>
          <w:rFonts w:cstheme="minorHAnsi"/>
          <w:color w:val="000000" w:themeColor="text1"/>
        </w:rPr>
        <w:t>d</w:t>
      </w:r>
      <w:r w:rsidRPr="00F56683">
        <w:rPr>
          <w:rFonts w:cstheme="minorHAnsi"/>
          <w:color w:val="000000" w:themeColor="text1"/>
        </w:rPr>
        <w:t xml:space="preserve"> a 24-hour recall were also asked to complete a protein knowledge questionnaire. This 3-part survey will be referred to as the SheffProUK study. Knowledge about protein and other factors w</w:t>
      </w:r>
      <w:r w:rsidR="00A24F88" w:rsidRPr="00F56683">
        <w:rPr>
          <w:rFonts w:cstheme="minorHAnsi"/>
          <w:color w:val="000000" w:themeColor="text1"/>
        </w:rPr>
        <w:t>as</w:t>
      </w:r>
      <w:r w:rsidRPr="00F56683">
        <w:rPr>
          <w:rFonts w:cstheme="minorHAnsi"/>
          <w:color w:val="000000" w:themeColor="text1"/>
        </w:rPr>
        <w:t xml:space="preserve"> explored with the aim of gaining insights into possible influences which may place someone at risk of consuming inadequate levels of protein habitually (objective 2). The findings of this will be described in chapter 4. Understanding the low-protein intake risk factors, alongside the use of the protein screener tool, could then be use</w:t>
      </w:r>
      <w:r w:rsidR="0094614B" w:rsidRPr="00F56683">
        <w:rPr>
          <w:rFonts w:cstheme="minorHAnsi"/>
          <w:color w:val="000000" w:themeColor="text1"/>
        </w:rPr>
        <w:t>d</w:t>
      </w:r>
      <w:r w:rsidRPr="00F56683">
        <w:rPr>
          <w:rFonts w:cstheme="minorHAnsi"/>
          <w:color w:val="000000" w:themeColor="text1"/>
        </w:rPr>
        <w:t xml:space="preserve"> for participant selection and targeting individuals likely to be most susceptible to muscle loss to try and prevent the severity of their losses. It was deemed appropriate to create a three-part work</w:t>
      </w:r>
      <w:r w:rsidR="00A24F88" w:rsidRPr="00F56683">
        <w:rPr>
          <w:rFonts w:cstheme="minorHAnsi"/>
          <w:color w:val="000000" w:themeColor="text1"/>
        </w:rPr>
        <w:t>-</w:t>
      </w:r>
      <w:r w:rsidRPr="00F56683">
        <w:rPr>
          <w:rFonts w:cstheme="minorHAnsi"/>
          <w:color w:val="000000" w:themeColor="text1"/>
        </w:rPr>
        <w:t>flow to collect data from the same participants, and it felt sensible to utilise the same cohort to maximise data collection from these respondents, despite the divergence of outcomes and analysis objectives. As such, the methods are the same for this further validation study and the findings of chapter 4.</w:t>
      </w:r>
    </w:p>
    <w:p w14:paraId="5B453093" w14:textId="77777777" w:rsidR="004F4AF8" w:rsidRPr="00F56683" w:rsidRDefault="004F4AF8" w:rsidP="00F42CB9">
      <w:pPr>
        <w:spacing w:line="360" w:lineRule="auto"/>
        <w:rPr>
          <w:rFonts w:cstheme="minorHAnsi"/>
          <w:color w:val="000000" w:themeColor="text1"/>
        </w:rPr>
      </w:pPr>
    </w:p>
    <w:p w14:paraId="086555E4" w14:textId="121919CA" w:rsidR="004F4AF8" w:rsidRPr="00F56683" w:rsidRDefault="004F4AF8" w:rsidP="00F42CB9">
      <w:pPr>
        <w:pStyle w:val="Heading3"/>
        <w:spacing w:line="360" w:lineRule="auto"/>
        <w:rPr>
          <w:rFonts w:asciiTheme="minorHAnsi" w:hAnsiTheme="minorHAnsi" w:cstheme="minorHAnsi"/>
          <w:color w:val="000000" w:themeColor="text1"/>
        </w:rPr>
      </w:pPr>
      <w:bookmarkStart w:id="93" w:name="_Toc135384280"/>
      <w:r w:rsidRPr="00F56683">
        <w:rPr>
          <w:rFonts w:asciiTheme="minorHAnsi" w:hAnsiTheme="minorHAnsi" w:cstheme="minorHAnsi"/>
          <w:color w:val="000000" w:themeColor="text1"/>
        </w:rPr>
        <w:t>3.3.1 Part B aims</w:t>
      </w:r>
      <w:r w:rsidR="007316A3" w:rsidRPr="00F56683">
        <w:rPr>
          <w:rFonts w:asciiTheme="minorHAnsi" w:hAnsiTheme="minorHAnsi" w:cstheme="minorHAnsi"/>
          <w:color w:val="000000" w:themeColor="text1"/>
        </w:rPr>
        <w:t>, hypothesis</w:t>
      </w:r>
      <w:r w:rsidRPr="00F56683">
        <w:rPr>
          <w:rFonts w:asciiTheme="minorHAnsi" w:hAnsiTheme="minorHAnsi" w:cstheme="minorHAnsi"/>
          <w:color w:val="000000" w:themeColor="text1"/>
        </w:rPr>
        <w:t xml:space="preserve"> and objectives.</w:t>
      </w:r>
      <w:bookmarkEnd w:id="93"/>
      <w:r w:rsidRPr="00F56683">
        <w:rPr>
          <w:rFonts w:asciiTheme="minorHAnsi" w:hAnsiTheme="minorHAnsi" w:cstheme="minorHAnsi"/>
          <w:color w:val="000000" w:themeColor="text1"/>
        </w:rPr>
        <w:t xml:space="preserve"> </w:t>
      </w:r>
    </w:p>
    <w:p w14:paraId="620BCF3A" w14:textId="77777777" w:rsidR="007316A3" w:rsidRPr="00F56683" w:rsidRDefault="007316A3" w:rsidP="00F42CB9">
      <w:pPr>
        <w:spacing w:line="360" w:lineRule="auto"/>
        <w:rPr>
          <w:rFonts w:cstheme="minorHAnsi"/>
          <w:color w:val="000000" w:themeColor="text1"/>
        </w:rPr>
      </w:pPr>
      <w:r w:rsidRPr="00F56683">
        <w:rPr>
          <w:rFonts w:cstheme="minorHAnsi"/>
          <w:color w:val="000000" w:themeColor="text1"/>
        </w:rPr>
        <w:t xml:space="preserve">Aim: </w:t>
      </w:r>
    </w:p>
    <w:p w14:paraId="7A19D5F5" w14:textId="28E7F6DA" w:rsidR="007316A3" w:rsidRPr="00F56683" w:rsidRDefault="007316A3" w:rsidP="00F42CB9">
      <w:pPr>
        <w:spacing w:line="360" w:lineRule="auto"/>
        <w:rPr>
          <w:rFonts w:cstheme="minorHAnsi"/>
          <w:color w:val="000000" w:themeColor="text1"/>
        </w:rPr>
      </w:pPr>
      <w:r w:rsidRPr="00F56683">
        <w:rPr>
          <w:rFonts w:cstheme="minorHAnsi"/>
          <w:color w:val="000000" w:themeColor="text1"/>
        </w:rPr>
        <w:t xml:space="preserve">To further validate the use of an amended protein screener questionnaire in a UK adult population </w:t>
      </w:r>
      <w:r w:rsidR="0094614B" w:rsidRPr="00F56683">
        <w:rPr>
          <w:rFonts w:cstheme="minorHAnsi"/>
          <w:color w:val="000000" w:themeColor="text1"/>
        </w:rPr>
        <w:t>using 24-hour recall as the reference method.</w:t>
      </w:r>
    </w:p>
    <w:p w14:paraId="329CC12E"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Hypothesis:</w:t>
      </w:r>
    </w:p>
    <w:p w14:paraId="42ABC1C6" w14:textId="2BED3956" w:rsidR="004F4AF8" w:rsidRPr="00F56683" w:rsidRDefault="004F4AF8" w:rsidP="00F42CB9">
      <w:pPr>
        <w:spacing w:line="360" w:lineRule="auto"/>
        <w:rPr>
          <w:rFonts w:cstheme="minorHAnsi"/>
          <w:color w:val="000000" w:themeColor="text1"/>
        </w:rPr>
      </w:pPr>
      <w:r w:rsidRPr="00F56683">
        <w:rPr>
          <w:rFonts w:cstheme="minorHAnsi"/>
          <w:color w:val="000000" w:themeColor="text1"/>
        </w:rPr>
        <w:t>It is hypothesised that the</w:t>
      </w:r>
      <w:r w:rsidR="00291A18" w:rsidRPr="00F56683">
        <w:rPr>
          <w:rFonts w:cstheme="minorHAnsi"/>
          <w:color w:val="000000" w:themeColor="text1"/>
        </w:rPr>
        <w:t xml:space="preserve"> UK</w:t>
      </w:r>
      <w:r w:rsidRPr="00F56683">
        <w:rPr>
          <w:rFonts w:cstheme="minorHAnsi"/>
          <w:color w:val="000000" w:themeColor="text1"/>
        </w:rPr>
        <w:t xml:space="preserve"> protein screener tool will still be validated using 24-hour recalls as the dietary intake </w:t>
      </w:r>
      <w:r w:rsidR="00291A18" w:rsidRPr="00F56683">
        <w:rPr>
          <w:rFonts w:cstheme="minorHAnsi"/>
          <w:color w:val="000000" w:themeColor="text1"/>
        </w:rPr>
        <w:t>reference</w:t>
      </w:r>
      <w:r w:rsidRPr="00F56683">
        <w:rPr>
          <w:rFonts w:cstheme="minorHAnsi"/>
          <w:color w:val="000000" w:themeColor="text1"/>
        </w:rPr>
        <w:t xml:space="preserve"> method. </w:t>
      </w:r>
    </w:p>
    <w:p w14:paraId="09B9E79B" w14:textId="77777777" w:rsidR="004F4AF8" w:rsidRPr="00F56683" w:rsidRDefault="004F4AF8" w:rsidP="00F42CB9">
      <w:pPr>
        <w:spacing w:line="360" w:lineRule="auto"/>
        <w:rPr>
          <w:rFonts w:cstheme="minorHAnsi"/>
          <w:color w:val="000000" w:themeColor="text1"/>
        </w:rPr>
      </w:pPr>
      <w:r w:rsidRPr="00F56683">
        <w:rPr>
          <w:rFonts w:cstheme="minorHAnsi"/>
          <w:color w:val="000000" w:themeColor="text1"/>
        </w:rPr>
        <w:t>Objectives:</w:t>
      </w:r>
    </w:p>
    <w:p w14:paraId="3BF6E0E1" w14:textId="15412829" w:rsidR="004F4AF8" w:rsidRPr="00F56683" w:rsidRDefault="004F4AF8" w:rsidP="00F42CB9">
      <w:pPr>
        <w:pStyle w:val="ListParagraph"/>
        <w:numPr>
          <w:ilvl w:val="0"/>
          <w:numId w:val="6"/>
        </w:numPr>
        <w:spacing w:line="360" w:lineRule="auto"/>
        <w:rPr>
          <w:rFonts w:cstheme="minorHAnsi"/>
          <w:color w:val="000000" w:themeColor="text1"/>
        </w:rPr>
      </w:pPr>
      <w:r w:rsidRPr="00F56683">
        <w:rPr>
          <w:rFonts w:cstheme="minorHAnsi"/>
          <w:color w:val="000000" w:themeColor="text1"/>
        </w:rPr>
        <w:t>To recruit 3</w:t>
      </w:r>
      <w:r w:rsidR="00304F31">
        <w:rPr>
          <w:rFonts w:cstheme="minorHAnsi"/>
          <w:color w:val="000000" w:themeColor="text1"/>
        </w:rPr>
        <w:t>49</w:t>
      </w:r>
      <w:r w:rsidRPr="00F56683">
        <w:rPr>
          <w:rFonts w:cstheme="minorHAnsi"/>
          <w:color w:val="000000" w:themeColor="text1"/>
        </w:rPr>
        <w:t xml:space="preserve"> adults, aged 18+ to participate in the SheffProUK study</w:t>
      </w:r>
    </w:p>
    <w:p w14:paraId="091DDABA" w14:textId="77777777" w:rsidR="004F4AF8" w:rsidRPr="00F56683" w:rsidRDefault="004F4AF8" w:rsidP="00F42CB9">
      <w:pPr>
        <w:pStyle w:val="ListParagraph"/>
        <w:numPr>
          <w:ilvl w:val="0"/>
          <w:numId w:val="6"/>
        </w:numPr>
        <w:spacing w:line="360" w:lineRule="auto"/>
        <w:rPr>
          <w:rFonts w:cstheme="minorHAnsi"/>
          <w:color w:val="000000" w:themeColor="text1"/>
        </w:rPr>
      </w:pPr>
      <w:r w:rsidRPr="00F56683">
        <w:rPr>
          <w:rFonts w:cstheme="minorHAnsi"/>
          <w:color w:val="000000" w:themeColor="text1"/>
        </w:rPr>
        <w:t>To collect responses to a 10-question, amended protein screener questionnaire, via an online survey.</w:t>
      </w:r>
    </w:p>
    <w:p w14:paraId="595CD3E1" w14:textId="65F5E44E" w:rsidR="004F4AF8" w:rsidRPr="00F56683" w:rsidRDefault="004F4AF8" w:rsidP="00F42CB9">
      <w:pPr>
        <w:pStyle w:val="ListParagraph"/>
        <w:numPr>
          <w:ilvl w:val="0"/>
          <w:numId w:val="6"/>
        </w:numPr>
        <w:spacing w:line="360" w:lineRule="auto"/>
        <w:rPr>
          <w:rFonts w:cstheme="minorHAnsi"/>
          <w:color w:val="000000" w:themeColor="text1"/>
        </w:rPr>
      </w:pPr>
      <w:r w:rsidRPr="00F56683">
        <w:rPr>
          <w:rFonts w:cstheme="minorHAnsi"/>
          <w:color w:val="000000" w:themeColor="text1"/>
        </w:rPr>
        <w:t>To estimate dietary protein intake in the participants using Intake24 (</w:t>
      </w:r>
      <w:hyperlink r:id="rId27" w:history="1">
        <w:r w:rsidRPr="00F56683">
          <w:rPr>
            <w:rStyle w:val="Hyperlink"/>
            <w:rFonts w:cstheme="minorHAnsi"/>
            <w:color w:val="000000" w:themeColor="text1"/>
          </w:rPr>
          <w:t>https://intake24.co.uk/</w:t>
        </w:r>
      </w:hyperlink>
      <w:r w:rsidRPr="00F56683">
        <w:rPr>
          <w:rFonts w:cstheme="minorHAnsi"/>
          <w:color w:val="000000" w:themeColor="text1"/>
        </w:rPr>
        <w:t xml:space="preserve">); a 24-hour recall methodology.   </w:t>
      </w:r>
    </w:p>
    <w:p w14:paraId="5939556C" w14:textId="66E3D4F9" w:rsidR="004F4AF8" w:rsidRPr="00F56683" w:rsidRDefault="004F4AF8" w:rsidP="00F42CB9">
      <w:pPr>
        <w:pStyle w:val="ListParagraph"/>
        <w:numPr>
          <w:ilvl w:val="0"/>
          <w:numId w:val="6"/>
        </w:numPr>
        <w:spacing w:line="360" w:lineRule="auto"/>
        <w:rPr>
          <w:rFonts w:cstheme="minorHAnsi"/>
          <w:color w:val="000000" w:themeColor="text1"/>
        </w:rPr>
      </w:pPr>
      <w:r w:rsidRPr="00F56683">
        <w:rPr>
          <w:rFonts w:cstheme="minorHAnsi"/>
          <w:color w:val="000000" w:themeColor="text1"/>
        </w:rPr>
        <w:t>To conduct sensitivity, specificity and ROC curve analysis to further test the validity of the ProScreenerUK tool.</w:t>
      </w:r>
    </w:p>
    <w:p w14:paraId="4D6E3484" w14:textId="46699A7D" w:rsidR="001920B8" w:rsidRPr="00F56683" w:rsidRDefault="001920B8" w:rsidP="00F42CB9">
      <w:pPr>
        <w:spacing w:line="360" w:lineRule="auto"/>
        <w:rPr>
          <w:rFonts w:cstheme="minorHAnsi"/>
          <w:color w:val="000000" w:themeColor="text1"/>
        </w:rPr>
      </w:pPr>
    </w:p>
    <w:p w14:paraId="49F08371" w14:textId="4A9B6A9B" w:rsidR="001920B8" w:rsidRPr="00F56683" w:rsidRDefault="001920B8" w:rsidP="00F42CB9">
      <w:pPr>
        <w:pStyle w:val="Heading2"/>
        <w:spacing w:line="360" w:lineRule="auto"/>
        <w:rPr>
          <w:rFonts w:asciiTheme="minorHAnsi" w:hAnsiTheme="minorHAnsi" w:cstheme="minorHAnsi"/>
          <w:color w:val="000000" w:themeColor="text1"/>
          <w:sz w:val="24"/>
          <w:szCs w:val="24"/>
        </w:rPr>
      </w:pPr>
      <w:bookmarkStart w:id="94" w:name="_Toc135384281"/>
      <w:r w:rsidRPr="00F56683">
        <w:rPr>
          <w:rFonts w:asciiTheme="minorHAnsi" w:hAnsiTheme="minorHAnsi" w:cstheme="minorHAnsi"/>
          <w:color w:val="000000" w:themeColor="text1"/>
          <w:sz w:val="24"/>
          <w:szCs w:val="24"/>
        </w:rPr>
        <w:t>3.4 Methods for SheffProUK.</w:t>
      </w:r>
      <w:bookmarkEnd w:id="94"/>
    </w:p>
    <w:p w14:paraId="2AEF5B3F" w14:textId="740292C2" w:rsidR="001920B8" w:rsidRPr="00F56683" w:rsidRDefault="001920B8" w:rsidP="00F42CB9">
      <w:pPr>
        <w:pStyle w:val="Heading3"/>
        <w:spacing w:line="360" w:lineRule="auto"/>
        <w:rPr>
          <w:rFonts w:asciiTheme="minorHAnsi" w:hAnsiTheme="minorHAnsi" w:cstheme="minorHAnsi"/>
          <w:color w:val="000000" w:themeColor="text1"/>
        </w:rPr>
      </w:pPr>
      <w:bookmarkStart w:id="95" w:name="_Toc135384282"/>
      <w:r w:rsidRPr="00F56683">
        <w:rPr>
          <w:rFonts w:asciiTheme="minorHAnsi" w:hAnsiTheme="minorHAnsi" w:cstheme="minorHAnsi"/>
          <w:color w:val="000000" w:themeColor="text1"/>
        </w:rPr>
        <w:t>3.4.1 Ethics</w:t>
      </w:r>
      <w:bookmarkEnd w:id="95"/>
    </w:p>
    <w:p w14:paraId="3B8C4785" w14:textId="2968B565" w:rsidR="001920B8" w:rsidRPr="00F56683" w:rsidRDefault="001920B8" w:rsidP="00F42CB9">
      <w:pPr>
        <w:spacing w:line="360" w:lineRule="auto"/>
        <w:ind w:firstLine="720"/>
        <w:rPr>
          <w:rFonts w:cstheme="minorHAnsi"/>
          <w:color w:val="000000" w:themeColor="text1"/>
        </w:rPr>
      </w:pPr>
      <w:r w:rsidRPr="00F56683">
        <w:rPr>
          <w:rFonts w:cstheme="minorHAnsi"/>
          <w:color w:val="000000" w:themeColor="text1"/>
        </w:rPr>
        <w:t>Ethic</w:t>
      </w:r>
      <w:r w:rsidR="00291A18" w:rsidRPr="00F56683">
        <w:rPr>
          <w:rFonts w:cstheme="minorHAnsi"/>
          <w:color w:val="000000" w:themeColor="text1"/>
        </w:rPr>
        <w:t xml:space="preserve">al approval was granted by the Medical School, </w:t>
      </w:r>
      <w:r w:rsidRPr="00F56683">
        <w:rPr>
          <w:rFonts w:cstheme="minorHAnsi"/>
          <w:color w:val="000000" w:themeColor="text1"/>
        </w:rPr>
        <w:t>University of Sheffield</w:t>
      </w:r>
      <w:r w:rsidR="00A24F88" w:rsidRPr="00F56683">
        <w:rPr>
          <w:rFonts w:cstheme="minorHAnsi"/>
          <w:color w:val="000000" w:themeColor="text1"/>
        </w:rPr>
        <w:t>,</w:t>
      </w:r>
      <w:r w:rsidRPr="00F56683">
        <w:rPr>
          <w:rFonts w:cstheme="minorHAnsi"/>
          <w:color w:val="000000" w:themeColor="text1"/>
        </w:rPr>
        <w:t xml:space="preserve"> ethics committee (</w:t>
      </w:r>
      <w:r w:rsidR="00291A18" w:rsidRPr="00F56683">
        <w:rPr>
          <w:rFonts w:cstheme="minorHAnsi"/>
          <w:color w:val="000000" w:themeColor="text1"/>
        </w:rPr>
        <w:t>reference</w:t>
      </w:r>
      <w:r w:rsidRPr="00F56683">
        <w:rPr>
          <w:rFonts w:cstheme="minorHAnsi"/>
          <w:color w:val="000000" w:themeColor="text1"/>
        </w:rPr>
        <w:t xml:space="preserve"> number: 041933) Amendments to the </w:t>
      </w:r>
      <w:r w:rsidR="00291A18" w:rsidRPr="00F56683">
        <w:rPr>
          <w:rFonts w:cstheme="minorHAnsi"/>
          <w:color w:val="000000" w:themeColor="text1"/>
        </w:rPr>
        <w:t>protocol</w:t>
      </w:r>
      <w:r w:rsidRPr="00F56683">
        <w:rPr>
          <w:rFonts w:cstheme="minorHAnsi"/>
          <w:color w:val="000000" w:themeColor="text1"/>
        </w:rPr>
        <w:t xml:space="preserve"> were also approved by the ethics board. This included a request to send follow</w:t>
      </w:r>
      <w:r w:rsidR="00A24F88" w:rsidRPr="00F56683">
        <w:rPr>
          <w:rFonts w:cstheme="minorHAnsi"/>
          <w:color w:val="000000" w:themeColor="text1"/>
        </w:rPr>
        <w:t>-</w:t>
      </w:r>
      <w:r w:rsidRPr="00F56683">
        <w:rPr>
          <w:rFonts w:cstheme="minorHAnsi"/>
          <w:color w:val="000000" w:themeColor="text1"/>
        </w:rPr>
        <w:t xml:space="preserve">up and reminder emails if participants did not complete all three parts of the survey (submitted: 01/10/2021) </w:t>
      </w:r>
      <w:r w:rsidR="00291A18" w:rsidRPr="00F56683">
        <w:rPr>
          <w:rFonts w:cstheme="minorHAnsi"/>
          <w:color w:val="000000" w:themeColor="text1"/>
        </w:rPr>
        <w:t xml:space="preserve">and an </w:t>
      </w:r>
      <w:r w:rsidRPr="00F56683">
        <w:rPr>
          <w:rFonts w:cstheme="minorHAnsi"/>
          <w:color w:val="000000" w:themeColor="text1"/>
        </w:rPr>
        <w:t>amendment to include a voucher prize draw to incentiv</w:t>
      </w:r>
      <w:r w:rsidR="00291A18" w:rsidRPr="00F56683">
        <w:rPr>
          <w:rFonts w:cstheme="minorHAnsi"/>
          <w:color w:val="000000" w:themeColor="text1"/>
        </w:rPr>
        <w:t xml:space="preserve">ise participation </w:t>
      </w:r>
      <w:r w:rsidRPr="00F56683">
        <w:rPr>
          <w:rFonts w:cstheme="minorHAnsi"/>
          <w:color w:val="000000" w:themeColor="text1"/>
        </w:rPr>
        <w:t>(submitted: 29/07/2022) (appendix 1)</w:t>
      </w:r>
    </w:p>
    <w:p w14:paraId="0FA085AC" w14:textId="77777777" w:rsidR="001920B8" w:rsidRPr="00F56683" w:rsidRDefault="001920B8" w:rsidP="00F42CB9">
      <w:pPr>
        <w:spacing w:line="360" w:lineRule="auto"/>
        <w:rPr>
          <w:rFonts w:cstheme="minorHAnsi"/>
          <w:color w:val="000000" w:themeColor="text1"/>
        </w:rPr>
      </w:pPr>
    </w:p>
    <w:p w14:paraId="1C34CE7C" w14:textId="2F0683C6" w:rsidR="001920B8" w:rsidRPr="00F56683" w:rsidRDefault="001920B8" w:rsidP="00F42CB9">
      <w:pPr>
        <w:pStyle w:val="Heading3"/>
        <w:spacing w:line="360" w:lineRule="auto"/>
        <w:rPr>
          <w:rFonts w:asciiTheme="minorHAnsi" w:hAnsiTheme="minorHAnsi" w:cstheme="minorHAnsi"/>
          <w:color w:val="000000" w:themeColor="text1"/>
        </w:rPr>
      </w:pPr>
      <w:bookmarkStart w:id="96" w:name="_Toc135384283"/>
      <w:r w:rsidRPr="00F56683">
        <w:rPr>
          <w:rFonts w:asciiTheme="minorHAnsi" w:hAnsiTheme="minorHAnsi" w:cstheme="minorHAnsi"/>
          <w:color w:val="000000" w:themeColor="text1"/>
        </w:rPr>
        <w:t>3.4.2 Study design</w:t>
      </w:r>
      <w:bookmarkEnd w:id="96"/>
    </w:p>
    <w:p w14:paraId="30E22AF6" w14:textId="29B3C9C2" w:rsidR="001920B8" w:rsidRPr="00F56683" w:rsidRDefault="001920B8" w:rsidP="00F42CB9">
      <w:pPr>
        <w:spacing w:line="360" w:lineRule="auto"/>
        <w:ind w:firstLine="720"/>
        <w:rPr>
          <w:rFonts w:cstheme="minorHAnsi"/>
          <w:color w:val="000000" w:themeColor="text1"/>
        </w:rPr>
      </w:pPr>
      <w:r w:rsidRPr="00F56683">
        <w:rPr>
          <w:rFonts w:cstheme="minorHAnsi"/>
          <w:color w:val="000000" w:themeColor="text1"/>
        </w:rPr>
        <w:t xml:space="preserve">Data collection for SheffProUK was a 3-part online cross-sectional survey, which was live from 16.08.21-15.08.22. The recruitment strategy consisted of </w:t>
      </w:r>
      <w:r w:rsidR="001F0052" w:rsidRPr="00F56683">
        <w:rPr>
          <w:rFonts w:cstheme="minorHAnsi"/>
          <w:color w:val="000000" w:themeColor="text1"/>
        </w:rPr>
        <w:t xml:space="preserve">advertisement of the </w:t>
      </w:r>
      <w:r w:rsidRPr="00F56683">
        <w:rPr>
          <w:rFonts w:cstheme="minorHAnsi"/>
          <w:color w:val="000000" w:themeColor="text1"/>
        </w:rPr>
        <w:t>survey (described below). Part</w:t>
      </w:r>
      <w:r w:rsidR="00A24F88" w:rsidRPr="00F56683">
        <w:rPr>
          <w:rFonts w:cstheme="minorHAnsi"/>
          <w:color w:val="000000" w:themeColor="text1"/>
        </w:rPr>
        <w:t>s</w:t>
      </w:r>
      <w:r w:rsidRPr="00F56683">
        <w:rPr>
          <w:rFonts w:cstheme="minorHAnsi"/>
          <w:color w:val="000000" w:themeColor="text1"/>
        </w:rPr>
        <w:t xml:space="preserve"> 1 and 3 were completed via </w:t>
      </w:r>
      <w:r w:rsidR="00532B46">
        <w:rPr>
          <w:rFonts w:cstheme="minorHAnsi"/>
          <w:color w:val="000000" w:themeColor="text1"/>
        </w:rPr>
        <w:t>G</w:t>
      </w:r>
      <w:r w:rsidRPr="00F56683">
        <w:rPr>
          <w:rFonts w:cstheme="minorHAnsi"/>
          <w:color w:val="000000" w:themeColor="text1"/>
        </w:rPr>
        <w:t xml:space="preserve">oogle </w:t>
      </w:r>
      <w:r w:rsidR="00532B46">
        <w:rPr>
          <w:rFonts w:cstheme="minorHAnsi"/>
          <w:color w:val="000000" w:themeColor="text1"/>
        </w:rPr>
        <w:t>F</w:t>
      </w:r>
      <w:r w:rsidRPr="00F56683">
        <w:rPr>
          <w:rFonts w:cstheme="minorHAnsi"/>
          <w:color w:val="000000" w:themeColor="text1"/>
        </w:rPr>
        <w:t xml:space="preserve">orms. Part 2 was completed via Intake24, a service provided by the University of Cambridge. </w:t>
      </w:r>
    </w:p>
    <w:p w14:paraId="6F96F6E1" w14:textId="77777777" w:rsidR="001920B8" w:rsidRPr="00F56683" w:rsidRDefault="001920B8" w:rsidP="00F42CB9">
      <w:pPr>
        <w:spacing w:line="360" w:lineRule="auto"/>
        <w:rPr>
          <w:rFonts w:cstheme="minorHAnsi"/>
          <w:color w:val="000000" w:themeColor="text1"/>
        </w:rPr>
      </w:pPr>
    </w:p>
    <w:p w14:paraId="0D8A1BF0" w14:textId="342D92F4" w:rsidR="001920B8" w:rsidRPr="00F56683" w:rsidRDefault="001920B8" w:rsidP="00F42CB9">
      <w:pPr>
        <w:spacing w:line="360" w:lineRule="auto"/>
        <w:rPr>
          <w:rFonts w:cstheme="minorHAnsi"/>
          <w:color w:val="000000" w:themeColor="text1"/>
        </w:rPr>
      </w:pPr>
      <w:r w:rsidRPr="00F56683">
        <w:rPr>
          <w:rFonts w:cstheme="minorHAnsi"/>
          <w:color w:val="000000" w:themeColor="text1"/>
        </w:rPr>
        <w:t xml:space="preserve">Part 1 (appendix 2) asked participants to provide demographic information, including: age, gender identification, self-reported height and weight, age </w:t>
      </w:r>
      <w:r w:rsidR="00A24F88" w:rsidRPr="00F56683">
        <w:rPr>
          <w:rFonts w:cstheme="minorHAnsi"/>
          <w:color w:val="000000" w:themeColor="text1"/>
        </w:rPr>
        <w:t>at</w:t>
      </w:r>
      <w:r w:rsidRPr="00F56683">
        <w:rPr>
          <w:rFonts w:cstheme="minorHAnsi"/>
          <w:color w:val="000000" w:themeColor="text1"/>
        </w:rPr>
        <w:t xml:space="preserve"> which</w:t>
      </w:r>
      <w:r w:rsidR="001F0052" w:rsidRPr="00F56683">
        <w:rPr>
          <w:rFonts w:cstheme="minorHAnsi"/>
          <w:color w:val="000000" w:themeColor="text1"/>
        </w:rPr>
        <w:t xml:space="preserve"> they</w:t>
      </w:r>
      <w:r w:rsidRPr="00F56683">
        <w:rPr>
          <w:rFonts w:cstheme="minorHAnsi"/>
          <w:color w:val="000000" w:themeColor="text1"/>
        </w:rPr>
        <w:t xml:space="preserve"> left full</w:t>
      </w:r>
      <w:r w:rsidR="00A24F88" w:rsidRPr="00F56683">
        <w:rPr>
          <w:rFonts w:cstheme="minorHAnsi"/>
          <w:color w:val="000000" w:themeColor="text1"/>
        </w:rPr>
        <w:t>-</w:t>
      </w:r>
      <w:r w:rsidRPr="00F56683">
        <w:rPr>
          <w:rFonts w:cstheme="minorHAnsi"/>
          <w:color w:val="000000" w:themeColor="text1"/>
        </w:rPr>
        <w:t xml:space="preserve">time education and education qualifications. Self-reported exercise habits were also reported, including </w:t>
      </w:r>
      <w:r w:rsidR="00A24F88" w:rsidRPr="00F56683">
        <w:rPr>
          <w:rFonts w:cstheme="minorHAnsi"/>
          <w:color w:val="000000" w:themeColor="text1"/>
        </w:rPr>
        <w:t xml:space="preserve">an </w:t>
      </w:r>
      <w:r w:rsidRPr="00F56683">
        <w:rPr>
          <w:rFonts w:cstheme="minorHAnsi"/>
          <w:color w:val="000000" w:themeColor="text1"/>
        </w:rPr>
        <w:t>approximate number of minutes purposefully engaging in exercise and a description of the exercise undertaken. Part 1 of the survey also included the amended protein screener questionnaire (SheffScreenerUK), as previously described in Tuttiett et al</w:t>
      </w:r>
      <w:r w:rsidR="00D30D52">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{"citationItems":[{"id":"ITEM-1","itemData":{"DOI":"10.1017/JNS.2022.96","ISSN":"2048-6790","abstract":"Adequate dietary protein intake is important in human subjects for maintaining muscle turnover, determining the protein content of tissues and thus the preservation of muscle mass and function as we age. A screening tool to assess if an older individual is likely to have a lower dietary protein intake (predicted probability of protein intake ≤1</w:instrText>
      </w:r>
      <w:r w:rsidR="00E86F8C">
        <w:rPr>
          <w:rFonts w:ascii="Cambria Math" w:hAnsi="Cambria Math" w:cs="Cambria Math"/>
          <w:color w:val="000000" w:themeColor="text1"/>
        </w:rPr>
        <w:instrText>⋅</w:instrText>
      </w:r>
      <w:r w:rsidR="00E86F8C">
        <w:rPr>
          <w:rFonts w:cstheme="minorHAnsi"/>
          <w:color w:val="000000" w:themeColor="text1"/>
        </w:rPr>
        <w:instrText>0 g/kg per d), has been developed for a Netherlands dietary profile, but this has not been validated in a UK population. This study aimed to adapt and then validate the protein screening tool for use in a UK population. Amendment of the tool was undertaken using data from UK BioBank and the UK National Diet and Nutrition Survey to reflect protein sources in the UK diet. Validation of the amended version of the protein screener screening tool was conducted using protein intake derived from a food frequency questionnaire (FFQ) in a sample of UK adults (n = 184) (age range 18–91 years) as the reference standard. Using the FFQ, 40 % of respondents (n = 74) reported a protein intake of ≤1</w:instrText>
      </w:r>
      <w:r w:rsidR="00E86F8C">
        <w:rPr>
          <w:rFonts w:ascii="Cambria Math" w:hAnsi="Cambria Math" w:cs="Cambria Math"/>
          <w:color w:val="000000" w:themeColor="text1"/>
        </w:rPr>
        <w:instrText>⋅</w:instrText>
      </w:r>
      <w:r w:rsidR="00E86F8C">
        <w:rPr>
          <w:rFonts w:cstheme="minorHAnsi"/>
          <w:color w:val="000000" w:themeColor="text1"/>
        </w:rPr>
        <w:instrText>0 g per kg body mass. The discriminative accuracy of the amended screener was tested using receiver operating characteristic (ROC) curves. The area under the curve for the ROC was 0</w:instrText>
      </w:r>
      <w:r w:rsidR="00E86F8C">
        <w:rPr>
          <w:rFonts w:ascii="Cambria Math" w:hAnsi="Cambria Math" w:cs="Cambria Math"/>
          <w:color w:val="000000" w:themeColor="text1"/>
        </w:rPr>
        <w:instrText>⋅</w:instrText>
      </w:r>
      <w:r w:rsidR="00E86F8C">
        <w:rPr>
          <w:rFonts w:cstheme="minorHAnsi"/>
          <w:color w:val="000000" w:themeColor="text1"/>
        </w:rPr>
        <w:instrText>731 (95 % CI 0</w:instrText>
      </w:r>
      <w:r w:rsidR="00E86F8C">
        <w:rPr>
          <w:rFonts w:ascii="Cambria Math" w:hAnsi="Cambria Math" w:cs="Cambria Math"/>
          <w:color w:val="000000" w:themeColor="text1"/>
        </w:rPr>
        <w:instrText>⋅</w:instrText>
      </w:r>
      <w:r w:rsidR="00E86F8C">
        <w:rPr>
          <w:rFonts w:cstheme="minorHAnsi"/>
          <w:color w:val="000000" w:themeColor="text1"/>
        </w:rPr>
        <w:instrText>657, 0</w:instrText>
      </w:r>
      <w:r w:rsidR="00E86F8C">
        <w:rPr>
          <w:rFonts w:ascii="Cambria Math" w:hAnsi="Cambria Math" w:cs="Cambria Math"/>
          <w:color w:val="000000" w:themeColor="text1"/>
        </w:rPr>
        <w:instrText>⋅</w:instrText>
      </w:r>
      <w:r w:rsidR="00E86F8C">
        <w:rPr>
          <w:rFonts w:cstheme="minorHAnsi"/>
          <w:color w:val="000000" w:themeColor="text1"/>
        </w:rPr>
        <w:instrText>805), indicating that the amended screener may be a valid tool to screen for individuals consuming ≤1</w:instrText>
      </w:r>
      <w:r w:rsidR="00E86F8C">
        <w:rPr>
          <w:rFonts w:ascii="Cambria Math" w:hAnsi="Cambria Math" w:cs="Cambria Math"/>
          <w:color w:val="000000" w:themeColor="text1"/>
        </w:rPr>
        <w:instrText>⋅</w:instrText>
      </w:r>
      <w:r w:rsidR="00E86F8C">
        <w:rPr>
          <w:rFonts w:cstheme="minorHAnsi"/>
          <w:color w:val="000000" w:themeColor="text1"/>
        </w:rPr>
        <w:instrText>0 g/kg adjusted BM/d in an adult UK population. This protein screener tool is a potential method to screen individuals with a likelihood of habitually consuming protein intakes of ≤1</w:instrText>
      </w:r>
      <w:r w:rsidR="00E86F8C">
        <w:rPr>
          <w:rFonts w:ascii="Cambria Math" w:hAnsi="Cambria Math" w:cs="Cambria Math"/>
          <w:color w:val="000000" w:themeColor="text1"/>
        </w:rPr>
        <w:instrText>⋅</w:instrText>
      </w:r>
      <w:r w:rsidR="00E86F8C">
        <w:rPr>
          <w:rFonts w:cstheme="minorHAnsi"/>
          <w:color w:val="000000" w:themeColor="text1"/>
        </w:rPr>
        <w:instrText>0 g/kg per d. Further validation is needed using a more robust dietary intake methodology and for specific groups, such as older adults. The screener may be applicable across healthcare, clinical and research applications.","author":[{"dropping-particle":"","family":"Tuttiett","given":"Esme R.","non-dropping-particle":"","parse-names":false,"suffix":""},{"dropping-particle":"","family":"Ioannou","given":"Elysa","non-dropping-particle":"","parse-names":false,"suffix":""},{"dropping-particle":"","family":"Wijnhoven","given":"Hanneke A.H.","non-dropping-particle":"","parse-names":false,"suffix":""},{"dropping-particle":"","family":"Corfe","given":"Bernard M.","non-dropping-particle":"","parse-names":false,"suffix":""},{"dropping-particle":"","family":"Williams","given":"Elizabeth A.","non-dropping-particle":"","parse-names":false,"suffix":""}],"container-title":"Journal of Nutritional Science","id":"ITEM-1","issued":{"date-parts":[["2022","11","10"]]},"page":"e100","publisher":"Cambridge University Press","title":"Adaptation and validation of a protein intake screening tool for a UK adult population","type":"article-journal","volume":"11"},"uris":["http://www.mendeley.com/documents/?uuid=4bfe53ae-fadc-3848-9ff7-d590a95deef3"]}],"mendeley":{"formattedCitation":"(194)","plainTextFormattedCitation":"(194)","previouslyFormattedCitation":"(194)"},"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(194)</w:t>
      </w:r>
      <w:r w:rsidRPr="00F56683">
        <w:rPr>
          <w:rFonts w:cstheme="minorHAnsi"/>
          <w:color w:val="000000" w:themeColor="text1"/>
        </w:rPr>
        <w:fldChar w:fldCharType="end"/>
      </w:r>
      <w:r w:rsidRPr="00F56683">
        <w:rPr>
          <w:rFonts w:cstheme="minorHAnsi"/>
          <w:color w:val="000000" w:themeColor="text1"/>
        </w:rPr>
        <w:t>.</w:t>
      </w:r>
    </w:p>
    <w:p w14:paraId="065E85F5" w14:textId="77777777" w:rsidR="001920B8" w:rsidRPr="00F56683" w:rsidRDefault="001920B8" w:rsidP="00F42CB9">
      <w:pPr>
        <w:spacing w:line="360" w:lineRule="auto"/>
        <w:rPr>
          <w:rFonts w:cstheme="minorHAnsi"/>
          <w:color w:val="000000" w:themeColor="text1"/>
        </w:rPr>
      </w:pPr>
    </w:p>
    <w:p w14:paraId="02F9E699" w14:textId="1D908B33" w:rsidR="00291A18" w:rsidRPr="00F56683" w:rsidRDefault="001920B8" w:rsidP="00F42CB9">
      <w:pPr>
        <w:spacing w:line="360" w:lineRule="auto"/>
        <w:rPr>
          <w:rFonts w:cstheme="minorHAnsi"/>
          <w:color w:val="000000" w:themeColor="text1"/>
        </w:rPr>
      </w:pPr>
      <w:r w:rsidRPr="00F56683">
        <w:rPr>
          <w:rFonts w:cstheme="minorHAnsi"/>
          <w:color w:val="000000" w:themeColor="text1"/>
        </w:rPr>
        <w:t xml:space="preserve">Part 2 required participants to complete a 24-hour food and drink recall. </w:t>
      </w:r>
      <w:r w:rsidR="002A6D43" w:rsidRPr="00F56683">
        <w:rPr>
          <w:rFonts w:cstheme="minorHAnsi"/>
          <w:color w:val="000000" w:themeColor="text1"/>
        </w:rPr>
        <w:t>Dietary intake data w</w:t>
      </w:r>
      <w:r w:rsidR="00CA14E7" w:rsidRPr="00F56683">
        <w:rPr>
          <w:rFonts w:cstheme="minorHAnsi"/>
          <w:color w:val="000000" w:themeColor="text1"/>
        </w:rPr>
        <w:t>as</w:t>
      </w:r>
      <w:r w:rsidR="002A6D43" w:rsidRPr="00F56683">
        <w:rPr>
          <w:rFonts w:cstheme="minorHAnsi"/>
          <w:color w:val="000000" w:themeColor="text1"/>
        </w:rPr>
        <w:t xml:space="preserve"> collected using Intake24.org (software Version 3, </w:t>
      </w:r>
      <w:r w:rsidR="0094614B" w:rsidRPr="00F56683">
        <w:rPr>
          <w:rFonts w:cstheme="minorHAnsi"/>
          <w:color w:val="000000" w:themeColor="text1"/>
        </w:rPr>
        <w:t>2021-2022</w:t>
      </w:r>
      <w:r w:rsidR="002A6D43" w:rsidRPr="00F56683">
        <w:rPr>
          <w:rFonts w:cstheme="minorHAnsi"/>
          <w:color w:val="000000" w:themeColor="text1"/>
        </w:rPr>
        <w:t>): an open</w:t>
      </w:r>
      <w:r w:rsidR="00A24F88" w:rsidRPr="00F56683">
        <w:rPr>
          <w:rFonts w:cstheme="minorHAnsi"/>
          <w:color w:val="000000" w:themeColor="text1"/>
        </w:rPr>
        <w:t>-</w:t>
      </w:r>
      <w:r w:rsidR="002A6D43" w:rsidRPr="00F56683">
        <w:rPr>
          <w:rFonts w:cstheme="minorHAnsi"/>
          <w:color w:val="000000" w:themeColor="text1"/>
        </w:rPr>
        <w:t xml:space="preserve">source dietary assessment research tool, freely available to researchers, maintained and developed by the Nutrition Measurement Platform, MRC Epidemiology Unit, University of Cambridge, in collaboration with Open Lab, Newcastle University. </w:t>
      </w:r>
      <w:r w:rsidRPr="00F56683">
        <w:rPr>
          <w:rFonts w:cstheme="minorHAnsi"/>
          <w:color w:val="000000" w:themeColor="text1"/>
        </w:rPr>
        <w:t xml:space="preserve">Participants were given their own personal, anonymised username and ID to access Intake24. Instructions and guidance were available to complete this, including a video tutorial provided by Intake24. </w:t>
      </w:r>
      <w:r w:rsidR="00291A18" w:rsidRPr="00F56683">
        <w:rPr>
          <w:rFonts w:cstheme="minorHAnsi"/>
          <w:color w:val="000000" w:themeColor="text1"/>
        </w:rPr>
        <w:t xml:space="preserve">Anyone unable to complete this online was instead able to do this with the researcher over a telephone call, who inputted their responses on their behalf to the </w:t>
      </w:r>
      <w:r w:rsidR="00A24F88" w:rsidRPr="00F56683">
        <w:rPr>
          <w:rFonts w:cstheme="minorHAnsi"/>
          <w:color w:val="000000" w:themeColor="text1"/>
        </w:rPr>
        <w:t>G</w:t>
      </w:r>
      <w:r w:rsidR="00291A18" w:rsidRPr="00F56683">
        <w:rPr>
          <w:rFonts w:cstheme="minorHAnsi"/>
          <w:color w:val="000000" w:themeColor="text1"/>
        </w:rPr>
        <w:t>oogle</w:t>
      </w:r>
      <w:r w:rsidR="00A24F88" w:rsidRPr="00F56683">
        <w:rPr>
          <w:rFonts w:cstheme="minorHAnsi"/>
          <w:color w:val="000000" w:themeColor="text1"/>
        </w:rPr>
        <w:t xml:space="preserve"> F</w:t>
      </w:r>
      <w:r w:rsidR="00291A18" w:rsidRPr="00F56683">
        <w:rPr>
          <w:rFonts w:cstheme="minorHAnsi"/>
          <w:color w:val="000000" w:themeColor="text1"/>
        </w:rPr>
        <w:t xml:space="preserve">orms and </w:t>
      </w:r>
      <w:r w:rsidR="00A24F88" w:rsidRPr="00F56683">
        <w:rPr>
          <w:rFonts w:cstheme="minorHAnsi"/>
          <w:color w:val="000000" w:themeColor="text1"/>
        </w:rPr>
        <w:t xml:space="preserve">Intake24 </w:t>
      </w:r>
      <w:r w:rsidR="00291A18" w:rsidRPr="00F56683">
        <w:rPr>
          <w:rFonts w:cstheme="minorHAnsi"/>
          <w:color w:val="000000" w:themeColor="text1"/>
        </w:rPr>
        <w:t xml:space="preserve">website. </w:t>
      </w:r>
    </w:p>
    <w:p w14:paraId="52C66B6B" w14:textId="77777777" w:rsidR="001920B8" w:rsidRPr="00F56683" w:rsidRDefault="001920B8" w:rsidP="00F42CB9">
      <w:pPr>
        <w:spacing w:line="360" w:lineRule="auto"/>
        <w:rPr>
          <w:rFonts w:cstheme="minorHAnsi"/>
          <w:color w:val="000000" w:themeColor="text1"/>
        </w:rPr>
      </w:pPr>
    </w:p>
    <w:p w14:paraId="2113CD40" w14:textId="03A9DDFE" w:rsidR="001920B8" w:rsidRPr="00F56683" w:rsidRDefault="001920B8" w:rsidP="00F42CB9">
      <w:pPr>
        <w:spacing w:line="360" w:lineRule="auto"/>
        <w:rPr>
          <w:rFonts w:cstheme="minorHAnsi"/>
          <w:color w:val="000000" w:themeColor="text1"/>
        </w:rPr>
      </w:pPr>
      <w:r w:rsidRPr="00F56683">
        <w:rPr>
          <w:rFonts w:cstheme="minorHAnsi"/>
          <w:color w:val="000000" w:themeColor="text1"/>
        </w:rPr>
        <w:t>Part 3 (appendix 3) was a questionnaire to gain information about protein knowledge and other factors which may influence protein intake.</w:t>
      </w:r>
    </w:p>
    <w:p w14:paraId="0FB5E0E0" w14:textId="77777777" w:rsidR="001920B8" w:rsidRPr="00F56683" w:rsidRDefault="001920B8" w:rsidP="00F42CB9">
      <w:pPr>
        <w:spacing w:line="360" w:lineRule="auto"/>
        <w:rPr>
          <w:rFonts w:cstheme="minorHAnsi"/>
          <w:color w:val="000000" w:themeColor="text1"/>
        </w:rPr>
      </w:pPr>
    </w:p>
    <w:p w14:paraId="4F80B5EF" w14:textId="7E56B236" w:rsidR="001920B8" w:rsidRPr="00F56683" w:rsidRDefault="001920B8" w:rsidP="00F42CB9">
      <w:pPr>
        <w:pStyle w:val="Heading3"/>
        <w:spacing w:line="360" w:lineRule="auto"/>
        <w:rPr>
          <w:rFonts w:asciiTheme="minorHAnsi" w:hAnsiTheme="minorHAnsi" w:cstheme="minorHAnsi"/>
          <w:color w:val="000000" w:themeColor="text1"/>
        </w:rPr>
      </w:pPr>
      <w:bookmarkStart w:id="97" w:name="_Toc135384284"/>
      <w:r w:rsidRPr="00F56683">
        <w:rPr>
          <w:rFonts w:asciiTheme="minorHAnsi" w:hAnsiTheme="minorHAnsi" w:cstheme="minorHAnsi"/>
          <w:color w:val="000000" w:themeColor="text1"/>
        </w:rPr>
        <w:t>3.4.2.1 Protein knowledge questionnaire content</w:t>
      </w:r>
      <w:bookmarkEnd w:id="97"/>
    </w:p>
    <w:p w14:paraId="17D07362" w14:textId="64DA2DA0" w:rsidR="001920B8" w:rsidRPr="00F56683" w:rsidRDefault="001920B8" w:rsidP="00F42CB9">
      <w:pPr>
        <w:spacing w:line="360" w:lineRule="auto"/>
        <w:rPr>
          <w:rFonts w:cstheme="minorHAnsi"/>
          <w:color w:val="000000" w:themeColor="text1"/>
        </w:rPr>
      </w:pPr>
      <w:r w:rsidRPr="00F56683">
        <w:rPr>
          <w:rFonts w:cstheme="minorHAnsi"/>
          <w:color w:val="000000" w:themeColor="text1"/>
        </w:rPr>
        <w:t>The protein knowledge questionnaire was designed by researchers (ET,</w:t>
      </w:r>
      <w:r w:rsidR="00A24F88" w:rsidRPr="00F56683">
        <w:rPr>
          <w:rFonts w:cstheme="minorHAnsi"/>
          <w:color w:val="000000" w:themeColor="text1"/>
        </w:rPr>
        <w:t xml:space="preserve"> </w:t>
      </w:r>
      <w:r w:rsidRPr="00F56683">
        <w:rPr>
          <w:rFonts w:cstheme="minorHAnsi"/>
          <w:color w:val="000000" w:themeColor="text1"/>
        </w:rPr>
        <w:t>EW,</w:t>
      </w:r>
      <w:r w:rsidR="00A24F88" w:rsidRPr="00F56683">
        <w:rPr>
          <w:rFonts w:cstheme="minorHAnsi"/>
          <w:color w:val="000000" w:themeColor="text1"/>
        </w:rPr>
        <w:t xml:space="preserve"> </w:t>
      </w:r>
      <w:r w:rsidRPr="00F56683">
        <w:rPr>
          <w:rFonts w:cstheme="minorHAnsi"/>
          <w:color w:val="000000" w:themeColor="text1"/>
        </w:rPr>
        <w:t>BC). A validated protein knowledge survey could not be identified so the questions were amalgamated from several sources. Questions 1, 2, 3, 4, 5, 6, 7</w:t>
      </w:r>
      <w:r w:rsidR="00A24F88" w:rsidRPr="00F56683">
        <w:rPr>
          <w:rFonts w:cstheme="minorHAnsi"/>
          <w:color w:val="000000" w:themeColor="text1"/>
        </w:rPr>
        <w:t xml:space="preserve"> and</w:t>
      </w:r>
      <w:r w:rsidRPr="00F56683">
        <w:rPr>
          <w:rFonts w:cstheme="minorHAnsi"/>
          <w:color w:val="000000" w:themeColor="text1"/>
        </w:rPr>
        <w:t xml:space="preserve"> 10 were taken from the revised and validated General Nutrition </w:t>
      </w:r>
      <w:r w:rsidR="00CA14E7" w:rsidRPr="00F56683">
        <w:rPr>
          <w:rFonts w:cstheme="minorHAnsi"/>
          <w:color w:val="000000" w:themeColor="text1"/>
        </w:rPr>
        <w:t>K</w:t>
      </w:r>
      <w:r w:rsidRPr="00F56683">
        <w:rPr>
          <w:rFonts w:cstheme="minorHAnsi"/>
          <w:color w:val="000000" w:themeColor="text1"/>
        </w:rPr>
        <w:t xml:space="preserve">nowledge </w:t>
      </w:r>
      <w:r w:rsidR="00CA14E7" w:rsidRPr="00F56683">
        <w:rPr>
          <w:rFonts w:cstheme="minorHAnsi"/>
          <w:color w:val="000000" w:themeColor="text1"/>
        </w:rPr>
        <w:t>Q</w:t>
      </w:r>
      <w:r w:rsidRPr="00F56683">
        <w:rPr>
          <w:rFonts w:cstheme="minorHAnsi"/>
          <w:color w:val="000000" w:themeColor="text1"/>
        </w:rPr>
        <w:t xml:space="preserve">uestionnaire (GNKQ-R)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{"citationItems":[{"id":"ITEM-1","itemData":{"DOI":"10.1038/SJ.EJCN.1600726","ISSN":"0954-3007","PMID":"10334656","abstract":"Objective: This paper describes the development of a reliable and valid questionnaire to provide a comprehensive measure of the nutritional knowledge of UK adults. The instrument will help to identify areas of weakness in people's understanding of healthy eating and will also provide useful data for examining the relationship between nutrition knowledge and dietary behaviour which, up until now, has been far from clear. Design: Items were generated paying particular attention to content validity. The initial version of the questionnaire was piloted and assessed on psychometric criteria. Items which did not reach acceptable validity were excluded, and the final 50 item version was administered to two groups differing in nutritional expertise on two occasions to assess the construct validity and test-retest reliability. Setting: The questionnaire was developed in 1994 in the UK. Subjects: Three hundred and ninety-one members of the general public, recruited via their places of work, completed the questionnaire at the piloting stage. The final version was administered to 168 dietetics and computer science students following a university lecture. Results: The internal consistency of each section was high (Cronbach's alpha = 0.70-0.97) and the test-retest reliability was also well above the minimum requirement of 0.7. Nutrition experts scored significantly better than computer experts [F(1167) = 200.5, P &lt; 0.001], suggesting good construct validity. Conclusions: The findings demonstrate that the instrument meets psychometric criteria for reliability and construct validity. It should provide a useful scale with which to reassess the relationship between knowledge and dietary behaviour. Sponsorship: The study was funded by a grant from the Biotechnology and Biological Sciences Research Council.","author":[{"dropping-particle":"","family":"Parmenter","given":"K.","non-dropping-particle":"","parse-names":false,"suffix":""},{"dropping-particle":"","family":"Wardle","given":"J.","non-dropping-particle":"","parse-names":false,"suffix":""}],"container-title":"European journal of clinical nutrition","id":"ITEM-1","issue":"4","issued":{"date-parts":[["1999"]]},"page":"298-308","publisher":"Eur J Clin Nutr","title":"Development of a general nutrition knowledge questionnaire for adults","type":"article-journal","volume":"53"},"uris":["http://www.mendeley.com/documents/?uuid=135f16c1-d54b-3fed-9a85-e54c494b2b58"]},{"id":"ITEM-2","itemData":{"DOI":"10.1038/EJCN.2016.87","ISSN":"14765640","PMID":"27245211","abstract":"Background/Objectives:The General Nutrition Knowledge Questionnaire (GNKQ) was developed in the 1990s and has been widely used. Since then advances in understanding of associations between diet and disease have led to changes in dietary recommendations. This study reports the validity and reliability of an updated version of the GNKQ, bringing it into line with current nutritional advice.Methods/Subjects:Following a review of current recommendations, the revised version of the GNKQ (GNKQ-R) was created, consisting of 88 items and four sections. Reliability and validity of the GNKQ-R were determined in four validation studies: (1) reliability was examined using an online sample (n=266), (2) construct validity was assessed with 96 Dietetics students and 89 english students using the 'known-groups' method, (3) associations between nutrition knowledge and socio-demographic characteristics were examined using the previously described samples and (4) sensitivity to change was tested by measuring GNKQ-R scores pre- and post-exposure to online nutrition information in written (n=65) and video (n=41) formats.Results:The reliability was &gt;0.7 in all sections. Dietetics students scored significantly higher than english students. As predicted, GNKQ-R scores were significantly higher among females vs males, people with a degree vs without, and people with very good vs poor or good health status. They were lower in those older than 50 years vs younger adults. GNKQ-R scores were significantly greater after the nutrition interventions in both written and video formats.Conclusions:The GNKQ-R is a valid measure of nutrition knowledge that is consistent, reliable and sensitive to change.","author":[{"dropping-particle":"","family":"Kliemann","given":"N.","non-dropping-particle":"","parse-names":false,"suffix":""},{"dropping-particle":"","family":"Wardle","given":"J.","non-dropping-particle":"","parse-names":false,"suffix":""},{"dropping-particle":"","family":"Johnson","given":"F.","non-dropping-particle":"","parse-names":false,"suffix":""},{"dropping-particle":"","family":"Croker","given":"H.","non-dropping-particle":"","parse-names":false,"suffix":""}],"container-title":"European Journal of Clinical Nutrition","id":"ITEM-2","issue":"10","issued":{"date-parts":[["2016","10","1"]]},"page":"1174","publisher":"Nature Publishing Group","title":"Reliability and validity of a revised version of the General Nutrition Knowledge Questionnaire","type":"article-journal","volume":"70"},"uris":["http://www.mendeley.com/documents/?uuid=016c1615-d949-31e5-9124-3bf4f1409de3"]}],"mendeley":{"formattedCitation":"(195,196)","plainTextFormattedCitation":"(195,196)","previouslyFormattedCitation":"(195,196)"},"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(195,196)</w:t>
      </w:r>
      <w:r w:rsidRPr="00F56683">
        <w:rPr>
          <w:rFonts w:cstheme="minorHAnsi"/>
          <w:color w:val="000000" w:themeColor="text1"/>
        </w:rPr>
        <w:fldChar w:fldCharType="end"/>
      </w:r>
      <w:r w:rsidRPr="00F56683">
        <w:rPr>
          <w:rFonts w:cstheme="minorHAnsi"/>
          <w:color w:val="000000" w:themeColor="text1"/>
        </w:rPr>
        <w:t xml:space="preserve">. Although this questionnaire covers all aspects of nutrition, it was deemed that these questions were protein-specific and therefore relevant to this research. </w:t>
      </w:r>
      <w:r w:rsidR="00CA14E7" w:rsidRPr="00F56683">
        <w:rPr>
          <w:rFonts w:cstheme="minorHAnsi"/>
          <w:color w:val="000000" w:themeColor="text1"/>
        </w:rPr>
        <w:t>Question 3</w:t>
      </w:r>
      <w:r w:rsidRPr="00F56683">
        <w:rPr>
          <w:rFonts w:cstheme="minorHAnsi"/>
          <w:color w:val="000000" w:themeColor="text1"/>
        </w:rPr>
        <w:t xml:space="preserve"> asked participants to identify if specified foods were a high or low source o</w:t>
      </w:r>
      <w:r w:rsidR="002818A1" w:rsidRPr="00F56683">
        <w:rPr>
          <w:rFonts w:cstheme="minorHAnsi"/>
          <w:color w:val="000000" w:themeColor="text1"/>
        </w:rPr>
        <w:t>f</w:t>
      </w:r>
      <w:r w:rsidRPr="00F56683">
        <w:rPr>
          <w:rFonts w:cstheme="minorHAnsi"/>
          <w:color w:val="000000" w:themeColor="text1"/>
        </w:rPr>
        <w:t xml:space="preserve"> protein. Question 8 was designed to explore the understanding of protein and health</w:t>
      </w:r>
      <w:r w:rsidR="00CA14E7" w:rsidRPr="00F56683">
        <w:rPr>
          <w:rFonts w:cstheme="minorHAnsi"/>
          <w:color w:val="000000" w:themeColor="text1"/>
        </w:rPr>
        <w:t>. This</w:t>
      </w:r>
      <w:r w:rsidRPr="00F56683">
        <w:rPr>
          <w:rFonts w:cstheme="minorHAnsi"/>
          <w:color w:val="000000" w:themeColor="text1"/>
        </w:rPr>
        <w:t xml:space="preserve"> w</w:t>
      </w:r>
      <w:r w:rsidR="002818A1" w:rsidRPr="00F56683">
        <w:rPr>
          <w:rFonts w:cstheme="minorHAnsi"/>
          <w:color w:val="000000" w:themeColor="text1"/>
        </w:rPr>
        <w:t>as</w:t>
      </w:r>
      <w:r w:rsidRPr="00F56683">
        <w:rPr>
          <w:rFonts w:cstheme="minorHAnsi"/>
          <w:color w:val="000000" w:themeColor="text1"/>
        </w:rPr>
        <w:t xml:space="preserve"> taken from a questionnaire used by Visser et al</w:t>
      </w:r>
      <w:r w:rsidR="002818A1" w:rsidRPr="00F56683">
        <w:rPr>
          <w:rFonts w:cstheme="minorHAnsi"/>
          <w:color w:val="000000" w:themeColor="text1"/>
        </w:rPr>
        <w:t>.</w:t>
      </w:r>
      <w:r w:rsidRPr="00F56683">
        <w:rPr>
          <w:rFonts w:cstheme="minorHAnsi"/>
          <w:color w:val="000000" w:themeColor="text1"/>
        </w:rPr>
        <w:t xml:space="preserve"> </w:t>
      </w:r>
      <w:r w:rsidRPr="00F56683">
        <w:rPr>
          <w:rFonts w:cstheme="minorHAnsi"/>
          <w:color w:val="000000" w:themeColor="text1"/>
        </w:rPr>
        <w:fldChar w:fldCharType="begin" w:fldLock="1"/>
      </w:r>
      <w:r w:rsidR="00E86F8C">
        <w:rPr>
          <w:rFonts w:cstheme="minorHAnsi"/>
          <w:color w:val="000000" w:themeColor="text1"/>
        </w:rPr>
        <w:instrText>ADDIN CSL_CITATION {"citationItems":[{"id":"ITEM-1","itemData":{"DOI":"10.3390/NU13031006","ISSN":"20726643","PMID":"33804787","abstract":"The aim was to investigate the protein knowledge of community-dwelling older adults. A survey was conducted among 1825 adults aged ≥65 years and living in Finland, Netherlands, Poland, Spain and United Kingdom in 2017. Protein knowledge was measured with nine objective knowledge statements provided only to participants who indicated to know what the nutrient \"protein\" is (64.7% of sample). Demographic, socioeconomic and health determinants of poor protein knowledge were investigated using multiple logistic regression analyses. The sample was 49.6% female and 87.0% reported no walking difficulties. Participants scored best on the true statement \"You need protein in the diet for repairing bones and muscles\" (89.3% correct), and worst on the false statement \"One meal per day with a good protein source is sufficient\" (25.4% correct). Median knowledge score was 5.0 (scale 0–9) and poor knowledge was present in 49.4% of the sample. Males (Odds Ratio 1.57), those unable to walk for 5 min (2.66), not always making their own food decision (1.36) and having lower income (1.44) were more likely to have poor knowledge. Large differences were observed across countries. In conclusion, poor protein knowledge is present in about half of community-dwelling older adults. Communication strategies should be tailored to target the identified risk groups with poor knowledge.","author":[{"dropping-particle":"","family":"Visser","given":"Marjolein","non-dropping-particle":"","parse-names":false,"suffix":""},{"dropping-particle":"","family":"Hung","given":"Yung","non-dropping-particle":"","parse-names":false,"suffix":""},{"dropping-particle":"","family":"Verbeke","given":"Wim","non-dropping-particle":"","parse-names":false,"suffix":""}],"container-title":"Nutrients","id":"ITEM-1","issue":"3","issued":{"date-parts":[["2021","3","1"]]},"page":"1-11","publisher":"MDPI AG","title":"Protein knowledge of older adults and identification of subgroups with poor knowledge","type":"article-journal","volume":"13"},"uris":["http://www.mendeley.com/documents/?uuid=ef9c0050-76b5-3ff8-aa6a-b5cbaa060221"]}],"mendeley":{"formattedCitation":"(197)","plainTextFormattedCitation":"(197)","previouslyFormattedCitation":"(197)"},"properties":{"noteIndex":0},"schema":"https://github.com/citation-style-language/schema/raw/master/csl-citation.json"}</w:instrText>
      </w:r>
      <w:r w:rsidRPr="00F56683">
        <w:rPr>
          <w:rFonts w:cstheme="minorHAnsi"/>
          <w:color w:val="000000" w:themeColor="text1"/>
        </w:rPr>
        <w:fldChar w:fldCharType="separate"/>
      </w:r>
      <w:r w:rsidR="00057AE3" w:rsidRPr="00057AE3">
        <w:rPr>
          <w:rFonts w:cstheme="minorHAnsi"/>
          <w:noProof/>
          <w:color w:val="000000" w:themeColor="text1"/>
        </w:rPr>
        <w:t>(197)</w:t>
      </w:r>
      <w:r w:rsidRPr="00F56683">
        <w:rPr>
          <w:rFonts w:cstheme="minorHAnsi"/>
          <w:color w:val="000000" w:themeColor="text1"/>
        </w:rPr>
        <w:fldChar w:fldCharType="end"/>
      </w:r>
      <w:r w:rsidR="00CA14E7" w:rsidRPr="00F56683">
        <w:rPr>
          <w:rFonts w:cstheme="minorHAnsi"/>
          <w:color w:val="000000" w:themeColor="text1"/>
        </w:rPr>
        <w:t xml:space="preserve"> who</w:t>
      </w:r>
      <w:r w:rsidRPr="00F56683">
        <w:rPr>
          <w:rFonts w:cstheme="minorHAnsi"/>
          <w:color w:val="000000" w:themeColor="text1"/>
        </w:rPr>
        <w:t xml:space="preserve"> examine</w:t>
      </w:r>
      <w:r w:rsidR="00CA14E7" w:rsidRPr="00F56683">
        <w:rPr>
          <w:rFonts w:cstheme="minorHAnsi"/>
          <w:color w:val="000000" w:themeColor="text1"/>
        </w:rPr>
        <w:t>d</w:t>
      </w:r>
      <w:r w:rsidRPr="00F56683">
        <w:rPr>
          <w:rFonts w:cstheme="minorHAnsi"/>
          <w:color w:val="000000" w:themeColor="text1"/>
        </w:rPr>
        <w:t xml:space="preserve"> the protein knowledge of older adults, from </w:t>
      </w:r>
      <w:r w:rsidR="002D4D67">
        <w:rPr>
          <w:rFonts w:cstheme="minorHAnsi"/>
          <w:color w:val="000000" w:themeColor="text1"/>
        </w:rPr>
        <w:t>five</w:t>
      </w:r>
      <w:r w:rsidRPr="00F56683">
        <w:rPr>
          <w:rFonts w:cstheme="minorHAnsi"/>
          <w:color w:val="000000" w:themeColor="text1"/>
        </w:rPr>
        <w:t xml:space="preserve"> </w:t>
      </w:r>
      <w:r w:rsidRPr="00F56683">
        <w:rPr>
          <w:rFonts w:cstheme="minorHAnsi"/>
          <w:color w:val="000000" w:themeColor="text1"/>
        </w:rPr>
        <w:lastRenderedPageBreak/>
        <w:t>European countries</w:t>
      </w:r>
      <w:r w:rsidR="00CA14E7" w:rsidRPr="00F56683">
        <w:rPr>
          <w:rFonts w:cstheme="minorHAnsi"/>
          <w:color w:val="000000" w:themeColor="text1"/>
        </w:rPr>
        <w:t>,</w:t>
      </w:r>
      <w:r w:rsidRPr="00F56683">
        <w:rPr>
          <w:rFonts w:cstheme="minorHAnsi"/>
          <w:color w:val="000000" w:themeColor="text1"/>
        </w:rPr>
        <w:t xml:space="preserve"> </w:t>
      </w:r>
      <w:r w:rsidR="00CA14E7" w:rsidRPr="00F56683">
        <w:rPr>
          <w:rFonts w:cstheme="minorHAnsi"/>
          <w:color w:val="000000" w:themeColor="text1"/>
        </w:rPr>
        <w:t>to try and</w:t>
      </w:r>
      <w:r w:rsidRPr="00F56683">
        <w:rPr>
          <w:rFonts w:cstheme="minorHAnsi"/>
          <w:color w:val="000000" w:themeColor="text1"/>
        </w:rPr>
        <w:t xml:space="preserve"> identify subgroups which may have poor protein knowledge. Lastly, two additional questions linking to dietary habits and strength-based training regularity were added by the research team to align with the research aims of the thesis.</w:t>
      </w:r>
    </w:p>
    <w:p w14:paraId="32E73D1C" w14:textId="4BC369AD" w:rsidR="001920B8" w:rsidRPr="00F56683" w:rsidRDefault="001920B8" w:rsidP="00F42CB9">
      <w:pPr>
        <w:pStyle w:val="NormalWeb"/>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Overall, to explore protein knowledge</w:t>
      </w:r>
      <w:r w:rsidR="002818A1" w:rsidRPr="00F56683">
        <w:rPr>
          <w:rFonts w:asciiTheme="minorHAnsi" w:hAnsiTheme="minorHAnsi" w:cstheme="minorHAnsi"/>
          <w:color w:val="000000" w:themeColor="text1"/>
        </w:rPr>
        <w:t>,</w:t>
      </w:r>
      <w:r w:rsidRPr="00F56683">
        <w:rPr>
          <w:rFonts w:asciiTheme="minorHAnsi" w:hAnsiTheme="minorHAnsi" w:cstheme="minorHAnsi"/>
          <w:color w:val="000000" w:themeColor="text1"/>
        </w:rPr>
        <w:t xml:space="preserve"> the following </w:t>
      </w:r>
      <w:r w:rsidR="00D97AEB" w:rsidRPr="00F56683">
        <w:rPr>
          <w:rFonts w:asciiTheme="minorHAnsi" w:hAnsiTheme="minorHAnsi" w:cstheme="minorHAnsi"/>
          <w:color w:val="000000" w:themeColor="text1"/>
        </w:rPr>
        <w:t>questions were asked</w:t>
      </w:r>
      <w:r w:rsidRPr="00F56683">
        <w:rPr>
          <w:rFonts w:asciiTheme="minorHAnsi" w:hAnsiTheme="minorHAnsi" w:cstheme="minorHAnsi"/>
          <w:color w:val="000000" w:themeColor="text1"/>
        </w:rPr>
        <w:t xml:space="preserve">: </w:t>
      </w:r>
    </w:p>
    <w:p w14:paraId="6C203216" w14:textId="62375D17" w:rsidR="001920B8" w:rsidRPr="00F56683" w:rsidRDefault="001920B8" w:rsidP="00F42CB9">
      <w:pPr>
        <w:pStyle w:val="NormalWeb"/>
        <w:numPr>
          <w:ilvl w:val="0"/>
          <w:numId w:val="4"/>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Serving size for meat (based on guidelines for the British Nutrition </w:t>
      </w:r>
      <w:r w:rsidR="00D97AEB" w:rsidRPr="00F56683">
        <w:rPr>
          <w:rFonts w:asciiTheme="minorHAnsi" w:hAnsiTheme="minorHAnsi" w:cstheme="minorHAnsi"/>
          <w:color w:val="000000" w:themeColor="text1"/>
        </w:rPr>
        <w:t>F</w:t>
      </w:r>
      <w:r w:rsidRPr="00F56683">
        <w:rPr>
          <w:rFonts w:asciiTheme="minorHAnsi" w:hAnsiTheme="minorHAnsi" w:cstheme="minorHAnsi"/>
          <w:color w:val="000000" w:themeColor="text1"/>
        </w:rPr>
        <w:t>oundation, BNF, 2012) and eggs (British Heart Foundation)</w:t>
      </w:r>
      <w:r w:rsidR="00CA14E7" w:rsidRPr="00F56683">
        <w:rPr>
          <w:rFonts w:asciiTheme="minorHAnsi" w:hAnsiTheme="minorHAnsi" w:cstheme="minorHAnsi"/>
          <w:color w:val="000000" w:themeColor="text1"/>
        </w:rPr>
        <w:t>.</w:t>
      </w:r>
    </w:p>
    <w:p w14:paraId="2A2E6ACF" w14:textId="0CC55BE1" w:rsidR="001920B8" w:rsidRPr="00F56683" w:rsidRDefault="001920B8" w:rsidP="00F42CB9">
      <w:pPr>
        <w:pStyle w:val="NormalWeb"/>
        <w:numPr>
          <w:ilvl w:val="0"/>
          <w:numId w:val="4"/>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Whether food items were classed as high or low for protein content. </w:t>
      </w:r>
    </w:p>
    <w:p w14:paraId="51C44191" w14:textId="01BD9CDC" w:rsidR="001920B8" w:rsidRPr="00F56683" w:rsidRDefault="001920B8" w:rsidP="00F42CB9">
      <w:pPr>
        <w:pStyle w:val="NormalWeb"/>
        <w:numPr>
          <w:ilvl w:val="0"/>
          <w:numId w:val="4"/>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The link between </w:t>
      </w:r>
      <w:r w:rsidR="00CA14E7" w:rsidRPr="00F56683">
        <w:rPr>
          <w:rFonts w:asciiTheme="minorHAnsi" w:hAnsiTheme="minorHAnsi" w:cstheme="minorHAnsi"/>
          <w:color w:val="000000" w:themeColor="text1"/>
        </w:rPr>
        <w:t xml:space="preserve">the </w:t>
      </w:r>
      <w:r w:rsidRPr="00F56683">
        <w:rPr>
          <w:rFonts w:asciiTheme="minorHAnsi" w:hAnsiTheme="minorHAnsi" w:cstheme="minorHAnsi"/>
          <w:color w:val="000000" w:themeColor="text1"/>
        </w:rPr>
        <w:t xml:space="preserve">lack of protein and sarcopenia. </w:t>
      </w:r>
    </w:p>
    <w:p w14:paraId="7114449E" w14:textId="77777777" w:rsidR="001920B8" w:rsidRPr="00F56683" w:rsidRDefault="001920B8" w:rsidP="00F42CB9">
      <w:pPr>
        <w:pStyle w:val="NormalWeb"/>
        <w:numPr>
          <w:ilvl w:val="0"/>
          <w:numId w:val="4"/>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The current protein RNI for UK adults. </w:t>
      </w:r>
    </w:p>
    <w:p w14:paraId="319965A6" w14:textId="67C98CC3" w:rsidR="001920B8" w:rsidRPr="00F56683" w:rsidRDefault="001920B8" w:rsidP="00F42CB9">
      <w:pPr>
        <w:pStyle w:val="NormalWeb"/>
        <w:numPr>
          <w:ilvl w:val="0"/>
          <w:numId w:val="4"/>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How many times a day protein</w:t>
      </w:r>
      <w:r w:rsidR="00CA14E7" w:rsidRPr="00F56683">
        <w:rPr>
          <w:rFonts w:asciiTheme="minorHAnsi" w:hAnsiTheme="minorHAnsi" w:cstheme="minorHAnsi"/>
          <w:color w:val="000000" w:themeColor="text1"/>
        </w:rPr>
        <w:t xml:space="preserve"> should</w:t>
      </w:r>
      <w:r w:rsidRPr="00F56683">
        <w:rPr>
          <w:rFonts w:asciiTheme="minorHAnsi" w:hAnsiTheme="minorHAnsi" w:cstheme="minorHAnsi"/>
          <w:color w:val="000000" w:themeColor="text1"/>
        </w:rPr>
        <w:t xml:space="preserve"> be consumed. </w:t>
      </w:r>
    </w:p>
    <w:p w14:paraId="64DD5BB5" w14:textId="77777777" w:rsidR="001920B8" w:rsidRPr="00F56683" w:rsidRDefault="001920B8" w:rsidP="00F42CB9">
      <w:pPr>
        <w:pStyle w:val="NormalWeb"/>
        <w:numPr>
          <w:ilvl w:val="0"/>
          <w:numId w:val="4"/>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Health statements relating to protein consumption.</w:t>
      </w:r>
    </w:p>
    <w:p w14:paraId="1B1416C2" w14:textId="593FC99E" w:rsidR="001920B8" w:rsidRPr="00F56683" w:rsidRDefault="001920B8" w:rsidP="00F42CB9">
      <w:pPr>
        <w:pStyle w:val="NormalWeb"/>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The next set of questions </w:t>
      </w:r>
      <w:r w:rsidR="00D97AEB" w:rsidRPr="00F56683">
        <w:rPr>
          <w:rFonts w:asciiTheme="minorHAnsi" w:hAnsiTheme="minorHAnsi" w:cstheme="minorHAnsi"/>
          <w:color w:val="000000" w:themeColor="text1"/>
        </w:rPr>
        <w:t>investigated</w:t>
      </w:r>
      <w:r w:rsidRPr="00F56683">
        <w:rPr>
          <w:rFonts w:asciiTheme="minorHAnsi" w:hAnsiTheme="minorHAnsi" w:cstheme="minorHAnsi"/>
          <w:color w:val="000000" w:themeColor="text1"/>
        </w:rPr>
        <w:t xml:space="preserve"> dietary and lifestyle habits, including opinio</w:t>
      </w:r>
      <w:r w:rsidR="002818A1" w:rsidRPr="00F56683">
        <w:rPr>
          <w:rFonts w:asciiTheme="minorHAnsi" w:hAnsiTheme="minorHAnsi" w:cstheme="minorHAnsi"/>
          <w:color w:val="000000" w:themeColor="text1"/>
        </w:rPr>
        <w:t>ns on</w:t>
      </w:r>
      <w:r w:rsidRPr="00F56683">
        <w:rPr>
          <w:rFonts w:asciiTheme="minorHAnsi" w:hAnsiTheme="minorHAnsi" w:cstheme="minorHAnsi"/>
          <w:color w:val="000000" w:themeColor="text1"/>
        </w:rPr>
        <w:t xml:space="preserve"> personal protein intake: </w:t>
      </w:r>
    </w:p>
    <w:p w14:paraId="6CB9C872" w14:textId="77777777" w:rsidR="001920B8" w:rsidRPr="00F56683" w:rsidRDefault="001920B8" w:rsidP="00F42CB9">
      <w:pPr>
        <w:pStyle w:val="NormalWeb"/>
        <w:numPr>
          <w:ilvl w:val="0"/>
          <w:numId w:val="5"/>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 xml:space="preserve">Do you think you consume enough protein? </w:t>
      </w:r>
    </w:p>
    <w:p w14:paraId="2E4BB18E" w14:textId="77777777" w:rsidR="001920B8" w:rsidRPr="00F56683" w:rsidRDefault="001920B8" w:rsidP="00F42CB9">
      <w:pPr>
        <w:pStyle w:val="NormalWeb"/>
        <w:numPr>
          <w:ilvl w:val="0"/>
          <w:numId w:val="5"/>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How would you describe your dietary habits?</w:t>
      </w:r>
    </w:p>
    <w:p w14:paraId="28E75D0B" w14:textId="77777777" w:rsidR="001920B8" w:rsidRPr="00F56683" w:rsidRDefault="001920B8" w:rsidP="00F42CB9">
      <w:pPr>
        <w:pStyle w:val="NormalWeb"/>
        <w:numPr>
          <w:ilvl w:val="0"/>
          <w:numId w:val="5"/>
        </w:numPr>
        <w:spacing w:line="360" w:lineRule="auto"/>
        <w:rPr>
          <w:rFonts w:asciiTheme="minorHAnsi" w:hAnsiTheme="minorHAnsi" w:cstheme="minorHAnsi"/>
          <w:color w:val="000000" w:themeColor="text1"/>
        </w:rPr>
      </w:pPr>
      <w:r w:rsidRPr="00F56683">
        <w:rPr>
          <w:rFonts w:asciiTheme="minorHAnsi" w:hAnsiTheme="minorHAnsi" w:cstheme="minorHAnsi"/>
          <w:color w:val="000000" w:themeColor="text1"/>
        </w:rPr>
        <w:t>How frequently do you purposely engage in strength-based resistance training during your free time?</w:t>
      </w:r>
    </w:p>
    <w:p w14:paraId="4EE93B46" w14:textId="27FA2251" w:rsidR="001920B8" w:rsidRPr="00F56683" w:rsidRDefault="001920B8" w:rsidP="00F42CB9">
      <w:pPr>
        <w:pStyle w:val="Heading3"/>
        <w:spacing w:line="360" w:lineRule="auto"/>
        <w:rPr>
          <w:rFonts w:asciiTheme="minorHAnsi" w:hAnsiTheme="minorHAnsi" w:cstheme="minorHAnsi"/>
          <w:color w:val="000000" w:themeColor="text1"/>
        </w:rPr>
      </w:pPr>
      <w:bookmarkStart w:id="98" w:name="_Toc135384285"/>
      <w:r w:rsidRPr="00F56683">
        <w:rPr>
          <w:rFonts w:asciiTheme="minorHAnsi" w:hAnsiTheme="minorHAnsi" w:cstheme="minorHAnsi"/>
          <w:color w:val="000000" w:themeColor="text1"/>
        </w:rPr>
        <w:t>3.4.3 Pilot study (n=10)</w:t>
      </w:r>
      <w:bookmarkEnd w:id="98"/>
    </w:p>
    <w:p w14:paraId="5C587E42" w14:textId="053DAD91" w:rsidR="001920B8" w:rsidRPr="00F56683" w:rsidRDefault="001920B8" w:rsidP="00F42CB9">
      <w:pPr>
        <w:spacing w:line="360" w:lineRule="auto"/>
        <w:rPr>
          <w:rFonts w:cstheme="minorHAnsi"/>
          <w:color w:val="000000" w:themeColor="text1"/>
        </w:rPr>
      </w:pPr>
      <w:r w:rsidRPr="00F56683">
        <w:rPr>
          <w:rFonts w:cstheme="minorHAnsi"/>
          <w:color w:val="000000" w:themeColor="text1"/>
        </w:rPr>
        <w:t>A pilot study was conducted with a small group of participants</w:t>
      </w:r>
      <w:r w:rsidR="00D97AEB" w:rsidRPr="00F56683">
        <w:rPr>
          <w:rFonts w:cstheme="minorHAnsi"/>
          <w:color w:val="000000" w:themeColor="text1"/>
        </w:rPr>
        <w:t xml:space="preserve"> (age range 24-50 years)</w:t>
      </w:r>
      <w:r w:rsidRPr="00F56683">
        <w:rPr>
          <w:rFonts w:cstheme="minorHAnsi"/>
          <w:color w:val="000000" w:themeColor="text1"/>
        </w:rPr>
        <w:t xml:space="preserve"> to try and identify and resolve any issues with the surveys and streamline the workflow of the data collection before a larger scale recruitment effort was undertaken. </w:t>
      </w:r>
      <w:r w:rsidRPr="00F56683">
        <w:rPr>
          <w:rFonts w:cstheme="minorHAnsi"/>
          <w:color w:val="000000" w:themeColor="text1"/>
        </w:rPr>
        <w:fldChar w:fldCharType="begin"/>
      </w:r>
      <w:r w:rsidRPr="00F56683">
        <w:rPr>
          <w:rFonts w:cstheme="minorHAnsi"/>
          <w:color w:val="000000" w:themeColor="text1"/>
        </w:rPr>
        <w:instrText xml:space="preserve"> REF _Ref121234719 \h  \* MERGEFORMAT </w:instrText>
      </w:r>
      <w:r w:rsidRPr="00F56683">
        <w:rPr>
          <w:rFonts w:cstheme="minorHAnsi"/>
          <w:color w:val="000000" w:themeColor="text1"/>
        </w:rPr>
      </w:r>
      <w:r w:rsidRPr="00F56683">
        <w:rPr>
          <w:rFonts w:cstheme="minorHAnsi"/>
          <w:color w:val="000000" w:themeColor="text1"/>
        </w:rPr>
        <w:fldChar w:fldCharType="separate"/>
      </w:r>
      <w:r w:rsidRPr="00F56683">
        <w:rPr>
          <w:rFonts w:cstheme="minorHAnsi"/>
          <w:color w:val="000000" w:themeColor="text1"/>
        </w:rPr>
        <w:t xml:space="preserve">Table </w:t>
      </w:r>
      <w:r w:rsidRPr="00F56683">
        <w:rPr>
          <w:rFonts w:cstheme="minorHAnsi"/>
          <w:noProof/>
          <w:color w:val="000000" w:themeColor="text1"/>
        </w:rPr>
        <w:t>4</w:t>
      </w:r>
      <w:r w:rsidRPr="00F56683">
        <w:rPr>
          <w:rFonts w:cstheme="minorHAnsi"/>
          <w:color w:val="000000" w:themeColor="text1"/>
        </w:rPr>
        <w:fldChar w:fldCharType="end"/>
      </w:r>
      <w:r w:rsidRPr="00F56683">
        <w:rPr>
          <w:rFonts w:cstheme="minorHAnsi"/>
          <w:color w:val="000000" w:themeColor="text1"/>
        </w:rPr>
        <w:t xml:space="preserve"> describes the issues identified and action</w:t>
      </w:r>
      <w:r w:rsidR="002818A1" w:rsidRPr="00F56683">
        <w:rPr>
          <w:rFonts w:cstheme="minorHAnsi"/>
          <w:color w:val="000000" w:themeColor="text1"/>
        </w:rPr>
        <w:t>s</w:t>
      </w:r>
      <w:r w:rsidRPr="00F56683">
        <w:rPr>
          <w:rFonts w:cstheme="minorHAnsi"/>
          <w:color w:val="000000" w:themeColor="text1"/>
        </w:rPr>
        <w:t xml:space="preserve"> taken in response to these.</w:t>
      </w:r>
    </w:p>
    <w:p w14:paraId="078F05A7" w14:textId="406A06A1" w:rsidR="004F4AF8" w:rsidRPr="00F56683" w:rsidRDefault="004F4AF8" w:rsidP="00F42CB9">
      <w:pPr>
        <w:spacing w:line="360" w:lineRule="auto"/>
        <w:rPr>
          <w:rFonts w:cstheme="minorHAnsi"/>
          <w:color w:val="000000" w:themeColor="text1"/>
        </w:rPr>
      </w:pPr>
    </w:p>
    <w:p w14:paraId="47736FBA" w14:textId="77777777" w:rsidR="001920B8" w:rsidRPr="00F56683" w:rsidRDefault="001920B8" w:rsidP="00F42CB9">
      <w:pPr>
        <w:spacing w:line="360" w:lineRule="auto"/>
        <w:ind w:firstLine="720"/>
        <w:rPr>
          <w:rFonts w:cstheme="minorHAnsi"/>
          <w:color w:val="000000" w:themeColor="text1"/>
        </w:rPr>
        <w:sectPr w:rsidR="001920B8" w:rsidRPr="00F56683" w:rsidSect="00EF1855">
          <w:pgSz w:w="11900" w:h="16840"/>
          <w:pgMar w:top="1440" w:right="1440" w:bottom="1440" w:left="1440" w:header="708" w:footer="708" w:gutter="0"/>
          <w:cols w:space="708"/>
          <w:docGrid w:linePitch="360"/>
        </w:sectPr>
      </w:pPr>
    </w:p>
    <w:p w14:paraId="2E27F216" w14:textId="3B031297" w:rsidR="00DA059D" w:rsidRPr="00CA4ABC" w:rsidRDefault="004F4AF8" w:rsidP="00F42CB9">
      <w:pPr>
        <w:spacing w:line="360" w:lineRule="auto"/>
        <w:rPr>
          <w:rFonts w:cstheme="minorHAnsi"/>
          <w:color w:val="000000" w:themeColor="text1"/>
        </w:rPr>
      </w:pPr>
      <w:r w:rsidRPr="00CA4ABC">
        <w:rPr>
          <w:rFonts w:cstheme="minorHAnsi"/>
          <w:color w:val="000000" w:themeColor="text1"/>
        </w:rPr>
        <w:lastRenderedPageBreak/>
        <w:fldChar w:fldCharType="end"/>
      </w:r>
    </w:p>
    <w:tbl>
      <w:tblPr>
        <w:tblStyle w:val="TableGrid"/>
        <w:tblpPr w:leftFromText="180" w:rightFromText="180" w:vertAnchor="text" w:horzAnchor="margin" w:tblpX="-856" w:tblpY="-383"/>
        <w:tblW w:w="15762" w:type="dxa"/>
        <w:tblLook w:val="04A0" w:firstRow="1" w:lastRow="0" w:firstColumn="1" w:lastColumn="0" w:noHBand="0" w:noVBand="1"/>
      </w:tblPr>
      <w:tblGrid>
        <w:gridCol w:w="5145"/>
        <w:gridCol w:w="10617"/>
      </w:tblGrid>
      <w:tr w:rsidR="00DA059D" w:rsidRPr="00CA4ABC" w14:paraId="33B63D57" w14:textId="77777777" w:rsidTr="00365825">
        <w:trPr>
          <w:trHeight w:val="388"/>
        </w:trPr>
        <w:tc>
          <w:tcPr>
            <w:tcW w:w="5145" w:type="dxa"/>
          </w:tcPr>
          <w:p w14:paraId="4D7EFD2C" w14:textId="77777777" w:rsidR="00DA059D" w:rsidRPr="00CA4ABC" w:rsidRDefault="00DA059D" w:rsidP="00F42CB9">
            <w:pPr>
              <w:rPr>
                <w:rFonts w:cstheme="minorHAnsi"/>
                <w:b/>
                <w:bCs/>
                <w:color w:val="000000" w:themeColor="text1"/>
                <w:sz w:val="20"/>
                <w:szCs w:val="20"/>
              </w:rPr>
            </w:pPr>
            <w:r w:rsidRPr="00CA4ABC">
              <w:rPr>
                <w:rFonts w:cstheme="minorHAnsi"/>
                <w:b/>
                <w:bCs/>
                <w:color w:val="000000" w:themeColor="text1"/>
                <w:sz w:val="20"/>
                <w:szCs w:val="20"/>
              </w:rPr>
              <w:t>Issues identified</w:t>
            </w:r>
          </w:p>
        </w:tc>
        <w:tc>
          <w:tcPr>
            <w:tcW w:w="10617" w:type="dxa"/>
          </w:tcPr>
          <w:p w14:paraId="1BC37041" w14:textId="77777777" w:rsidR="00DA059D" w:rsidRPr="00CA4ABC" w:rsidRDefault="00DA059D" w:rsidP="00F42CB9">
            <w:pPr>
              <w:rPr>
                <w:rFonts w:cstheme="minorHAnsi"/>
                <w:b/>
                <w:bCs/>
                <w:color w:val="000000" w:themeColor="text1"/>
                <w:sz w:val="20"/>
                <w:szCs w:val="20"/>
              </w:rPr>
            </w:pPr>
            <w:r w:rsidRPr="00CA4ABC">
              <w:rPr>
                <w:rFonts w:cstheme="minorHAnsi"/>
                <w:b/>
                <w:bCs/>
                <w:color w:val="000000" w:themeColor="text1"/>
                <w:sz w:val="20"/>
                <w:szCs w:val="20"/>
              </w:rPr>
              <w:t>Amendment or solution</w:t>
            </w:r>
          </w:p>
        </w:tc>
      </w:tr>
      <w:tr w:rsidR="00DA059D" w:rsidRPr="00CA4ABC" w14:paraId="57ECF5A4" w14:textId="77777777" w:rsidTr="00365825">
        <w:trPr>
          <w:trHeight w:val="1452"/>
        </w:trPr>
        <w:tc>
          <w:tcPr>
            <w:tcW w:w="5145" w:type="dxa"/>
          </w:tcPr>
          <w:p w14:paraId="715BF045" w14:textId="56ADBEC9"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Initially</w:t>
            </w:r>
            <w:r w:rsidR="00CA14E7" w:rsidRPr="00CA4ABC">
              <w:rPr>
                <w:rFonts w:cstheme="minorHAnsi"/>
                <w:color w:val="000000" w:themeColor="text1"/>
                <w:sz w:val="20"/>
                <w:szCs w:val="20"/>
              </w:rPr>
              <w:t>,</w:t>
            </w:r>
            <w:r w:rsidRPr="00CA4ABC">
              <w:rPr>
                <w:rFonts w:cstheme="minorHAnsi"/>
                <w:color w:val="000000" w:themeColor="text1"/>
                <w:sz w:val="20"/>
                <w:szCs w:val="20"/>
              </w:rPr>
              <w:t xml:space="preserve"> the survey was set up to ensure people only responded once</w:t>
            </w:r>
            <w:r w:rsidR="00736930">
              <w:rPr>
                <w:rFonts w:cstheme="minorHAnsi"/>
                <w:color w:val="000000" w:themeColor="text1"/>
                <w:sz w:val="20"/>
                <w:szCs w:val="20"/>
              </w:rPr>
              <w:t>. This</w:t>
            </w:r>
            <w:r w:rsidRPr="00CA4ABC">
              <w:rPr>
                <w:rFonts w:cstheme="minorHAnsi"/>
                <w:color w:val="000000" w:themeColor="text1"/>
                <w:sz w:val="20"/>
                <w:szCs w:val="20"/>
              </w:rPr>
              <w:t xml:space="preserve"> meant that potential responders needed to sign into a Google account. This was recognised as a barrier to participation.</w:t>
            </w:r>
          </w:p>
        </w:tc>
        <w:tc>
          <w:tcPr>
            <w:tcW w:w="10617" w:type="dxa"/>
          </w:tcPr>
          <w:p w14:paraId="6F1D73B6" w14:textId="03258BFF" w:rsidR="00DA059D" w:rsidRPr="00CA4ABC" w:rsidRDefault="00CA14E7" w:rsidP="00F42CB9">
            <w:pPr>
              <w:rPr>
                <w:rFonts w:cstheme="minorHAnsi"/>
                <w:color w:val="000000" w:themeColor="text1"/>
                <w:sz w:val="20"/>
                <w:szCs w:val="20"/>
              </w:rPr>
            </w:pPr>
            <w:r w:rsidRPr="00CA4ABC">
              <w:rPr>
                <w:rFonts w:cstheme="minorHAnsi"/>
                <w:color w:val="000000" w:themeColor="text1"/>
                <w:sz w:val="20"/>
                <w:szCs w:val="20"/>
              </w:rPr>
              <w:t>The</w:t>
            </w:r>
            <w:r w:rsidR="00DA059D" w:rsidRPr="00CA4ABC">
              <w:rPr>
                <w:rFonts w:cstheme="minorHAnsi"/>
                <w:color w:val="000000" w:themeColor="text1"/>
                <w:sz w:val="20"/>
                <w:szCs w:val="20"/>
              </w:rPr>
              <w:t xml:space="preserve"> </w:t>
            </w:r>
            <w:r w:rsidRPr="00CA4ABC">
              <w:rPr>
                <w:rFonts w:cstheme="minorHAnsi"/>
                <w:color w:val="000000" w:themeColor="text1"/>
                <w:sz w:val="20"/>
                <w:szCs w:val="20"/>
              </w:rPr>
              <w:t>one</w:t>
            </w:r>
            <w:r w:rsidR="00DA059D" w:rsidRPr="00CA4ABC">
              <w:rPr>
                <w:rFonts w:cstheme="minorHAnsi"/>
                <w:color w:val="000000" w:themeColor="text1"/>
                <w:sz w:val="20"/>
                <w:szCs w:val="20"/>
              </w:rPr>
              <w:t xml:space="preserve"> response option</w:t>
            </w:r>
            <w:r w:rsidRPr="00CA4ABC">
              <w:rPr>
                <w:rFonts w:cstheme="minorHAnsi"/>
                <w:color w:val="000000" w:themeColor="text1"/>
                <w:sz w:val="20"/>
                <w:szCs w:val="20"/>
              </w:rPr>
              <w:t xml:space="preserve"> was removed</w:t>
            </w:r>
            <w:r w:rsidR="00DA059D" w:rsidRPr="00CA4ABC">
              <w:rPr>
                <w:rFonts w:cstheme="minorHAnsi"/>
                <w:color w:val="000000" w:themeColor="text1"/>
                <w:sz w:val="20"/>
                <w:szCs w:val="20"/>
              </w:rPr>
              <w:t xml:space="preserve"> but the requirement to input emails</w:t>
            </w:r>
            <w:r w:rsidRPr="00CA4ABC">
              <w:rPr>
                <w:rFonts w:cstheme="minorHAnsi"/>
                <w:color w:val="000000" w:themeColor="text1"/>
                <w:sz w:val="20"/>
                <w:szCs w:val="20"/>
              </w:rPr>
              <w:t xml:space="preserve"> remained in place</w:t>
            </w:r>
            <w:r w:rsidR="00DA059D" w:rsidRPr="00CA4ABC">
              <w:rPr>
                <w:rFonts w:cstheme="minorHAnsi"/>
                <w:color w:val="000000" w:themeColor="text1"/>
                <w:sz w:val="20"/>
                <w:szCs w:val="20"/>
              </w:rPr>
              <w:t xml:space="preserve">. This was then monitored and any responses from repeated accounts were deleted. </w:t>
            </w:r>
          </w:p>
        </w:tc>
      </w:tr>
      <w:tr w:rsidR="00DA059D" w:rsidRPr="00CA4ABC" w14:paraId="6EDFF804" w14:textId="77777777" w:rsidTr="00365825">
        <w:trPr>
          <w:trHeight w:val="1067"/>
        </w:trPr>
        <w:tc>
          <w:tcPr>
            <w:tcW w:w="5145" w:type="dxa"/>
          </w:tcPr>
          <w:p w14:paraId="38987D67" w14:textId="16CD6EFC"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The use of Google</w:t>
            </w:r>
            <w:r w:rsidR="00BC0492" w:rsidRPr="00CA4ABC">
              <w:rPr>
                <w:rFonts w:cstheme="minorHAnsi"/>
                <w:color w:val="000000" w:themeColor="text1"/>
                <w:sz w:val="20"/>
                <w:szCs w:val="20"/>
              </w:rPr>
              <w:t xml:space="preserve"> F</w:t>
            </w:r>
            <w:r w:rsidRPr="00CA4ABC">
              <w:rPr>
                <w:rFonts w:cstheme="minorHAnsi"/>
                <w:color w:val="000000" w:themeColor="text1"/>
                <w:sz w:val="20"/>
                <w:szCs w:val="20"/>
              </w:rPr>
              <w:t>orms</w:t>
            </w:r>
          </w:p>
        </w:tc>
        <w:tc>
          <w:tcPr>
            <w:tcW w:w="10617" w:type="dxa"/>
          </w:tcPr>
          <w:p w14:paraId="4D0FB6AD" w14:textId="0A6F9392" w:rsidR="00DA059D" w:rsidRPr="00CA4ABC" w:rsidRDefault="00CA14E7" w:rsidP="00F42CB9">
            <w:pPr>
              <w:rPr>
                <w:rFonts w:cstheme="minorHAnsi"/>
                <w:color w:val="000000" w:themeColor="text1"/>
                <w:sz w:val="20"/>
                <w:szCs w:val="20"/>
              </w:rPr>
            </w:pPr>
            <w:r w:rsidRPr="00CA4ABC">
              <w:rPr>
                <w:rFonts w:cstheme="minorHAnsi"/>
                <w:color w:val="000000" w:themeColor="text1"/>
                <w:sz w:val="20"/>
                <w:szCs w:val="20"/>
              </w:rPr>
              <w:t>Reasons for not being able to complete this</w:t>
            </w:r>
            <w:r w:rsidR="00DA059D" w:rsidRPr="00CA4ABC">
              <w:rPr>
                <w:rFonts w:cstheme="minorHAnsi"/>
                <w:color w:val="000000" w:themeColor="text1"/>
                <w:sz w:val="20"/>
                <w:szCs w:val="20"/>
              </w:rPr>
              <w:t xml:space="preserve"> includ</w:t>
            </w:r>
            <w:r w:rsidRPr="00CA4ABC">
              <w:rPr>
                <w:rFonts w:cstheme="minorHAnsi"/>
                <w:color w:val="000000" w:themeColor="text1"/>
                <w:sz w:val="20"/>
                <w:szCs w:val="20"/>
              </w:rPr>
              <w:t>ed</w:t>
            </w:r>
            <w:r w:rsidR="00DA059D" w:rsidRPr="00CA4ABC">
              <w:rPr>
                <w:rFonts w:cstheme="minorHAnsi"/>
                <w:color w:val="000000" w:themeColor="text1"/>
                <w:sz w:val="20"/>
                <w:szCs w:val="20"/>
              </w:rPr>
              <w:t>: no access to computer equipment/Wi-Fi</w:t>
            </w:r>
            <w:r w:rsidR="00BC0492" w:rsidRPr="00CA4ABC">
              <w:rPr>
                <w:rFonts w:cstheme="minorHAnsi"/>
                <w:color w:val="000000" w:themeColor="text1"/>
                <w:sz w:val="20"/>
                <w:szCs w:val="20"/>
              </w:rPr>
              <w:t xml:space="preserve"> and</w:t>
            </w:r>
            <w:r w:rsidR="00DA059D" w:rsidRPr="00CA4ABC">
              <w:rPr>
                <w:rFonts w:cstheme="minorHAnsi"/>
                <w:color w:val="000000" w:themeColor="text1"/>
                <w:sz w:val="20"/>
                <w:szCs w:val="20"/>
              </w:rPr>
              <w:t xml:space="preserve"> inadequate IT competency</w:t>
            </w:r>
            <w:r w:rsidRPr="00CA4ABC">
              <w:rPr>
                <w:rFonts w:cstheme="minorHAnsi"/>
                <w:color w:val="000000" w:themeColor="text1"/>
                <w:sz w:val="20"/>
                <w:szCs w:val="20"/>
              </w:rPr>
              <w:t>.</w:t>
            </w:r>
            <w:r w:rsidR="00DA059D" w:rsidRPr="00CA4ABC">
              <w:rPr>
                <w:rFonts w:cstheme="minorHAnsi"/>
                <w:color w:val="000000" w:themeColor="text1"/>
                <w:sz w:val="20"/>
                <w:szCs w:val="20"/>
              </w:rPr>
              <w:t xml:space="preserve"> </w:t>
            </w:r>
            <w:r w:rsidR="00BC0492" w:rsidRPr="00CA4ABC">
              <w:rPr>
                <w:rFonts w:cstheme="minorHAnsi"/>
                <w:color w:val="000000" w:themeColor="text1"/>
                <w:sz w:val="20"/>
                <w:szCs w:val="20"/>
              </w:rPr>
              <w:t>G</w:t>
            </w:r>
            <w:r w:rsidR="00DA059D" w:rsidRPr="00CA4ABC">
              <w:rPr>
                <w:rFonts w:cstheme="minorHAnsi"/>
                <w:color w:val="000000" w:themeColor="text1"/>
                <w:sz w:val="20"/>
                <w:szCs w:val="20"/>
              </w:rPr>
              <w:t>oogle</w:t>
            </w:r>
            <w:r w:rsidR="00BC0492" w:rsidRPr="00CA4ABC">
              <w:rPr>
                <w:rFonts w:cstheme="minorHAnsi"/>
                <w:color w:val="000000" w:themeColor="text1"/>
                <w:sz w:val="20"/>
                <w:szCs w:val="20"/>
              </w:rPr>
              <w:t xml:space="preserve"> F</w:t>
            </w:r>
            <w:r w:rsidR="00DA059D" w:rsidRPr="00CA4ABC">
              <w:rPr>
                <w:rFonts w:cstheme="minorHAnsi"/>
                <w:color w:val="000000" w:themeColor="text1"/>
                <w:sz w:val="20"/>
                <w:szCs w:val="20"/>
              </w:rPr>
              <w:t xml:space="preserve">orms can be blocked by some firewalls at large companies. An option to complete recalls via telephone with the researcher was made available as an alternative. </w:t>
            </w:r>
          </w:p>
        </w:tc>
      </w:tr>
      <w:tr w:rsidR="00DA059D" w:rsidRPr="00CA4ABC" w14:paraId="7B2F0759" w14:textId="77777777" w:rsidTr="00365825">
        <w:trPr>
          <w:trHeight w:val="969"/>
        </w:trPr>
        <w:tc>
          <w:tcPr>
            <w:tcW w:w="5145" w:type="dxa"/>
          </w:tcPr>
          <w:p w14:paraId="213AA43F" w14:textId="65D44764"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The burdensome nature of completing multiple 24-hour recall</w:t>
            </w:r>
            <w:r w:rsidR="00BC0492" w:rsidRPr="00CA4ABC">
              <w:rPr>
                <w:rFonts w:cstheme="minorHAnsi"/>
                <w:color w:val="000000" w:themeColor="text1"/>
                <w:sz w:val="20"/>
                <w:szCs w:val="20"/>
              </w:rPr>
              <w:t>s</w:t>
            </w:r>
          </w:p>
        </w:tc>
        <w:tc>
          <w:tcPr>
            <w:tcW w:w="10617" w:type="dxa"/>
          </w:tcPr>
          <w:p w14:paraId="61BBC2DA" w14:textId="75D519EB"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It was decided to reduce the number of 24-hour recalls from </w:t>
            </w:r>
            <w:r w:rsidR="00CA14E7" w:rsidRPr="00CA4ABC">
              <w:rPr>
                <w:rFonts w:cstheme="minorHAnsi"/>
                <w:color w:val="000000" w:themeColor="text1"/>
                <w:sz w:val="20"/>
                <w:szCs w:val="20"/>
              </w:rPr>
              <w:t>three</w:t>
            </w:r>
            <w:r w:rsidRPr="00CA4ABC">
              <w:rPr>
                <w:rFonts w:cstheme="minorHAnsi"/>
                <w:color w:val="000000" w:themeColor="text1"/>
                <w:sz w:val="20"/>
                <w:szCs w:val="20"/>
              </w:rPr>
              <w:t xml:space="preserve"> to </w:t>
            </w:r>
            <w:r w:rsidR="00CA14E7" w:rsidRPr="00CA4ABC">
              <w:rPr>
                <w:rFonts w:cstheme="minorHAnsi"/>
                <w:color w:val="000000" w:themeColor="text1"/>
                <w:sz w:val="20"/>
                <w:szCs w:val="20"/>
              </w:rPr>
              <w:t>one</w:t>
            </w:r>
            <w:r w:rsidRPr="00CA4ABC">
              <w:rPr>
                <w:rFonts w:cstheme="minorHAnsi"/>
                <w:color w:val="000000" w:themeColor="text1"/>
                <w:sz w:val="20"/>
                <w:szCs w:val="20"/>
              </w:rPr>
              <w:t xml:space="preserve"> in the hope that the participant response rate would not drop off throughout this trial. Evidence from </w:t>
            </w:r>
            <w:hyperlink r:id="rId28" w:history="1">
              <w:r w:rsidRPr="00CA4ABC">
                <w:rPr>
                  <w:rStyle w:val="Hyperlink"/>
                  <w:rFonts w:cstheme="minorHAnsi"/>
                  <w:color w:val="000000" w:themeColor="text1"/>
                  <w:sz w:val="20"/>
                  <w:szCs w:val="20"/>
                </w:rPr>
                <w:t>https://dietassessmentprimer.cancer.gov/approach/table.html</w:t>
              </w:r>
            </w:hyperlink>
            <w:r w:rsidRPr="00CA4ABC">
              <w:rPr>
                <w:rFonts w:cstheme="minorHAnsi"/>
                <w:color w:val="000000" w:themeColor="text1"/>
                <w:sz w:val="20"/>
                <w:szCs w:val="20"/>
              </w:rPr>
              <w:t xml:space="preserve"> was used as </w:t>
            </w:r>
            <w:r w:rsidR="00BC0492" w:rsidRPr="00CA4ABC">
              <w:rPr>
                <w:rFonts w:cstheme="minorHAnsi"/>
                <w:color w:val="000000" w:themeColor="text1"/>
                <w:sz w:val="20"/>
                <w:szCs w:val="20"/>
              </w:rPr>
              <w:t xml:space="preserve">the </w:t>
            </w:r>
            <w:r w:rsidRPr="00CA4ABC">
              <w:rPr>
                <w:rFonts w:cstheme="minorHAnsi"/>
                <w:color w:val="000000" w:themeColor="text1"/>
                <w:sz w:val="20"/>
                <w:szCs w:val="20"/>
              </w:rPr>
              <w:t xml:space="preserve">rationale for making this decision. </w:t>
            </w:r>
          </w:p>
        </w:tc>
      </w:tr>
      <w:tr w:rsidR="00DA059D" w:rsidRPr="00CA4ABC" w14:paraId="03DBE528" w14:textId="77777777" w:rsidTr="00365825">
        <w:trPr>
          <w:trHeight w:val="263"/>
        </w:trPr>
        <w:tc>
          <w:tcPr>
            <w:tcW w:w="5145" w:type="dxa"/>
          </w:tcPr>
          <w:p w14:paraId="5639DF96" w14:textId="77777777"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Low response numbers</w:t>
            </w:r>
          </w:p>
        </w:tc>
        <w:tc>
          <w:tcPr>
            <w:tcW w:w="10617" w:type="dxa"/>
          </w:tcPr>
          <w:p w14:paraId="054359E2" w14:textId="0C36C8AE"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The research was incentivised by offering participants the chance to be entered into a prize drawn if they completed all three parts of the research (details of </w:t>
            </w:r>
            <w:r w:rsidR="00BC0492" w:rsidRPr="00CA4ABC">
              <w:rPr>
                <w:rFonts w:cstheme="minorHAnsi"/>
                <w:color w:val="000000" w:themeColor="text1"/>
                <w:sz w:val="20"/>
                <w:szCs w:val="20"/>
              </w:rPr>
              <w:t xml:space="preserve">the </w:t>
            </w:r>
            <w:r w:rsidRPr="00CA4ABC">
              <w:rPr>
                <w:rFonts w:cstheme="minorHAnsi"/>
                <w:color w:val="000000" w:themeColor="text1"/>
                <w:sz w:val="20"/>
                <w:szCs w:val="20"/>
              </w:rPr>
              <w:t>prize draw are described below)</w:t>
            </w:r>
          </w:p>
        </w:tc>
      </w:tr>
      <w:tr w:rsidR="00DA059D" w:rsidRPr="00CA4ABC" w14:paraId="72EE68A3" w14:textId="77777777" w:rsidTr="00365825">
        <w:trPr>
          <w:trHeight w:val="638"/>
        </w:trPr>
        <w:tc>
          <w:tcPr>
            <w:tcW w:w="5145" w:type="dxa"/>
          </w:tcPr>
          <w:p w14:paraId="25F2EFE6" w14:textId="7C37B17E"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A drop</w:t>
            </w:r>
            <w:r w:rsidR="00BC0492" w:rsidRPr="00CA4ABC">
              <w:rPr>
                <w:rFonts w:cstheme="minorHAnsi"/>
                <w:color w:val="000000" w:themeColor="text1"/>
                <w:sz w:val="20"/>
                <w:szCs w:val="20"/>
              </w:rPr>
              <w:t>-</w:t>
            </w:r>
            <w:r w:rsidRPr="00CA4ABC">
              <w:rPr>
                <w:rFonts w:cstheme="minorHAnsi"/>
                <w:color w:val="000000" w:themeColor="text1"/>
                <w:sz w:val="20"/>
                <w:szCs w:val="20"/>
              </w:rPr>
              <w:t xml:space="preserve">off rate of participants at each step of the survey </w:t>
            </w:r>
          </w:p>
        </w:tc>
        <w:tc>
          <w:tcPr>
            <w:tcW w:w="10617" w:type="dxa"/>
          </w:tcPr>
          <w:p w14:paraId="73E9FF27" w14:textId="6C800E95"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An ethics amendment was submitted to request permission to re-email participants after </w:t>
            </w:r>
            <w:r w:rsidR="00CA14E7" w:rsidRPr="00CA4ABC">
              <w:rPr>
                <w:rFonts w:cstheme="minorHAnsi"/>
                <w:color w:val="000000" w:themeColor="text1"/>
                <w:sz w:val="20"/>
                <w:szCs w:val="20"/>
              </w:rPr>
              <w:t>one</w:t>
            </w:r>
            <w:r w:rsidRPr="00CA4ABC">
              <w:rPr>
                <w:rFonts w:cstheme="minorHAnsi"/>
                <w:color w:val="000000" w:themeColor="text1"/>
                <w:sz w:val="20"/>
                <w:szCs w:val="20"/>
              </w:rPr>
              <w:t xml:space="preserve"> week if they had not completed part 2</w:t>
            </w:r>
            <w:r w:rsidR="00CA14E7" w:rsidRPr="00CA4ABC">
              <w:rPr>
                <w:rFonts w:cstheme="minorHAnsi"/>
                <w:color w:val="000000" w:themeColor="text1"/>
                <w:sz w:val="20"/>
                <w:szCs w:val="20"/>
              </w:rPr>
              <w:t>,</w:t>
            </w:r>
            <w:r w:rsidRPr="00CA4ABC">
              <w:rPr>
                <w:rFonts w:cstheme="minorHAnsi"/>
                <w:color w:val="000000" w:themeColor="text1"/>
                <w:sz w:val="20"/>
                <w:szCs w:val="20"/>
              </w:rPr>
              <w:t xml:space="preserve"> following the initial email inviting them to do so.</w:t>
            </w:r>
          </w:p>
        </w:tc>
      </w:tr>
      <w:tr w:rsidR="00DA059D" w:rsidRPr="00CA4ABC" w14:paraId="3E47D387" w14:textId="77777777" w:rsidTr="00365825">
        <w:trPr>
          <w:trHeight w:val="642"/>
        </w:trPr>
        <w:tc>
          <w:tcPr>
            <w:tcW w:w="5145" w:type="dxa"/>
          </w:tcPr>
          <w:p w14:paraId="3F311D97" w14:textId="77777777"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Some participants reported that their login/password details did not work</w:t>
            </w:r>
          </w:p>
        </w:tc>
        <w:tc>
          <w:tcPr>
            <w:tcW w:w="10617" w:type="dxa"/>
          </w:tcPr>
          <w:p w14:paraId="5A4904BE" w14:textId="77777777"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Passwords were reset and resent to participants and this appeared to resolve the issue in every case when this was reported. </w:t>
            </w:r>
          </w:p>
        </w:tc>
      </w:tr>
      <w:tr w:rsidR="00DA059D" w:rsidRPr="00CA4ABC" w14:paraId="1278B830" w14:textId="77777777" w:rsidTr="00365825">
        <w:trPr>
          <w:trHeight w:val="935"/>
        </w:trPr>
        <w:tc>
          <w:tcPr>
            <w:tcW w:w="5145" w:type="dxa"/>
          </w:tcPr>
          <w:p w14:paraId="648AA819" w14:textId="2DF63ED1"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Confusion about </w:t>
            </w:r>
            <w:r w:rsidR="00BC0492" w:rsidRPr="00CA4ABC">
              <w:rPr>
                <w:rFonts w:cstheme="minorHAnsi"/>
                <w:color w:val="000000" w:themeColor="text1"/>
                <w:sz w:val="20"/>
                <w:szCs w:val="20"/>
              </w:rPr>
              <w:t xml:space="preserve">the </w:t>
            </w:r>
            <w:r w:rsidRPr="00CA4ABC">
              <w:rPr>
                <w:rFonts w:cstheme="minorHAnsi"/>
                <w:color w:val="000000" w:themeColor="text1"/>
                <w:sz w:val="20"/>
                <w:szCs w:val="20"/>
              </w:rPr>
              <w:t>milk question</w:t>
            </w:r>
          </w:p>
        </w:tc>
        <w:tc>
          <w:tcPr>
            <w:tcW w:w="10617" w:type="dxa"/>
          </w:tcPr>
          <w:p w14:paraId="365FC0EB" w14:textId="6C84CDA8"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Some participants reported being unclear </w:t>
            </w:r>
            <w:r w:rsidR="00BC0492" w:rsidRPr="00CA4ABC">
              <w:rPr>
                <w:rFonts w:cstheme="minorHAnsi"/>
                <w:color w:val="000000" w:themeColor="text1"/>
                <w:sz w:val="20"/>
                <w:szCs w:val="20"/>
              </w:rPr>
              <w:t xml:space="preserve">about </w:t>
            </w:r>
            <w:r w:rsidRPr="00CA4ABC">
              <w:rPr>
                <w:rFonts w:cstheme="minorHAnsi"/>
                <w:color w:val="000000" w:themeColor="text1"/>
                <w:sz w:val="20"/>
                <w:szCs w:val="20"/>
              </w:rPr>
              <w:t xml:space="preserve">how to respond to the milk question as they were </w:t>
            </w:r>
            <w:r w:rsidR="00BC0492" w:rsidRPr="00CA4ABC">
              <w:rPr>
                <w:rFonts w:cstheme="minorHAnsi"/>
                <w:color w:val="000000" w:themeColor="text1"/>
                <w:sz w:val="20"/>
                <w:szCs w:val="20"/>
              </w:rPr>
              <w:t>un</w:t>
            </w:r>
            <w:r w:rsidRPr="00CA4ABC">
              <w:rPr>
                <w:rFonts w:cstheme="minorHAnsi"/>
                <w:color w:val="000000" w:themeColor="text1"/>
                <w:sz w:val="20"/>
                <w:szCs w:val="20"/>
              </w:rPr>
              <w:t xml:space="preserve">sure if it included milk alternatives. From a protein perspective, only soy and cow’s milk would contribute to protein intake, </w:t>
            </w:r>
            <w:r w:rsidR="00BC0492" w:rsidRPr="00CA4ABC">
              <w:rPr>
                <w:rFonts w:cstheme="minorHAnsi"/>
                <w:color w:val="000000" w:themeColor="text1"/>
                <w:sz w:val="20"/>
                <w:szCs w:val="20"/>
              </w:rPr>
              <w:t xml:space="preserve">the </w:t>
            </w:r>
            <w:r w:rsidRPr="00CA4ABC">
              <w:rPr>
                <w:rFonts w:cstheme="minorHAnsi"/>
                <w:color w:val="000000" w:themeColor="text1"/>
                <w:sz w:val="20"/>
                <w:szCs w:val="20"/>
              </w:rPr>
              <w:t xml:space="preserve">wording of the question was amended to reflect this. </w:t>
            </w:r>
          </w:p>
        </w:tc>
      </w:tr>
      <w:tr w:rsidR="00DA059D" w:rsidRPr="00CA4ABC" w14:paraId="3FECDDEE" w14:textId="77777777" w:rsidTr="00365825">
        <w:trPr>
          <w:trHeight w:val="1233"/>
        </w:trPr>
        <w:tc>
          <w:tcPr>
            <w:tcW w:w="5145" w:type="dxa"/>
          </w:tcPr>
          <w:p w14:paraId="3C3EC17C" w14:textId="77777777"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Problems logging into the Intake24 site</w:t>
            </w:r>
          </w:p>
        </w:tc>
        <w:tc>
          <w:tcPr>
            <w:tcW w:w="10617" w:type="dxa"/>
          </w:tcPr>
          <w:p w14:paraId="4E9186CA" w14:textId="1642B7CF" w:rsidR="00DA059D" w:rsidRPr="00CA4ABC" w:rsidRDefault="00DA059D" w:rsidP="00F42CB9">
            <w:pPr>
              <w:rPr>
                <w:rFonts w:cstheme="minorHAnsi"/>
                <w:color w:val="000000" w:themeColor="text1"/>
                <w:sz w:val="20"/>
                <w:szCs w:val="20"/>
              </w:rPr>
            </w:pPr>
            <w:r w:rsidRPr="00CA4ABC">
              <w:rPr>
                <w:rFonts w:cstheme="minorHAnsi"/>
                <w:color w:val="000000" w:themeColor="text1"/>
                <w:sz w:val="20"/>
                <w:szCs w:val="20"/>
              </w:rPr>
              <w:t xml:space="preserve">The </w:t>
            </w:r>
            <w:r w:rsidR="00BC0492" w:rsidRPr="00CA4ABC">
              <w:rPr>
                <w:rFonts w:cstheme="minorHAnsi"/>
                <w:color w:val="000000" w:themeColor="text1"/>
                <w:sz w:val="20"/>
                <w:szCs w:val="20"/>
              </w:rPr>
              <w:t>I</w:t>
            </w:r>
            <w:r w:rsidRPr="00CA4ABC">
              <w:rPr>
                <w:rFonts w:cstheme="minorHAnsi"/>
                <w:color w:val="000000" w:themeColor="text1"/>
                <w:sz w:val="20"/>
                <w:szCs w:val="20"/>
              </w:rPr>
              <w:t>ntake24 site was capital sensitive to both the username and password, which some participants did not initially realise. Often after this was highlighted, the issue was resolved. If the problem persisted</w:t>
            </w:r>
            <w:r w:rsidR="002C6373" w:rsidRPr="00CA4ABC">
              <w:rPr>
                <w:rFonts w:cstheme="minorHAnsi"/>
                <w:color w:val="000000" w:themeColor="text1"/>
                <w:sz w:val="20"/>
                <w:szCs w:val="20"/>
              </w:rPr>
              <w:t>,</w:t>
            </w:r>
            <w:r w:rsidRPr="00CA4ABC">
              <w:rPr>
                <w:rFonts w:cstheme="minorHAnsi"/>
                <w:color w:val="000000" w:themeColor="text1"/>
                <w:sz w:val="20"/>
                <w:szCs w:val="20"/>
              </w:rPr>
              <w:t xml:space="preserve"> their password was reset</w:t>
            </w:r>
            <w:r w:rsidR="00935AAE" w:rsidRPr="00CA4ABC">
              <w:rPr>
                <w:rFonts w:cstheme="minorHAnsi"/>
                <w:color w:val="000000" w:themeColor="text1"/>
                <w:sz w:val="20"/>
                <w:szCs w:val="20"/>
              </w:rPr>
              <w:t>,</w:t>
            </w:r>
            <w:r w:rsidRPr="00CA4ABC">
              <w:rPr>
                <w:rFonts w:cstheme="minorHAnsi"/>
                <w:color w:val="000000" w:themeColor="text1"/>
                <w:sz w:val="20"/>
                <w:szCs w:val="20"/>
              </w:rPr>
              <w:t xml:space="preserve"> </w:t>
            </w:r>
            <w:r w:rsidR="00935AAE" w:rsidRPr="00CA4ABC">
              <w:rPr>
                <w:rFonts w:cstheme="minorHAnsi"/>
                <w:color w:val="000000" w:themeColor="text1"/>
                <w:sz w:val="20"/>
                <w:szCs w:val="20"/>
              </w:rPr>
              <w:t>which</w:t>
            </w:r>
            <w:r w:rsidRPr="00CA4ABC">
              <w:rPr>
                <w:rFonts w:cstheme="minorHAnsi"/>
                <w:color w:val="000000" w:themeColor="text1"/>
                <w:sz w:val="20"/>
                <w:szCs w:val="20"/>
              </w:rPr>
              <w:t xml:space="preserve"> appeared to solve the issue. To prevent future confusion, it was highlighted in the email sent out to participants</w:t>
            </w:r>
            <w:r w:rsidR="00935AAE" w:rsidRPr="00CA4ABC">
              <w:rPr>
                <w:rFonts w:cstheme="minorHAnsi"/>
                <w:color w:val="000000" w:themeColor="text1"/>
                <w:sz w:val="20"/>
                <w:szCs w:val="20"/>
              </w:rPr>
              <w:t>,</w:t>
            </w:r>
            <w:r w:rsidRPr="00CA4ABC">
              <w:rPr>
                <w:rFonts w:cstheme="minorHAnsi"/>
                <w:color w:val="000000" w:themeColor="text1"/>
                <w:sz w:val="20"/>
                <w:szCs w:val="20"/>
              </w:rPr>
              <w:t xml:space="preserve"> when they were given their login details</w:t>
            </w:r>
            <w:r w:rsidR="00CA14E7" w:rsidRPr="00CA4ABC">
              <w:rPr>
                <w:rFonts w:cstheme="minorHAnsi"/>
                <w:color w:val="000000" w:themeColor="text1"/>
                <w:sz w:val="20"/>
                <w:szCs w:val="20"/>
              </w:rPr>
              <w:t>,</w:t>
            </w:r>
            <w:r w:rsidRPr="00CA4ABC">
              <w:rPr>
                <w:rFonts w:cstheme="minorHAnsi"/>
                <w:color w:val="000000" w:themeColor="text1"/>
                <w:sz w:val="20"/>
                <w:szCs w:val="20"/>
              </w:rPr>
              <w:t xml:space="preserve"> to check for the capitalisation of words.</w:t>
            </w:r>
          </w:p>
        </w:tc>
      </w:tr>
    </w:tbl>
    <w:p w14:paraId="7D0AD889" w14:textId="42D1D601" w:rsidR="00DA059D" w:rsidRPr="00EA253A" w:rsidRDefault="00DA059D" w:rsidP="00F42CB9">
      <w:pPr>
        <w:pStyle w:val="Caption"/>
        <w:spacing w:line="360" w:lineRule="auto"/>
        <w:rPr>
          <w:rFonts w:cstheme="minorHAnsi"/>
          <w:i w:val="0"/>
          <w:iCs w:val="0"/>
          <w:color w:val="000000" w:themeColor="text1"/>
          <w:sz w:val="24"/>
          <w:szCs w:val="24"/>
        </w:rPr>
        <w:sectPr w:rsidR="00DA059D" w:rsidRPr="00EA253A" w:rsidSect="00EB2154">
          <w:pgSz w:w="16840" w:h="11900" w:orient="landscape"/>
          <w:pgMar w:top="1440" w:right="1440" w:bottom="1440" w:left="1440" w:header="708" w:footer="708" w:gutter="0"/>
          <w:cols w:space="708"/>
          <w:docGrid w:linePitch="360"/>
        </w:sectPr>
      </w:pPr>
      <w:bookmarkStart w:id="99" w:name="_Ref121234719"/>
      <w:bookmarkStart w:id="100" w:name="_Toc122956569"/>
      <w:r w:rsidRPr="00EA253A">
        <w:rPr>
          <w:rFonts w:cstheme="minorHAnsi"/>
          <w:i w:val="0"/>
          <w:iCs w:val="0"/>
          <w:color w:val="000000" w:themeColor="text1"/>
          <w:sz w:val="24"/>
          <w:szCs w:val="24"/>
        </w:rPr>
        <w:t xml:space="preserve">Table </w:t>
      </w:r>
      <w:r w:rsidRPr="00EA253A">
        <w:rPr>
          <w:rFonts w:cstheme="minorHAnsi"/>
          <w:i w:val="0"/>
          <w:iCs w:val="0"/>
          <w:color w:val="000000" w:themeColor="text1"/>
          <w:sz w:val="24"/>
          <w:szCs w:val="24"/>
        </w:rPr>
        <w:fldChar w:fldCharType="begin"/>
      </w:r>
      <w:r w:rsidRPr="00EA253A">
        <w:rPr>
          <w:rFonts w:cstheme="minorHAnsi"/>
          <w:i w:val="0"/>
          <w:iCs w:val="0"/>
          <w:color w:val="000000" w:themeColor="text1"/>
          <w:sz w:val="24"/>
          <w:szCs w:val="24"/>
        </w:rPr>
        <w:instrText xml:space="preserve"> SEQ Table \* ARABIC </w:instrText>
      </w:r>
      <w:r w:rsidRPr="00EA253A">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4</w:t>
      </w:r>
      <w:r w:rsidRPr="00EA253A">
        <w:rPr>
          <w:rFonts w:cstheme="minorHAnsi"/>
          <w:i w:val="0"/>
          <w:iCs w:val="0"/>
          <w:color w:val="000000" w:themeColor="text1"/>
          <w:sz w:val="24"/>
          <w:szCs w:val="24"/>
        </w:rPr>
        <w:fldChar w:fldCharType="end"/>
      </w:r>
      <w:bookmarkEnd w:id="99"/>
      <w:r w:rsidR="00EA253A" w:rsidRPr="00EA253A">
        <w:rPr>
          <w:rFonts w:cstheme="minorHAnsi"/>
          <w:i w:val="0"/>
          <w:iCs w:val="0"/>
          <w:color w:val="000000" w:themeColor="text1"/>
          <w:sz w:val="24"/>
          <w:szCs w:val="24"/>
        </w:rPr>
        <w:t xml:space="preserve">. </w:t>
      </w:r>
      <w:r w:rsidRPr="00EA253A">
        <w:rPr>
          <w:rFonts w:cstheme="minorHAnsi"/>
          <w:i w:val="0"/>
          <w:iCs w:val="0"/>
          <w:color w:val="000000" w:themeColor="text1"/>
          <w:sz w:val="24"/>
          <w:szCs w:val="24"/>
        </w:rPr>
        <w:t xml:space="preserve">Issues identified through </w:t>
      </w:r>
      <w:r w:rsidR="00574678" w:rsidRPr="00EA253A">
        <w:rPr>
          <w:rFonts w:cstheme="minorHAnsi"/>
          <w:i w:val="0"/>
          <w:iCs w:val="0"/>
          <w:color w:val="000000" w:themeColor="text1"/>
          <w:sz w:val="24"/>
          <w:szCs w:val="24"/>
        </w:rPr>
        <w:t xml:space="preserve">a </w:t>
      </w:r>
      <w:r w:rsidRPr="00EA253A">
        <w:rPr>
          <w:rFonts w:cstheme="minorHAnsi"/>
          <w:i w:val="0"/>
          <w:iCs w:val="0"/>
          <w:color w:val="000000" w:themeColor="text1"/>
          <w:sz w:val="24"/>
          <w:szCs w:val="24"/>
        </w:rPr>
        <w:t xml:space="preserve">pilot survey </w:t>
      </w:r>
      <w:r w:rsidR="00883B21" w:rsidRPr="00EA253A">
        <w:rPr>
          <w:rFonts w:cstheme="minorHAnsi"/>
          <w:i w:val="0"/>
          <w:iCs w:val="0"/>
          <w:color w:val="000000" w:themeColor="text1"/>
          <w:sz w:val="24"/>
          <w:szCs w:val="24"/>
        </w:rPr>
        <w:t>for the</w:t>
      </w:r>
      <w:r w:rsidRPr="00EA253A">
        <w:rPr>
          <w:rFonts w:cstheme="minorHAnsi"/>
          <w:i w:val="0"/>
          <w:iCs w:val="0"/>
          <w:color w:val="000000" w:themeColor="text1"/>
          <w:sz w:val="24"/>
          <w:szCs w:val="24"/>
        </w:rPr>
        <w:t xml:space="preserve"> SheffProUK survey study and the action taken to address them</w:t>
      </w:r>
      <w:bookmarkEnd w:id="100"/>
    </w:p>
    <w:p w14:paraId="6FECB60F" w14:textId="420339AB" w:rsidR="00F13BED" w:rsidRPr="00CA4ABC" w:rsidRDefault="00F42CB9" w:rsidP="00F42CB9">
      <w:pPr>
        <w:pStyle w:val="Heading3"/>
        <w:spacing w:line="360" w:lineRule="auto"/>
        <w:rPr>
          <w:rFonts w:asciiTheme="minorHAnsi" w:hAnsiTheme="minorHAnsi" w:cstheme="minorHAnsi"/>
          <w:color w:val="000000" w:themeColor="text1"/>
        </w:rPr>
      </w:pPr>
      <w:bookmarkStart w:id="101" w:name="_Toc135384286"/>
      <w:r>
        <w:rPr>
          <w:rFonts w:asciiTheme="minorHAnsi" w:hAnsiTheme="minorHAnsi" w:cstheme="minorHAnsi"/>
          <w:color w:val="000000" w:themeColor="text1"/>
        </w:rPr>
        <w:lastRenderedPageBreak/>
        <w:t xml:space="preserve">3.4.4 </w:t>
      </w:r>
      <w:r w:rsidR="00F13BED" w:rsidRPr="00CA4ABC">
        <w:rPr>
          <w:rFonts w:asciiTheme="minorHAnsi" w:hAnsiTheme="minorHAnsi" w:cstheme="minorHAnsi"/>
          <w:color w:val="000000" w:themeColor="text1"/>
        </w:rPr>
        <w:t>Participant recruitment</w:t>
      </w:r>
      <w:bookmarkEnd w:id="101"/>
    </w:p>
    <w:p w14:paraId="67115CC0" w14:textId="2BA4E7C5"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A convenience sampling approach was used </w:t>
      </w:r>
      <w:r w:rsidR="00574678" w:rsidRPr="00CA4ABC">
        <w:rPr>
          <w:rFonts w:cstheme="minorHAnsi"/>
          <w:color w:val="000000" w:themeColor="text1"/>
        </w:rPr>
        <w:t>to attract a broad age range</w:t>
      </w:r>
      <w:r w:rsidRPr="00CA4ABC">
        <w:rPr>
          <w:rFonts w:cstheme="minorHAnsi"/>
          <w:color w:val="000000" w:themeColor="text1"/>
        </w:rPr>
        <w:t xml:space="preserve"> and socioeconomic demographics.</w:t>
      </w:r>
    </w:p>
    <w:p w14:paraId="53859B95" w14:textId="47AE8B34" w:rsidR="00CF00DE" w:rsidRDefault="00CF00DE" w:rsidP="004053D7">
      <w:pPr>
        <w:spacing w:line="360" w:lineRule="auto"/>
        <w:rPr>
          <w:rFonts w:cstheme="minorHAnsi"/>
          <w:color w:val="000000" w:themeColor="text1"/>
        </w:rPr>
      </w:pPr>
      <w:r w:rsidRPr="00CA4ABC">
        <w:rPr>
          <w:rFonts w:cstheme="minorHAnsi"/>
          <w:color w:val="000000" w:themeColor="text1"/>
        </w:rPr>
        <w:t>Inclusion criteria: UK-dwelling adults, aged 18+.</w:t>
      </w:r>
    </w:p>
    <w:p w14:paraId="13BD2C93" w14:textId="77777777" w:rsidR="00821D82" w:rsidRDefault="00304F31" w:rsidP="004053D7">
      <w:pPr>
        <w:spacing w:line="360" w:lineRule="auto"/>
        <w:rPr>
          <w:rFonts w:cstheme="minorHAnsi"/>
          <w:color w:val="000000" w:themeColor="text1"/>
        </w:rPr>
      </w:pPr>
      <w:r>
        <w:rPr>
          <w:rFonts w:cstheme="minorHAnsi"/>
          <w:color w:val="000000" w:themeColor="text1"/>
        </w:rPr>
        <w:t>Sample size</w:t>
      </w:r>
      <w:r w:rsidR="00D86D3C">
        <w:rPr>
          <w:rFonts w:cstheme="minorHAnsi"/>
          <w:color w:val="000000" w:themeColor="text1"/>
        </w:rPr>
        <w:t xml:space="preserve"> calculations were based on cross-sectional </w:t>
      </w:r>
      <w:r w:rsidR="005C35CF">
        <w:rPr>
          <w:rFonts w:cstheme="minorHAnsi"/>
          <w:color w:val="000000" w:themeColor="text1"/>
        </w:rPr>
        <w:t>st</w:t>
      </w:r>
      <w:r w:rsidR="00FF0BCE">
        <w:rPr>
          <w:rFonts w:cstheme="minorHAnsi"/>
          <w:color w:val="000000" w:themeColor="text1"/>
        </w:rPr>
        <w:t>udy guidelines</w:t>
      </w:r>
      <w:r w:rsidR="00821D82">
        <w:rPr>
          <w:rFonts w:cstheme="minorHAnsi"/>
          <w:color w:val="000000" w:themeColor="text1"/>
        </w:rPr>
        <w:t xml:space="preserve"> </w:t>
      </w:r>
      <w:r w:rsidR="00821D82">
        <w:rPr>
          <w:rFonts w:cstheme="minorHAnsi"/>
          <w:color w:val="000000" w:themeColor="text1"/>
        </w:rPr>
        <w:fldChar w:fldCharType="begin" w:fldLock="1"/>
      </w:r>
      <w:r w:rsidR="00821D82">
        <w:rPr>
          <w:rFonts w:cstheme="minorHAnsi"/>
          <w:color w:val="000000" w:themeColor="text1"/>
        </w:rPr>
        <w:instrText>ADDIN CSL_CITATION {"citationItems":[{"id":"ITEM-1","itemData":{"DOI":"10.4103/0253-7176.116232","ISSN":"02537176","PMID":"24049221","abstract":"Calculation of exact sample size is an important part of research design. It is very important to understand that different study design need different method of sample size calculation and one formula cannot be used in all designs. In this short review we tried to educate researcher regarding various method of sample size calculation available for different study designs. In this review sample size calculation for most frequently used study designs are mentioned. For genetic and microbiological studies readers are requested to read other sources.","author":[{"dropping-particle":"","family":"Charan","given":"Jaykaran","non-dropping-particle":"","parse-names":false,"suffix":""},{"dropping-particle":"","family":"Biswas","given":"Tamoghna","non-dropping-particle":"","parse-names":false,"suffix":""}],"container-title":"Indian Journal of Psychological Medicine","id":"ITEM-1","issue":"2","issued":{"date-parts":[["2013","4"]]},"page":"121","publisher":"Indian Psychiatric Society South Zonal Branch","title":"How to Calculate Sample Size for Different Study Designs in Medical Research?","type":"article-journal","volume":"35"},"uris":["http://www.mendeley.com/documents/?uuid=baf705ec-8326-34ea-841f-834ce018bf46"]}],"mendeley":{"formattedCitation":"(198)","plainTextFormattedCitation":"(198)"},"properties":{"noteIndex":0},"schema":"https://github.com/citation-style-language/schema/raw/master/csl-citation.json"}</w:instrText>
      </w:r>
      <w:r w:rsidR="00821D82">
        <w:rPr>
          <w:rFonts w:cstheme="minorHAnsi"/>
          <w:color w:val="000000" w:themeColor="text1"/>
        </w:rPr>
        <w:fldChar w:fldCharType="separate"/>
      </w:r>
      <w:r w:rsidR="00821D82" w:rsidRPr="00821D82">
        <w:rPr>
          <w:rFonts w:cstheme="minorHAnsi"/>
          <w:noProof/>
          <w:color w:val="000000" w:themeColor="text1"/>
        </w:rPr>
        <w:t>(198)</w:t>
      </w:r>
      <w:r w:rsidR="00821D82">
        <w:rPr>
          <w:rFonts w:cstheme="minorHAnsi"/>
          <w:color w:val="000000" w:themeColor="text1"/>
        </w:rPr>
        <w:fldChar w:fldCharType="end"/>
      </w:r>
      <w:r w:rsidR="00821D82">
        <w:rPr>
          <w:rFonts w:cstheme="minorHAnsi"/>
          <w:color w:val="000000" w:themeColor="text1"/>
        </w:rPr>
        <w:t>.</w:t>
      </w:r>
    </w:p>
    <w:p w14:paraId="3C27D6FD" w14:textId="5F6F850B" w:rsidR="00821D82" w:rsidRDefault="00821D82" w:rsidP="004053D7">
      <w:pPr>
        <w:spacing w:line="360" w:lineRule="auto"/>
        <w:rPr>
          <w:rFonts w:cstheme="minorHAnsi"/>
          <w:color w:val="000000" w:themeColor="text1"/>
        </w:rPr>
      </w:pPr>
      <w:r>
        <w:fldChar w:fldCharType="begin"/>
      </w:r>
      <w:r>
        <w:instrText xml:space="preserve"> INCLUDEPICTURE "https://www.ncbi.nlm.nih.gov/pmc/articles/PMC3775042/bin/IJPsyM-35-121-g001.jpg" \* MERGEFORMATINET </w:instrText>
      </w:r>
      <w:r>
        <w:fldChar w:fldCharType="separate"/>
      </w:r>
      <w:r>
        <w:rPr>
          <w:noProof/>
        </w:rPr>
        <w:drawing>
          <wp:inline distT="0" distB="0" distL="0" distR="0" wp14:anchorId="544FEEBB" wp14:editId="19865FD1">
            <wp:extent cx="2099733" cy="508000"/>
            <wp:effectExtent l="0" t="0" r="0" b="0"/>
            <wp:docPr id="598940430" name="Picture 1" descr="A picture containing text, letter, 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0430" name="Picture 1" descr="A picture containing text, letter, paper, receipt&#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r="42506" b="94269"/>
                    <a:stretch/>
                  </pic:blipFill>
                  <pic:spPr bwMode="auto">
                    <a:xfrm>
                      <a:off x="0" y="0"/>
                      <a:ext cx="2099994" cy="5080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2949553B" w14:textId="09E0ED2A" w:rsidR="00821D82" w:rsidRDefault="00821D82" w:rsidP="004053D7">
      <w:pPr>
        <w:spacing w:line="360" w:lineRule="auto"/>
        <w:rPr>
          <w:rFonts w:cstheme="minorHAnsi"/>
          <w:color w:val="000000" w:themeColor="text1"/>
        </w:rPr>
      </w:pPr>
      <w:r>
        <w:rPr>
          <w:rFonts w:cstheme="minorHAnsi"/>
          <w:color w:val="000000" w:themeColor="text1"/>
        </w:rPr>
        <w:t xml:space="preserve">At a 5% type 1 error (1.96). </w:t>
      </w:r>
    </w:p>
    <w:p w14:paraId="3DFAF660" w14:textId="2ED08929" w:rsidR="00D86D3C" w:rsidRDefault="00821D82" w:rsidP="004053D7">
      <w:pPr>
        <w:spacing w:line="360" w:lineRule="auto"/>
        <w:rPr>
          <w:rFonts w:cstheme="minorHAnsi"/>
          <w:color w:val="000000" w:themeColor="text1"/>
        </w:rPr>
      </w:pPr>
      <w:r>
        <w:rPr>
          <w:rFonts w:cstheme="minorHAnsi"/>
          <w:color w:val="000000" w:themeColor="text1"/>
        </w:rPr>
        <w:t>P</w:t>
      </w:r>
      <w:r w:rsidR="00FF0BCE">
        <w:rPr>
          <w:rFonts w:cstheme="minorHAnsi"/>
          <w:color w:val="000000" w:themeColor="text1"/>
        </w:rPr>
        <w:t xml:space="preserve"> </w:t>
      </w:r>
      <w:r>
        <w:rPr>
          <w:rFonts w:cstheme="minorHAnsi"/>
          <w:color w:val="000000" w:themeColor="text1"/>
        </w:rPr>
        <w:t xml:space="preserve">(expect proportion in population) = 0.35 </w:t>
      </w:r>
      <w:r w:rsidR="00304F31">
        <w:rPr>
          <w:rFonts w:cstheme="minorHAnsi"/>
          <w:color w:val="000000" w:themeColor="text1"/>
        </w:rPr>
        <w:t xml:space="preserve">based on evidence that 35% of UK adults fail to achieve UK RNI protein guidelines </w:t>
      </w:r>
      <w:r w:rsidR="00304F31">
        <w:rPr>
          <w:rFonts w:cstheme="minorHAnsi"/>
          <w:color w:val="000000" w:themeColor="text1"/>
        </w:rPr>
        <w:fldChar w:fldCharType="begin" w:fldLock="1"/>
      </w:r>
      <w:r>
        <w:rPr>
          <w:rFonts w:cstheme="minorHAnsi"/>
          <w:color w:val="000000" w:themeColor="text1"/>
        </w:rPr>
        <w:instrText>ADDIN CSL_CITATION {"citationItems":[{"id":"ITEM-1","itemData":{"DOI":"10.3390/geriatrics5010006","ISSN":"23083417","abstract":"The current dietary recommendation for protein intake in the UK is 0.75 g/kg/day, however, this population-wide recommendation does not necessarily reflect altered requirements for older adults to maintain muscle protein synthesis, nor does it encompass the potential impact of intake timing. Optimal muscle protein synthesis in older adults requires both higher intake requirements and a distribution of protein intake above a 25 g threshold, three times across the day. This study aimed to describe the protein intake of older adults in a UK region and compare the results to recommendations. The study re-assessed two existing datasets with rich diet information for older adults in the South Yorkshire area. Data were extracted from food diaries of 256 adults aged between 65 and 89 years old (mean ± SD 72.4 ± 5.3 years). Quantity and timing of intake were coded using Nutritics software and compared to recommendations. The relationship between body mass index (BMI), age, and protein intake was explored. Fewer than 50% of the participants met current UK recommendations (0.75 g/kg/day) and fewer than 15% met the ESPEN 1.2 g/kg/day agespecific recommendation. Only one participant met the 25 g/meal recommendation across three meals. These findings suggest that the older adult population is not achieving recommendations to maintain muscle protein synthesis. Nonetheless it identifies several straightforward opportunities for improvement, notably elevation of morning intake.","author":[{"dropping-particle":"","family":"Morris","given":"Susan","non-dropping-particle":"","parse-names":false,"suffix":""},{"dropping-particle":"","family":"Cater","given":"James D.","non-dropping-particle":"","parse-names":false,"suffix":""},{"dropping-particle":"","family":"Green","given":"Mark A.","non-dropping-particle":"","parse-names":false,"suffix":""},{"dropping-particle":"","family":"Johnstone","given":"Alexandra M.","non-dropping-particle":"","parse-names":false,"suffix":""},{"dropping-particle":"","family":"Brunstrom","given":"Jeffrey M.","non-dropping-particle":"","parse-names":false,"suffix":""},{"dropping-particle":"","family":"Stevenson","given":"Emma J.","non-dropping-particle":"","parse-names":false,"suffix":""},{"dropping-particle":"","family":"Williams","given":"Elizabeth A.","non-dropping-particle":"","parse-names":false,"suffix":""},{"dropping-particle":"","family":"Corfe","given":"Bernard M.","non-dropping-particle":"","parse-names":false,"suffix":""}],"container-title":"Geriatrics (Switzerland)","id":"ITEM-1","issue":"1","issued":{"date-parts":[["2020","3","1"]]},"publisher":"MDPI Multidisciplinary Digital Publishing Institute","title":"Inadequacy of protein intake in older UK adults","type":"article-journal","volume":"5"},"uris":["http://www.mendeley.com/documents/?uuid=56cce2af-ab3b-377d-90ed-68f2c87505ee"]}],"mendeley":{"formattedCitation":"(199)","plainTextFormattedCitation":"(199)","previouslyFormattedCitation":"(199)"},"properties":{"noteIndex":0},"schema":"https://github.com/citation-style-language/schema/raw/master/csl-citation.json"}</w:instrText>
      </w:r>
      <w:r w:rsidR="00304F31">
        <w:rPr>
          <w:rFonts w:cstheme="minorHAnsi"/>
          <w:color w:val="000000" w:themeColor="text1"/>
        </w:rPr>
        <w:fldChar w:fldCharType="separate"/>
      </w:r>
      <w:r w:rsidR="00FF0BCE" w:rsidRPr="00FF0BCE">
        <w:rPr>
          <w:rFonts w:cstheme="minorHAnsi"/>
          <w:noProof/>
          <w:color w:val="000000" w:themeColor="text1"/>
        </w:rPr>
        <w:t>(199)</w:t>
      </w:r>
      <w:r w:rsidR="00304F31">
        <w:rPr>
          <w:rFonts w:cstheme="minorHAnsi"/>
          <w:color w:val="000000" w:themeColor="text1"/>
        </w:rPr>
        <w:fldChar w:fldCharType="end"/>
      </w:r>
      <w:r>
        <w:rPr>
          <w:rFonts w:cstheme="minorHAnsi"/>
          <w:color w:val="000000" w:themeColor="text1"/>
        </w:rPr>
        <w:t>.</w:t>
      </w:r>
    </w:p>
    <w:p w14:paraId="7FCE75C9" w14:textId="6DE224B6" w:rsidR="00821D82" w:rsidRPr="00CA4ABC" w:rsidRDefault="00821D82" w:rsidP="004053D7">
      <w:pPr>
        <w:spacing w:line="360" w:lineRule="auto"/>
        <w:rPr>
          <w:rFonts w:cstheme="minorHAnsi"/>
          <w:color w:val="000000" w:themeColor="text1"/>
        </w:rPr>
      </w:pPr>
      <w:r>
        <w:rPr>
          <w:rFonts w:cstheme="minorHAnsi"/>
          <w:color w:val="000000" w:themeColor="text1"/>
        </w:rPr>
        <w:t>D (absolute error or precision) = 0.05</w:t>
      </w:r>
    </w:p>
    <w:p w14:paraId="202022F8" w14:textId="07285A3B" w:rsidR="00F13BED" w:rsidRPr="00CA4ABC" w:rsidRDefault="00F13BED" w:rsidP="004053D7">
      <w:pPr>
        <w:spacing w:line="360" w:lineRule="auto"/>
        <w:rPr>
          <w:rFonts w:cstheme="minorHAnsi"/>
          <w:color w:val="000000" w:themeColor="text1"/>
        </w:rPr>
      </w:pPr>
      <w:r w:rsidRPr="00CA4ABC">
        <w:rPr>
          <w:rFonts w:cstheme="minorHAnsi"/>
          <w:color w:val="000000" w:themeColor="text1"/>
        </w:rPr>
        <w:t>Recruitment was via email</w:t>
      </w:r>
      <w:r w:rsidR="00EA0130" w:rsidRPr="00CA4ABC">
        <w:rPr>
          <w:rFonts w:cstheme="minorHAnsi"/>
          <w:color w:val="000000" w:themeColor="text1"/>
        </w:rPr>
        <w:t>,</w:t>
      </w:r>
      <w:r w:rsidRPr="00CA4ABC">
        <w:rPr>
          <w:rFonts w:cstheme="minorHAnsi"/>
          <w:color w:val="000000" w:themeColor="text1"/>
        </w:rPr>
        <w:t xml:space="preserve"> electronic and paper-based poster</w:t>
      </w:r>
      <w:r w:rsidR="00935AAE" w:rsidRPr="00CA4ABC">
        <w:rPr>
          <w:rFonts w:cstheme="minorHAnsi"/>
          <w:color w:val="000000" w:themeColor="text1"/>
        </w:rPr>
        <w:t>s</w:t>
      </w:r>
      <w:r w:rsidR="00CF00DE" w:rsidRPr="00CA4ABC">
        <w:rPr>
          <w:rFonts w:cstheme="minorHAnsi"/>
          <w:color w:val="000000" w:themeColor="text1"/>
        </w:rPr>
        <w:t xml:space="preserve"> (appendix</w:t>
      </w:r>
      <w:r w:rsidR="0057222E" w:rsidRPr="00CA4ABC">
        <w:rPr>
          <w:rFonts w:cstheme="minorHAnsi"/>
          <w:color w:val="000000" w:themeColor="text1"/>
        </w:rPr>
        <w:t xml:space="preserve"> </w:t>
      </w:r>
      <w:r w:rsidR="00DA5DE2" w:rsidRPr="00CA4ABC">
        <w:rPr>
          <w:rFonts w:cstheme="minorHAnsi"/>
          <w:color w:val="000000" w:themeColor="text1"/>
        </w:rPr>
        <w:t>4</w:t>
      </w:r>
      <w:r w:rsidR="00CF00DE" w:rsidRPr="00CA4ABC">
        <w:rPr>
          <w:rFonts w:cstheme="minorHAnsi"/>
          <w:color w:val="000000" w:themeColor="text1"/>
        </w:rPr>
        <w:t>)</w:t>
      </w:r>
      <w:r w:rsidRPr="00CA4ABC">
        <w:rPr>
          <w:rFonts w:cstheme="minorHAnsi"/>
          <w:color w:val="000000" w:themeColor="text1"/>
        </w:rPr>
        <w:t>, which contained a QR code that</w:t>
      </w:r>
      <w:r w:rsidR="00935AAE" w:rsidRPr="00CA4ABC">
        <w:rPr>
          <w:rFonts w:cstheme="minorHAnsi"/>
          <w:color w:val="000000" w:themeColor="text1"/>
        </w:rPr>
        <w:t xml:space="preserve"> </w:t>
      </w:r>
      <w:r w:rsidRPr="00CA4ABC">
        <w:rPr>
          <w:rFonts w:cstheme="minorHAnsi"/>
          <w:color w:val="000000" w:themeColor="text1"/>
        </w:rPr>
        <w:t>took potential participants to the first part of the survey</w:t>
      </w:r>
      <w:r w:rsidR="00935AAE" w:rsidRPr="00CA4ABC">
        <w:rPr>
          <w:rFonts w:cstheme="minorHAnsi"/>
          <w:color w:val="000000" w:themeColor="text1"/>
        </w:rPr>
        <w:t xml:space="preserve"> when scanned</w:t>
      </w:r>
      <w:r w:rsidRPr="00CA4ABC">
        <w:rPr>
          <w:rFonts w:cstheme="minorHAnsi"/>
          <w:color w:val="000000" w:themeColor="text1"/>
        </w:rPr>
        <w:t xml:space="preserve">. </w:t>
      </w:r>
      <w:r w:rsidR="00EA0130" w:rsidRPr="00CA4ABC">
        <w:rPr>
          <w:rFonts w:cstheme="minorHAnsi"/>
          <w:color w:val="000000" w:themeColor="text1"/>
        </w:rPr>
        <w:t xml:space="preserve">An email was sent to the University of Sheffield staff and student volunteer list (appendix 5.). </w:t>
      </w:r>
      <w:r w:rsidRPr="00CA4ABC">
        <w:rPr>
          <w:rFonts w:cstheme="minorHAnsi"/>
          <w:color w:val="000000" w:themeColor="text1"/>
        </w:rPr>
        <w:t>P</w:t>
      </w:r>
      <w:r w:rsidR="00CF00DE" w:rsidRPr="00CA4ABC">
        <w:rPr>
          <w:rFonts w:cstheme="minorHAnsi"/>
          <w:color w:val="000000" w:themeColor="text1"/>
        </w:rPr>
        <w:t>hysical p</w:t>
      </w:r>
      <w:r w:rsidRPr="00CA4ABC">
        <w:rPr>
          <w:rFonts w:cstheme="minorHAnsi"/>
          <w:color w:val="000000" w:themeColor="text1"/>
        </w:rPr>
        <w:t>osters were placed in local shopping facilities as well as university buildings. The electronic poster was posted on social media sites</w:t>
      </w:r>
      <w:r w:rsidR="00574678" w:rsidRPr="00CA4ABC">
        <w:rPr>
          <w:rFonts w:cstheme="minorHAnsi"/>
          <w:color w:val="000000" w:themeColor="text1"/>
        </w:rPr>
        <w:t>,</w:t>
      </w:r>
      <w:r w:rsidRPr="00CA4ABC">
        <w:rPr>
          <w:rFonts w:cstheme="minorHAnsi"/>
          <w:color w:val="000000" w:themeColor="text1"/>
        </w:rPr>
        <w:t xml:space="preserve"> including LinkedIn, Twitter and Facebook</w:t>
      </w:r>
      <w:r w:rsidR="007D04BD">
        <w:rPr>
          <w:rFonts w:cstheme="minorHAnsi"/>
          <w:color w:val="000000" w:themeColor="text1"/>
        </w:rPr>
        <w:t>,</w:t>
      </w:r>
      <w:r w:rsidRPr="00CA4ABC">
        <w:rPr>
          <w:rFonts w:cstheme="minorHAnsi"/>
          <w:color w:val="000000" w:themeColor="text1"/>
        </w:rPr>
        <w:t xml:space="preserve"> and a </w:t>
      </w:r>
      <w:r w:rsidR="00883B21" w:rsidRPr="00CA4ABC">
        <w:rPr>
          <w:rFonts w:cstheme="minorHAnsi"/>
          <w:color w:val="000000" w:themeColor="text1"/>
        </w:rPr>
        <w:t>project-dedicated</w:t>
      </w:r>
      <w:r w:rsidRPr="00CA4ABC">
        <w:rPr>
          <w:rFonts w:cstheme="minorHAnsi"/>
          <w:color w:val="000000" w:themeColor="text1"/>
        </w:rPr>
        <w:t xml:space="preserve"> page was set up on Facebook (https://m.facebook.com/SheffProUK/). Paid advertisements were placed using Facebook and Gumtree. Facebook group pages were also targeted: Sheffield 50+, Sheffield Vegans, Bristol Vegans, Research Scholar (PhD/Postdoc) and HelloCrookes. </w:t>
      </w:r>
    </w:p>
    <w:p w14:paraId="0BEA492E" w14:textId="74E5875E" w:rsidR="00F13BED" w:rsidRPr="00CA4ABC" w:rsidRDefault="00F13BED" w:rsidP="004053D7">
      <w:pPr>
        <w:spacing w:line="360" w:lineRule="auto"/>
        <w:rPr>
          <w:rFonts w:cstheme="minorHAnsi"/>
          <w:color w:val="000000" w:themeColor="text1"/>
        </w:rPr>
      </w:pPr>
      <w:r w:rsidRPr="00CA4ABC">
        <w:rPr>
          <w:rFonts w:cstheme="minorHAnsi"/>
          <w:color w:val="000000" w:themeColor="text1"/>
        </w:rPr>
        <w:t xml:space="preserve">The Sheffield branch of the University of the Third Age was contacted and agreed </w:t>
      </w:r>
      <w:r w:rsidR="009D6763" w:rsidRPr="00CA4ABC">
        <w:rPr>
          <w:rFonts w:cstheme="minorHAnsi"/>
          <w:color w:val="000000" w:themeColor="text1"/>
        </w:rPr>
        <w:t>to</w:t>
      </w:r>
      <w:r w:rsidRPr="00CA4ABC">
        <w:rPr>
          <w:rFonts w:cstheme="minorHAnsi"/>
          <w:color w:val="000000" w:themeColor="text1"/>
        </w:rPr>
        <w:t xml:space="preserve"> publish the poster in their monthly magazine (November 2021 edition.) In addition, their November meeting was attended in person to provide further information to the group about the research aims and potentially recruit </w:t>
      </w:r>
      <w:r w:rsidR="00732D54">
        <w:rPr>
          <w:rFonts w:cstheme="minorHAnsi"/>
          <w:color w:val="000000" w:themeColor="text1"/>
        </w:rPr>
        <w:t>additional</w:t>
      </w:r>
      <w:r w:rsidRPr="00CA4ABC">
        <w:rPr>
          <w:rFonts w:cstheme="minorHAnsi"/>
          <w:color w:val="000000" w:themeColor="text1"/>
        </w:rPr>
        <w:t xml:space="preserve"> members. In</w:t>
      </w:r>
      <w:r w:rsidR="009D6763" w:rsidRPr="00CA4ABC">
        <w:rPr>
          <w:rFonts w:cstheme="minorHAnsi"/>
          <w:color w:val="000000" w:themeColor="text1"/>
        </w:rPr>
        <w:t>-</w:t>
      </w:r>
      <w:r w:rsidRPr="00CA4ABC">
        <w:rPr>
          <w:rFonts w:cstheme="minorHAnsi"/>
          <w:color w:val="000000" w:themeColor="text1"/>
        </w:rPr>
        <w:t xml:space="preserve">person recruitment occurred at local events, including at a local market (Sheffield Moor Market.) Sheffield Women’s Institute was contacted and details of the research </w:t>
      </w:r>
      <w:r w:rsidR="00574678" w:rsidRPr="00CA4ABC">
        <w:rPr>
          <w:rFonts w:cstheme="minorHAnsi"/>
          <w:color w:val="000000" w:themeColor="text1"/>
        </w:rPr>
        <w:t>were</w:t>
      </w:r>
      <w:r w:rsidRPr="00CA4ABC">
        <w:rPr>
          <w:rFonts w:cstheme="minorHAnsi"/>
          <w:color w:val="000000" w:themeColor="text1"/>
        </w:rPr>
        <w:t xml:space="preserve"> disseminated to members along with instructions to contact the researcher if they were interested in participating. The researcher then responded to these individuals providing further information, including the part 1 link. A local newspaper (</w:t>
      </w:r>
      <w:r w:rsidR="0057222E" w:rsidRPr="00CA4ABC">
        <w:rPr>
          <w:rFonts w:cstheme="minorHAnsi"/>
          <w:color w:val="000000" w:themeColor="text1"/>
        </w:rPr>
        <w:t xml:space="preserve">The </w:t>
      </w:r>
      <w:r w:rsidRPr="00CA4ABC">
        <w:rPr>
          <w:rFonts w:cstheme="minorHAnsi"/>
          <w:color w:val="000000" w:themeColor="text1"/>
        </w:rPr>
        <w:t xml:space="preserve">Star) wrote an article about the research survey </w:t>
      </w:r>
      <w:r w:rsidR="00876551" w:rsidRPr="00CA4ABC">
        <w:rPr>
          <w:rFonts w:cstheme="minorHAnsi"/>
          <w:color w:val="000000" w:themeColor="text1"/>
        </w:rPr>
        <w:t xml:space="preserve">and </w:t>
      </w:r>
      <w:r w:rsidRPr="00CA4ABC">
        <w:rPr>
          <w:rFonts w:cstheme="minorHAnsi"/>
          <w:color w:val="000000" w:themeColor="text1"/>
        </w:rPr>
        <w:t>the purpose behind the research</w:t>
      </w:r>
      <w:r w:rsidR="00935AAE" w:rsidRPr="00CA4ABC">
        <w:rPr>
          <w:rFonts w:cstheme="minorHAnsi"/>
          <w:color w:val="000000" w:themeColor="text1"/>
        </w:rPr>
        <w:t xml:space="preserve"> which</w:t>
      </w:r>
      <w:r w:rsidRPr="00CA4ABC">
        <w:rPr>
          <w:rFonts w:cstheme="minorHAnsi"/>
          <w:color w:val="000000" w:themeColor="text1"/>
        </w:rPr>
        <w:t xml:space="preserve"> also contained details about how to access and complete the survey (available in appendix </w:t>
      </w:r>
      <w:r w:rsidR="00DA5DE2" w:rsidRPr="00CA4ABC">
        <w:rPr>
          <w:rFonts w:cstheme="minorHAnsi"/>
          <w:color w:val="000000" w:themeColor="text1"/>
        </w:rPr>
        <w:t>6</w:t>
      </w:r>
      <w:r w:rsidRPr="00CA4ABC">
        <w:rPr>
          <w:rFonts w:cstheme="minorHAnsi"/>
          <w:color w:val="000000" w:themeColor="text1"/>
        </w:rPr>
        <w:t xml:space="preserve">) </w:t>
      </w:r>
    </w:p>
    <w:p w14:paraId="36062F52" w14:textId="77777777" w:rsidR="00F13BED" w:rsidRPr="00CA4ABC" w:rsidRDefault="00F13BED" w:rsidP="004053D7">
      <w:pPr>
        <w:spacing w:line="360" w:lineRule="auto"/>
        <w:rPr>
          <w:rFonts w:cstheme="minorHAnsi"/>
          <w:color w:val="000000" w:themeColor="text1"/>
        </w:rPr>
      </w:pPr>
    </w:p>
    <w:p w14:paraId="26522CD0" w14:textId="10C83076" w:rsidR="00F13BED" w:rsidRPr="00CA4ABC" w:rsidRDefault="00CF00DE" w:rsidP="004053D7">
      <w:pPr>
        <w:spacing w:line="360" w:lineRule="auto"/>
        <w:rPr>
          <w:rFonts w:cstheme="minorHAnsi"/>
          <w:color w:val="000000" w:themeColor="text1"/>
        </w:rPr>
      </w:pPr>
      <w:r w:rsidRPr="00CA4ABC">
        <w:rPr>
          <w:rFonts w:cstheme="minorHAnsi"/>
          <w:color w:val="000000" w:themeColor="text1"/>
        </w:rPr>
        <w:t>3.</w:t>
      </w:r>
      <w:r w:rsidR="00D323D0" w:rsidRPr="00CA4ABC">
        <w:rPr>
          <w:rFonts w:cstheme="minorHAnsi"/>
          <w:color w:val="000000" w:themeColor="text1"/>
        </w:rPr>
        <w:t>4</w:t>
      </w:r>
      <w:r w:rsidRPr="00CA4ABC">
        <w:rPr>
          <w:rFonts w:cstheme="minorHAnsi"/>
          <w:color w:val="000000" w:themeColor="text1"/>
        </w:rPr>
        <w:t xml:space="preserve">.5 </w:t>
      </w:r>
      <w:r w:rsidR="00F13BED" w:rsidRPr="00CA4ABC">
        <w:rPr>
          <w:rFonts w:cstheme="minorHAnsi"/>
          <w:color w:val="000000" w:themeColor="text1"/>
        </w:rPr>
        <w:t>Participant workflow</w:t>
      </w:r>
    </w:p>
    <w:p w14:paraId="398E011A" w14:textId="228DAE7F" w:rsidR="00F13BED" w:rsidRPr="00CA4ABC" w:rsidRDefault="00D97AEB" w:rsidP="005D4B99">
      <w:pPr>
        <w:spacing w:line="360" w:lineRule="auto"/>
        <w:ind w:firstLine="720"/>
        <w:rPr>
          <w:rFonts w:cstheme="minorHAnsi"/>
          <w:color w:val="000000" w:themeColor="text1"/>
        </w:rPr>
      </w:pPr>
      <w:r w:rsidRPr="00CA4ABC">
        <w:rPr>
          <w:rFonts w:cstheme="minorHAnsi"/>
          <w:color w:val="000000" w:themeColor="text1"/>
        </w:rPr>
        <w:t>The participant</w:t>
      </w:r>
      <w:r w:rsidR="00935AAE" w:rsidRPr="00CA4ABC">
        <w:rPr>
          <w:rFonts w:cstheme="minorHAnsi"/>
          <w:color w:val="000000" w:themeColor="text1"/>
        </w:rPr>
        <w:t>’s</w:t>
      </w:r>
      <w:r w:rsidRPr="00CA4ABC">
        <w:rPr>
          <w:rFonts w:cstheme="minorHAnsi"/>
          <w:color w:val="000000" w:themeColor="text1"/>
        </w:rPr>
        <w:t xml:space="preserve"> </w:t>
      </w:r>
      <w:r w:rsidR="00935AAE" w:rsidRPr="00CA4ABC">
        <w:rPr>
          <w:rFonts w:cstheme="minorHAnsi"/>
          <w:color w:val="000000" w:themeColor="text1"/>
        </w:rPr>
        <w:t>required engagement</w:t>
      </w:r>
      <w:r w:rsidRPr="00CA4ABC">
        <w:rPr>
          <w:rFonts w:cstheme="minorHAnsi"/>
          <w:color w:val="000000" w:themeColor="text1"/>
        </w:rPr>
        <w:t xml:space="preserve"> in the research is illustrated in</w:t>
      </w:r>
      <w:r w:rsidR="004B779A" w:rsidRPr="00CA4ABC">
        <w:rPr>
          <w:rFonts w:cstheme="minorHAnsi"/>
          <w:color w:val="000000" w:themeColor="text1"/>
        </w:rPr>
        <w:t xml:space="preserve"> Figure</w:t>
      </w:r>
      <w:r w:rsidRPr="00CA4ABC">
        <w:rPr>
          <w:rFonts w:cstheme="minorHAnsi"/>
          <w:color w:val="000000" w:themeColor="text1"/>
        </w:rPr>
        <w:t xml:space="preserve"> </w:t>
      </w:r>
      <w:r w:rsidR="004B779A" w:rsidRPr="00CA4ABC">
        <w:rPr>
          <w:rFonts w:cstheme="minorHAnsi"/>
          <w:color w:val="000000" w:themeColor="text1"/>
        </w:rPr>
        <w:t>8</w:t>
      </w:r>
      <w:r w:rsidRPr="00CA4ABC">
        <w:rPr>
          <w:rFonts w:cstheme="minorHAnsi"/>
          <w:color w:val="000000" w:themeColor="text1"/>
        </w:rPr>
        <w:t xml:space="preserve">. </w:t>
      </w:r>
      <w:r w:rsidR="00F13BED" w:rsidRPr="00CA4ABC">
        <w:rPr>
          <w:rFonts w:cstheme="minorHAnsi"/>
          <w:color w:val="000000" w:themeColor="text1"/>
        </w:rPr>
        <w:t>The opening page of the survey</w:t>
      </w:r>
      <w:r w:rsidR="00935AAE" w:rsidRPr="00CA4ABC">
        <w:rPr>
          <w:rFonts w:cstheme="minorHAnsi"/>
          <w:color w:val="000000" w:themeColor="text1"/>
        </w:rPr>
        <w:t xml:space="preserve"> contained the participant information sheet to</w:t>
      </w:r>
      <w:r w:rsidR="00F13BED" w:rsidRPr="00CA4ABC">
        <w:rPr>
          <w:rFonts w:cstheme="minorHAnsi"/>
          <w:color w:val="000000" w:themeColor="text1"/>
        </w:rPr>
        <w:t xml:space="preserve"> inform participants about </w:t>
      </w:r>
      <w:r w:rsidR="00935AAE" w:rsidRPr="00CA4ABC">
        <w:rPr>
          <w:rFonts w:cstheme="minorHAnsi"/>
          <w:color w:val="000000" w:themeColor="text1"/>
        </w:rPr>
        <w:t>the study requirements</w:t>
      </w:r>
      <w:r w:rsidR="007F17C2" w:rsidRPr="00CA4ABC">
        <w:rPr>
          <w:rFonts w:cstheme="minorHAnsi"/>
          <w:color w:val="000000" w:themeColor="text1"/>
        </w:rPr>
        <w:t xml:space="preserve"> (appendix </w:t>
      </w:r>
      <w:r w:rsidR="00E976D3" w:rsidRPr="00CA4ABC">
        <w:rPr>
          <w:rFonts w:cstheme="minorHAnsi"/>
          <w:color w:val="000000" w:themeColor="text1"/>
        </w:rPr>
        <w:t>2</w:t>
      </w:r>
      <w:r w:rsidR="00F13BED" w:rsidRPr="00CA4ABC">
        <w:rPr>
          <w:rFonts w:cstheme="minorHAnsi"/>
          <w:color w:val="000000" w:themeColor="text1"/>
        </w:rPr>
        <w:t>.</w:t>
      </w:r>
      <w:r w:rsidR="007F17C2" w:rsidRPr="00CA4ABC">
        <w:rPr>
          <w:rFonts w:cstheme="minorHAnsi"/>
          <w:color w:val="000000" w:themeColor="text1"/>
        </w:rPr>
        <w:t>)</w:t>
      </w:r>
      <w:r w:rsidR="00F13BED" w:rsidRPr="00CA4ABC">
        <w:rPr>
          <w:rFonts w:cstheme="minorHAnsi"/>
          <w:color w:val="000000" w:themeColor="text1"/>
        </w:rPr>
        <w:t xml:space="preserve">  Participants were required to give informed consent </w:t>
      </w:r>
      <w:r w:rsidR="00876551" w:rsidRPr="00CA4ABC">
        <w:rPr>
          <w:rFonts w:cstheme="minorHAnsi"/>
          <w:color w:val="000000" w:themeColor="text1"/>
        </w:rPr>
        <w:t>to</w:t>
      </w:r>
      <w:r w:rsidR="00F13BED" w:rsidRPr="00CA4ABC">
        <w:rPr>
          <w:rFonts w:cstheme="minorHAnsi"/>
          <w:color w:val="000000" w:themeColor="text1"/>
        </w:rPr>
        <w:t xml:space="preserve"> proceed with the questionnaire</w:t>
      </w:r>
      <w:r w:rsidR="004B779A" w:rsidRPr="00CA4ABC">
        <w:rPr>
          <w:rFonts w:cstheme="minorHAnsi"/>
          <w:color w:val="000000" w:themeColor="text1"/>
        </w:rPr>
        <w:t xml:space="preserve"> and</w:t>
      </w:r>
      <w:r w:rsidR="00F13BED" w:rsidRPr="00CA4ABC">
        <w:rPr>
          <w:rFonts w:cstheme="minorHAnsi"/>
          <w:color w:val="000000" w:themeColor="text1"/>
        </w:rPr>
        <w:t xml:space="preserve"> were free to ask the researcher </w:t>
      </w:r>
      <w:r w:rsidR="00876551" w:rsidRPr="00CA4ABC">
        <w:rPr>
          <w:rFonts w:cstheme="minorHAnsi"/>
          <w:color w:val="000000" w:themeColor="text1"/>
        </w:rPr>
        <w:t>questions via telephone or email</w:t>
      </w:r>
      <w:r w:rsidR="00F13BED" w:rsidRPr="00CA4ABC">
        <w:rPr>
          <w:rFonts w:cstheme="minorHAnsi"/>
          <w:color w:val="000000" w:themeColor="text1"/>
        </w:rPr>
        <w:t xml:space="preserve">. A further requirement for completing part 1 of the research was </w:t>
      </w:r>
      <w:r w:rsidR="00876551" w:rsidRPr="00CA4ABC">
        <w:rPr>
          <w:rFonts w:cstheme="minorHAnsi"/>
          <w:color w:val="000000" w:themeColor="text1"/>
        </w:rPr>
        <w:t>providing</w:t>
      </w:r>
      <w:r w:rsidR="00F13BED" w:rsidRPr="00CA4ABC">
        <w:rPr>
          <w:rFonts w:cstheme="minorHAnsi"/>
          <w:color w:val="000000" w:themeColor="text1"/>
        </w:rPr>
        <w:t xml:space="preserve"> an email address. This email address was then used to send through their personalised, anonymised login details for their Intake24 account. </w:t>
      </w:r>
      <w:r w:rsidR="00876551" w:rsidRPr="00CA4ABC">
        <w:rPr>
          <w:rFonts w:cstheme="minorHAnsi"/>
          <w:color w:val="000000" w:themeColor="text1"/>
        </w:rPr>
        <w:t>Participants were also provided further information about part 2 of the research in this email</w:t>
      </w:r>
      <w:r w:rsidR="00F13BED" w:rsidRPr="00CA4ABC">
        <w:rPr>
          <w:rFonts w:cstheme="minorHAnsi"/>
          <w:color w:val="000000" w:themeColor="text1"/>
        </w:rPr>
        <w:t xml:space="preserve">. The final page of </w:t>
      </w:r>
      <w:r w:rsidR="009D6763" w:rsidRPr="00CA4ABC">
        <w:rPr>
          <w:rFonts w:cstheme="minorHAnsi"/>
          <w:color w:val="000000" w:themeColor="text1"/>
        </w:rPr>
        <w:t>I</w:t>
      </w:r>
      <w:r w:rsidR="00F13BED" w:rsidRPr="00CA4ABC">
        <w:rPr>
          <w:rFonts w:cstheme="minorHAnsi"/>
          <w:color w:val="000000" w:themeColor="text1"/>
        </w:rPr>
        <w:t xml:space="preserve">ntake24 was personalised by the SheffProUK research team and contained the link to the </w:t>
      </w:r>
      <w:r w:rsidR="00876551" w:rsidRPr="00CA4ABC">
        <w:rPr>
          <w:rFonts w:cstheme="minorHAnsi"/>
          <w:color w:val="000000" w:themeColor="text1"/>
        </w:rPr>
        <w:t>last</w:t>
      </w:r>
      <w:r w:rsidR="00F13BED" w:rsidRPr="00CA4ABC">
        <w:rPr>
          <w:rFonts w:cstheme="minorHAnsi"/>
          <w:color w:val="000000" w:themeColor="text1"/>
        </w:rPr>
        <w:t xml:space="preserve"> part of the research (part 3). If participants missed this link and did not automatically complete part 3</w:t>
      </w:r>
      <w:r w:rsidR="00876551" w:rsidRPr="00CA4ABC">
        <w:rPr>
          <w:rFonts w:cstheme="minorHAnsi"/>
          <w:color w:val="000000" w:themeColor="text1"/>
        </w:rPr>
        <w:t>,</w:t>
      </w:r>
      <w:r w:rsidR="00CF00DE" w:rsidRPr="00CA4ABC">
        <w:rPr>
          <w:rFonts w:cstheme="minorHAnsi"/>
          <w:color w:val="000000" w:themeColor="text1"/>
        </w:rPr>
        <w:t xml:space="preserve"> </w:t>
      </w:r>
      <w:r w:rsidR="00F13BED" w:rsidRPr="00CA4ABC">
        <w:rPr>
          <w:rFonts w:cstheme="minorHAnsi"/>
          <w:color w:val="000000" w:themeColor="text1"/>
        </w:rPr>
        <w:t xml:space="preserve">they were </w:t>
      </w:r>
      <w:r w:rsidR="007D04BD">
        <w:rPr>
          <w:rFonts w:cstheme="minorHAnsi"/>
          <w:color w:val="000000" w:themeColor="text1"/>
        </w:rPr>
        <w:t>emailed a link to part 3</w:t>
      </w:r>
      <w:r w:rsidR="00F13BED" w:rsidRPr="00CA4ABC">
        <w:rPr>
          <w:rFonts w:cstheme="minorHAnsi"/>
          <w:color w:val="000000" w:themeColor="text1"/>
        </w:rPr>
        <w:t xml:space="preserve">. The first page of part 3 </w:t>
      </w:r>
      <w:r w:rsidR="00CF00DE" w:rsidRPr="00CA4ABC">
        <w:rPr>
          <w:rFonts w:cstheme="minorHAnsi"/>
          <w:color w:val="000000" w:themeColor="text1"/>
        </w:rPr>
        <w:t>provided</w:t>
      </w:r>
      <w:r w:rsidR="00F13BED" w:rsidRPr="00CA4ABC">
        <w:rPr>
          <w:rFonts w:cstheme="minorHAnsi"/>
          <w:color w:val="000000" w:themeColor="text1"/>
        </w:rPr>
        <w:t xml:space="preserve"> participants</w:t>
      </w:r>
      <w:r w:rsidR="00ED17C8" w:rsidRPr="00CA4ABC">
        <w:rPr>
          <w:rFonts w:cstheme="minorHAnsi"/>
          <w:color w:val="000000" w:themeColor="text1"/>
        </w:rPr>
        <w:t xml:space="preserve"> with</w:t>
      </w:r>
      <w:r w:rsidR="00F13BED" w:rsidRPr="00CA4ABC">
        <w:rPr>
          <w:rFonts w:cstheme="minorHAnsi"/>
          <w:color w:val="000000" w:themeColor="text1"/>
        </w:rPr>
        <w:t xml:space="preserve"> an overview of the purpose of</w:t>
      </w:r>
      <w:r w:rsidR="004B779A" w:rsidRPr="00CA4ABC">
        <w:rPr>
          <w:rFonts w:cstheme="minorHAnsi"/>
          <w:color w:val="000000" w:themeColor="text1"/>
        </w:rPr>
        <w:t xml:space="preserve"> the research and requested that they</w:t>
      </w:r>
      <w:r w:rsidR="00F13BED" w:rsidRPr="00CA4ABC">
        <w:rPr>
          <w:rFonts w:cstheme="minorHAnsi"/>
          <w:color w:val="000000" w:themeColor="text1"/>
        </w:rPr>
        <w:t xml:space="preserve"> </w:t>
      </w:r>
      <w:r w:rsidR="00876551" w:rsidRPr="00CA4ABC">
        <w:rPr>
          <w:rFonts w:cstheme="minorHAnsi"/>
          <w:color w:val="000000" w:themeColor="text1"/>
        </w:rPr>
        <w:t>re-confirm</w:t>
      </w:r>
      <w:r w:rsidR="00ED17C8" w:rsidRPr="00CA4ABC">
        <w:rPr>
          <w:rFonts w:cstheme="minorHAnsi"/>
          <w:color w:val="000000" w:themeColor="text1"/>
        </w:rPr>
        <w:t xml:space="preserve"> their</w:t>
      </w:r>
      <w:r w:rsidR="00CF00DE" w:rsidRPr="00CA4ABC">
        <w:rPr>
          <w:rFonts w:cstheme="minorHAnsi"/>
          <w:color w:val="000000" w:themeColor="text1"/>
        </w:rPr>
        <w:t xml:space="preserve"> </w:t>
      </w:r>
      <w:r w:rsidR="00F13BED" w:rsidRPr="00CA4ABC">
        <w:rPr>
          <w:rFonts w:cstheme="minorHAnsi"/>
          <w:color w:val="000000" w:themeColor="text1"/>
        </w:rPr>
        <w:t>consent before answer</w:t>
      </w:r>
      <w:r w:rsidR="00EA0130" w:rsidRPr="00CA4ABC">
        <w:rPr>
          <w:rFonts w:cstheme="minorHAnsi"/>
          <w:color w:val="000000" w:themeColor="text1"/>
        </w:rPr>
        <w:t>ing</w:t>
      </w:r>
      <w:r w:rsidR="00F13BED" w:rsidRPr="00CA4ABC">
        <w:rPr>
          <w:rFonts w:cstheme="minorHAnsi"/>
          <w:color w:val="000000" w:themeColor="text1"/>
        </w:rPr>
        <w:t xml:space="preserve"> the 11</w:t>
      </w:r>
      <w:r w:rsidR="004B779A" w:rsidRPr="00CA4ABC">
        <w:rPr>
          <w:rFonts w:cstheme="minorHAnsi"/>
          <w:color w:val="000000" w:themeColor="text1"/>
        </w:rPr>
        <w:t xml:space="preserve"> </w:t>
      </w:r>
      <w:r w:rsidR="00F13BED" w:rsidRPr="00CA4ABC">
        <w:rPr>
          <w:rFonts w:cstheme="minorHAnsi"/>
          <w:color w:val="000000" w:themeColor="text1"/>
        </w:rPr>
        <w:t>questions</w:t>
      </w:r>
      <w:r w:rsidR="004B779A" w:rsidRPr="00CA4ABC">
        <w:rPr>
          <w:rFonts w:cstheme="minorHAnsi"/>
          <w:color w:val="000000" w:themeColor="text1"/>
        </w:rPr>
        <w:t xml:space="preserve"> to</w:t>
      </w:r>
      <w:r w:rsidR="00F13BED" w:rsidRPr="00CA4ABC">
        <w:rPr>
          <w:rFonts w:cstheme="minorHAnsi"/>
          <w:color w:val="000000" w:themeColor="text1"/>
        </w:rPr>
        <w:t xml:space="preserve"> test protein knowledge.</w:t>
      </w:r>
    </w:p>
    <w:p w14:paraId="17CD1E9C" w14:textId="77777777" w:rsidR="00F13BED" w:rsidRPr="00CA4ABC" w:rsidRDefault="00F13BED" w:rsidP="004053D7">
      <w:pPr>
        <w:spacing w:line="360" w:lineRule="auto"/>
        <w:rPr>
          <w:rFonts w:cstheme="minorHAnsi"/>
          <w:color w:val="000000" w:themeColor="text1"/>
        </w:rPr>
      </w:pPr>
    </w:p>
    <w:p w14:paraId="2DB08750" w14:textId="34D8E901" w:rsidR="00F13BED" w:rsidRPr="00CA4ABC" w:rsidRDefault="00E62FE6" w:rsidP="004053D7">
      <w:pPr>
        <w:spacing w:line="360" w:lineRule="auto"/>
        <w:rPr>
          <w:rFonts w:cstheme="minorHAnsi"/>
          <w:color w:val="000000" w:themeColor="text1"/>
        </w:rPr>
      </w:pPr>
      <w:r w:rsidRPr="00CA4ABC">
        <w:rPr>
          <w:rFonts w:cstheme="minorHAnsi"/>
          <w:noProof/>
          <w:color w:val="000000" w:themeColor="text1"/>
        </w:rPr>
        <w:drawing>
          <wp:anchor distT="0" distB="0" distL="114300" distR="114300" simplePos="0" relativeHeight="251648000" behindDoc="0" locked="0" layoutInCell="1" allowOverlap="1" wp14:anchorId="6A3BBDB2" wp14:editId="77D1C53F">
            <wp:simplePos x="0" y="0"/>
            <wp:positionH relativeFrom="column">
              <wp:posOffset>-905510</wp:posOffset>
            </wp:positionH>
            <wp:positionV relativeFrom="paragraph">
              <wp:posOffset>1450975</wp:posOffset>
            </wp:positionV>
            <wp:extent cx="7547610" cy="3667760"/>
            <wp:effectExtent l="0" t="0" r="0" b="2540"/>
            <wp:wrapSquare wrapText="bothSides"/>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7547610" cy="3667760"/>
                    </a:xfrm>
                    <a:prstGeom prst="rect">
                      <a:avLst/>
                    </a:prstGeom>
                  </pic:spPr>
                </pic:pic>
              </a:graphicData>
            </a:graphic>
            <wp14:sizeRelH relativeFrom="page">
              <wp14:pctWidth>0</wp14:pctWidth>
            </wp14:sizeRelH>
            <wp14:sizeRelV relativeFrom="page">
              <wp14:pctHeight>0</wp14:pctHeight>
            </wp14:sizeRelV>
          </wp:anchor>
        </w:drawing>
      </w:r>
      <w:r w:rsidR="00F13BED" w:rsidRPr="00CA4ABC">
        <w:rPr>
          <w:rFonts w:cstheme="minorHAnsi"/>
          <w:color w:val="000000" w:themeColor="text1"/>
        </w:rPr>
        <w:t xml:space="preserve">If participants had </w:t>
      </w:r>
      <w:r w:rsidR="007D04BD">
        <w:rPr>
          <w:rFonts w:cstheme="minorHAnsi"/>
          <w:color w:val="000000" w:themeColor="text1"/>
        </w:rPr>
        <w:t>not completed</w:t>
      </w:r>
      <w:r w:rsidR="00F13BED" w:rsidRPr="00CA4ABC">
        <w:rPr>
          <w:rFonts w:cstheme="minorHAnsi"/>
          <w:color w:val="000000" w:themeColor="text1"/>
        </w:rPr>
        <w:t xml:space="preserve"> their 24-hour recall (part 2) within a week of receiving their login details to the Intake24 website</w:t>
      </w:r>
      <w:r w:rsidR="00876551" w:rsidRPr="00CA4ABC">
        <w:rPr>
          <w:rFonts w:cstheme="minorHAnsi"/>
          <w:color w:val="000000" w:themeColor="text1"/>
        </w:rPr>
        <w:t>,</w:t>
      </w:r>
      <w:r w:rsidR="00F13BED" w:rsidRPr="00CA4ABC">
        <w:rPr>
          <w:rFonts w:cstheme="minorHAnsi"/>
          <w:color w:val="000000" w:themeColor="text1"/>
        </w:rPr>
        <w:t xml:space="preserve"> they were sent a reminder email. One final email </w:t>
      </w:r>
      <w:r w:rsidR="00F13BED" w:rsidRPr="00CA4ABC">
        <w:rPr>
          <w:rFonts w:cstheme="minorHAnsi"/>
          <w:color w:val="000000" w:themeColor="text1"/>
        </w:rPr>
        <w:lastRenderedPageBreak/>
        <w:t>was sent if over one month ha</w:t>
      </w:r>
      <w:r w:rsidR="00876551" w:rsidRPr="00CA4ABC">
        <w:rPr>
          <w:rFonts w:cstheme="minorHAnsi"/>
          <w:color w:val="000000" w:themeColor="text1"/>
        </w:rPr>
        <w:t>d</w:t>
      </w:r>
      <w:r w:rsidR="00F13BED" w:rsidRPr="00CA4ABC">
        <w:rPr>
          <w:rFonts w:cstheme="minorHAnsi"/>
          <w:color w:val="000000" w:themeColor="text1"/>
        </w:rPr>
        <w:t xml:space="preserve"> passed without </w:t>
      </w:r>
      <w:r w:rsidR="009D6763" w:rsidRPr="00CA4ABC">
        <w:rPr>
          <w:rFonts w:cstheme="minorHAnsi"/>
          <w:color w:val="000000" w:themeColor="text1"/>
        </w:rPr>
        <w:t>completing</w:t>
      </w:r>
      <w:r w:rsidR="00F13BED" w:rsidRPr="00CA4ABC">
        <w:rPr>
          <w:rFonts w:cstheme="minorHAnsi"/>
          <w:color w:val="000000" w:themeColor="text1"/>
        </w:rPr>
        <w:t xml:space="preserve"> part 2. If individuals had </w:t>
      </w:r>
      <w:r w:rsidR="007D04BD">
        <w:rPr>
          <w:rFonts w:cstheme="minorHAnsi"/>
          <w:color w:val="000000" w:themeColor="text1"/>
        </w:rPr>
        <w:t>not completed</w:t>
      </w:r>
      <w:r w:rsidR="00F13BED" w:rsidRPr="00CA4ABC">
        <w:rPr>
          <w:rFonts w:cstheme="minorHAnsi"/>
          <w:color w:val="000000" w:themeColor="text1"/>
        </w:rPr>
        <w:t xml:space="preserve"> parts </w:t>
      </w:r>
      <w:r w:rsidR="004B779A" w:rsidRPr="00CA4ABC">
        <w:rPr>
          <w:rFonts w:cstheme="minorHAnsi"/>
          <w:color w:val="000000" w:themeColor="text1"/>
        </w:rPr>
        <w:t>2</w:t>
      </w:r>
      <w:r w:rsidR="00F13BED" w:rsidRPr="00CA4ABC">
        <w:rPr>
          <w:rFonts w:cstheme="minorHAnsi"/>
          <w:color w:val="000000" w:themeColor="text1"/>
        </w:rPr>
        <w:t xml:space="preserve"> and </w:t>
      </w:r>
      <w:r w:rsidR="004B779A" w:rsidRPr="00CA4ABC">
        <w:rPr>
          <w:rFonts w:cstheme="minorHAnsi"/>
          <w:color w:val="000000" w:themeColor="text1"/>
        </w:rPr>
        <w:t>3</w:t>
      </w:r>
      <w:r w:rsidR="00F13BED" w:rsidRPr="00CA4ABC">
        <w:rPr>
          <w:rFonts w:cstheme="minorHAnsi"/>
          <w:color w:val="000000" w:themeColor="text1"/>
        </w:rPr>
        <w:t xml:space="preserve"> by the time the survey was closed (15.08.22)</w:t>
      </w:r>
      <w:r w:rsidR="00876551" w:rsidRPr="00CA4ABC">
        <w:rPr>
          <w:rFonts w:cstheme="minorHAnsi"/>
          <w:color w:val="000000" w:themeColor="text1"/>
        </w:rPr>
        <w:t>,</w:t>
      </w:r>
      <w:r w:rsidR="00F13BED" w:rsidRPr="00CA4ABC">
        <w:rPr>
          <w:rFonts w:cstheme="minorHAnsi"/>
          <w:color w:val="000000" w:themeColor="text1"/>
        </w:rPr>
        <w:t xml:space="preserve"> their response to part 1 was removed</w:t>
      </w:r>
      <w:r w:rsidR="004B779A" w:rsidRPr="00CA4ABC">
        <w:rPr>
          <w:rFonts w:cstheme="minorHAnsi"/>
          <w:color w:val="000000" w:themeColor="text1"/>
        </w:rPr>
        <w:t>,</w:t>
      </w:r>
      <w:r w:rsidR="00F13BED" w:rsidRPr="00CA4ABC">
        <w:rPr>
          <w:rFonts w:cstheme="minorHAnsi"/>
          <w:color w:val="000000" w:themeColor="text1"/>
        </w:rPr>
        <w:t xml:space="preserve"> and their data was not included in the analysis.</w:t>
      </w:r>
    </w:p>
    <w:p w14:paraId="3EE9490A" w14:textId="5041139D" w:rsidR="00CF00DE" w:rsidRPr="00651B78" w:rsidRDefault="00651B78" w:rsidP="00651B78">
      <w:pPr>
        <w:pStyle w:val="Caption"/>
        <w:rPr>
          <w:i w:val="0"/>
          <w:iCs w:val="0"/>
          <w:sz w:val="24"/>
          <w:szCs w:val="24"/>
        </w:rPr>
      </w:pPr>
      <w:bookmarkStart w:id="102" w:name="_Toc127044186"/>
      <w:bookmarkStart w:id="103" w:name="_Toc127978468"/>
      <w:r w:rsidRPr="00651B78">
        <w:rPr>
          <w:i w:val="0"/>
          <w:iCs w:val="0"/>
          <w:color w:val="000000" w:themeColor="text1"/>
          <w:sz w:val="24"/>
          <w:szCs w:val="24"/>
        </w:rPr>
        <w:t xml:space="preserve">Figure </w:t>
      </w:r>
      <w:r w:rsidRPr="00651B78">
        <w:rPr>
          <w:i w:val="0"/>
          <w:iCs w:val="0"/>
          <w:color w:val="000000" w:themeColor="text1"/>
          <w:sz w:val="24"/>
          <w:szCs w:val="24"/>
        </w:rPr>
        <w:fldChar w:fldCharType="begin"/>
      </w:r>
      <w:r w:rsidRPr="00651B78">
        <w:rPr>
          <w:i w:val="0"/>
          <w:iCs w:val="0"/>
          <w:color w:val="000000" w:themeColor="text1"/>
          <w:sz w:val="24"/>
          <w:szCs w:val="24"/>
        </w:rPr>
        <w:instrText xml:space="preserve"> SEQ Figure \* ARABIC </w:instrText>
      </w:r>
      <w:r w:rsidRPr="00651B78">
        <w:rPr>
          <w:i w:val="0"/>
          <w:iCs w:val="0"/>
          <w:color w:val="000000" w:themeColor="text1"/>
          <w:sz w:val="24"/>
          <w:szCs w:val="24"/>
        </w:rPr>
        <w:fldChar w:fldCharType="separate"/>
      </w:r>
      <w:r w:rsidR="002B439C">
        <w:rPr>
          <w:i w:val="0"/>
          <w:iCs w:val="0"/>
          <w:noProof/>
          <w:color w:val="000000" w:themeColor="text1"/>
          <w:sz w:val="24"/>
          <w:szCs w:val="24"/>
        </w:rPr>
        <w:t>8</w:t>
      </w:r>
      <w:r w:rsidRPr="00651B78">
        <w:rPr>
          <w:i w:val="0"/>
          <w:iCs w:val="0"/>
          <w:color w:val="000000" w:themeColor="text1"/>
          <w:sz w:val="24"/>
          <w:szCs w:val="24"/>
        </w:rPr>
        <w:fldChar w:fldCharType="end"/>
      </w:r>
      <w:r w:rsidR="00CC1E23" w:rsidRPr="00651B78">
        <w:rPr>
          <w:rFonts w:cstheme="minorHAnsi"/>
          <w:i w:val="0"/>
          <w:iCs w:val="0"/>
          <w:color w:val="000000" w:themeColor="text1"/>
          <w:sz w:val="24"/>
          <w:szCs w:val="24"/>
        </w:rPr>
        <w:t>. An</w:t>
      </w:r>
      <w:r w:rsidR="00CF00DE" w:rsidRPr="00651B78">
        <w:rPr>
          <w:rFonts w:cstheme="minorHAnsi"/>
          <w:i w:val="0"/>
          <w:iCs w:val="0"/>
          <w:color w:val="000000" w:themeColor="text1"/>
          <w:sz w:val="24"/>
          <w:szCs w:val="24"/>
        </w:rPr>
        <w:t xml:space="preserve"> overview of participant workflow for all three </w:t>
      </w:r>
      <w:r w:rsidR="00876551" w:rsidRPr="00651B78">
        <w:rPr>
          <w:rFonts w:cstheme="minorHAnsi"/>
          <w:i w:val="0"/>
          <w:iCs w:val="0"/>
          <w:color w:val="000000" w:themeColor="text1"/>
          <w:sz w:val="24"/>
          <w:szCs w:val="24"/>
        </w:rPr>
        <w:t>parts</w:t>
      </w:r>
      <w:r w:rsidR="00CF00DE" w:rsidRPr="00651B78">
        <w:rPr>
          <w:rFonts w:cstheme="minorHAnsi"/>
          <w:i w:val="0"/>
          <w:iCs w:val="0"/>
          <w:color w:val="000000" w:themeColor="text1"/>
          <w:sz w:val="24"/>
          <w:szCs w:val="24"/>
        </w:rPr>
        <w:t xml:space="preserve"> of the SheffProUk study.</w:t>
      </w:r>
      <w:bookmarkEnd w:id="102"/>
      <w:bookmarkEnd w:id="103"/>
    </w:p>
    <w:p w14:paraId="33E32520" w14:textId="1A891B13" w:rsidR="00CF00DE" w:rsidRPr="00CA4ABC" w:rsidRDefault="00CF00DE" w:rsidP="004053D7">
      <w:pPr>
        <w:spacing w:line="360" w:lineRule="auto"/>
        <w:rPr>
          <w:rFonts w:cstheme="minorHAnsi"/>
          <w:color w:val="000000" w:themeColor="text1"/>
        </w:rPr>
      </w:pPr>
    </w:p>
    <w:p w14:paraId="18E07B00" w14:textId="77777777" w:rsidR="00CF00DE" w:rsidRPr="00CA4ABC" w:rsidRDefault="00CF00DE" w:rsidP="004053D7">
      <w:pPr>
        <w:spacing w:line="360" w:lineRule="auto"/>
        <w:rPr>
          <w:rFonts w:cstheme="minorHAnsi"/>
          <w:color w:val="000000" w:themeColor="text1"/>
        </w:rPr>
      </w:pPr>
    </w:p>
    <w:p w14:paraId="6843D9BB" w14:textId="6AF7E273" w:rsidR="00F13BED" w:rsidRPr="00CA4ABC" w:rsidRDefault="00CF00DE" w:rsidP="004053D7">
      <w:pPr>
        <w:pStyle w:val="Heading3"/>
        <w:spacing w:line="360" w:lineRule="auto"/>
        <w:rPr>
          <w:rFonts w:asciiTheme="minorHAnsi" w:hAnsiTheme="minorHAnsi" w:cstheme="minorHAnsi"/>
          <w:color w:val="000000" w:themeColor="text1"/>
        </w:rPr>
      </w:pPr>
      <w:bookmarkStart w:id="104" w:name="_Toc135384287"/>
      <w:r w:rsidRPr="00CA4ABC">
        <w:rPr>
          <w:rFonts w:asciiTheme="minorHAnsi" w:hAnsiTheme="minorHAnsi" w:cstheme="minorHAnsi"/>
          <w:color w:val="000000" w:themeColor="text1"/>
        </w:rPr>
        <w:t xml:space="preserve">3.5.6 </w:t>
      </w:r>
      <w:r w:rsidR="00F13BED" w:rsidRPr="00CA4ABC">
        <w:rPr>
          <w:rFonts w:asciiTheme="minorHAnsi" w:hAnsiTheme="minorHAnsi" w:cstheme="minorHAnsi"/>
          <w:color w:val="000000" w:themeColor="text1"/>
        </w:rPr>
        <w:t>Prize draw</w:t>
      </w:r>
      <w:bookmarkEnd w:id="104"/>
    </w:p>
    <w:p w14:paraId="6B466029" w14:textId="7315917F" w:rsidR="00F13BED" w:rsidRPr="00CA4ABC" w:rsidRDefault="00F13BED" w:rsidP="00E62FE6">
      <w:pPr>
        <w:spacing w:line="360" w:lineRule="auto"/>
        <w:ind w:firstLine="720"/>
        <w:rPr>
          <w:rFonts w:cstheme="minorHAnsi"/>
          <w:color w:val="000000" w:themeColor="text1"/>
        </w:rPr>
      </w:pPr>
      <w:r w:rsidRPr="00CA4ABC">
        <w:rPr>
          <w:rFonts w:cstheme="minorHAnsi"/>
          <w:color w:val="000000" w:themeColor="text1"/>
        </w:rPr>
        <w:t xml:space="preserve">A prize draw of </w:t>
      </w:r>
      <w:r w:rsidR="00EA0130" w:rsidRPr="00CA4ABC">
        <w:rPr>
          <w:rFonts w:cstheme="minorHAnsi"/>
          <w:color w:val="000000" w:themeColor="text1"/>
        </w:rPr>
        <w:t>five</w:t>
      </w:r>
      <w:r w:rsidRPr="00CA4ABC">
        <w:rPr>
          <w:rFonts w:cstheme="minorHAnsi"/>
          <w:color w:val="000000" w:themeColor="text1"/>
        </w:rPr>
        <w:t xml:space="preserve"> </w:t>
      </w:r>
      <w:r w:rsidR="00EA0130" w:rsidRPr="00CA4ABC">
        <w:rPr>
          <w:rFonts w:cstheme="minorHAnsi"/>
          <w:color w:val="000000" w:themeColor="text1"/>
        </w:rPr>
        <w:t>sets of</w:t>
      </w:r>
      <w:r w:rsidRPr="00CA4ABC">
        <w:rPr>
          <w:rFonts w:cstheme="minorHAnsi"/>
          <w:color w:val="000000" w:themeColor="text1"/>
        </w:rPr>
        <w:t xml:space="preserve"> £100 amazon vouchers was included to incentiv</w:t>
      </w:r>
      <w:r w:rsidR="00E62FE6" w:rsidRPr="00CA4ABC">
        <w:rPr>
          <w:rFonts w:cstheme="minorHAnsi"/>
          <w:color w:val="000000" w:themeColor="text1"/>
        </w:rPr>
        <w:t>ise</w:t>
      </w:r>
      <w:r w:rsidRPr="00CA4ABC">
        <w:rPr>
          <w:rFonts w:cstheme="minorHAnsi"/>
          <w:color w:val="000000" w:themeColor="text1"/>
        </w:rPr>
        <w:t xml:space="preserve"> complet</w:t>
      </w:r>
      <w:r w:rsidR="00E62FE6" w:rsidRPr="00CA4ABC">
        <w:rPr>
          <w:rFonts w:cstheme="minorHAnsi"/>
          <w:color w:val="000000" w:themeColor="text1"/>
        </w:rPr>
        <w:t>ion of</w:t>
      </w:r>
      <w:r w:rsidRPr="00CA4ABC">
        <w:rPr>
          <w:rFonts w:cstheme="minorHAnsi"/>
          <w:color w:val="000000" w:themeColor="text1"/>
        </w:rPr>
        <w:t xml:space="preserve"> the research survey, particularly ensuring </w:t>
      </w:r>
      <w:r w:rsidR="00876551" w:rsidRPr="00CA4ABC">
        <w:rPr>
          <w:rFonts w:cstheme="minorHAnsi"/>
          <w:color w:val="000000" w:themeColor="text1"/>
        </w:rPr>
        <w:t>participants</w:t>
      </w:r>
      <w:r w:rsidRPr="00CA4ABC">
        <w:rPr>
          <w:rFonts w:cstheme="minorHAnsi"/>
          <w:color w:val="000000" w:themeColor="text1"/>
        </w:rPr>
        <w:t xml:space="preserve"> responded to all three part</w:t>
      </w:r>
      <w:r w:rsidR="00CF00DE" w:rsidRPr="00CA4ABC">
        <w:rPr>
          <w:rFonts w:cstheme="minorHAnsi"/>
          <w:color w:val="000000" w:themeColor="text1"/>
        </w:rPr>
        <w:t>s</w:t>
      </w:r>
      <w:r w:rsidRPr="00CA4ABC">
        <w:rPr>
          <w:rFonts w:cstheme="minorHAnsi"/>
          <w:color w:val="000000" w:themeColor="text1"/>
        </w:rPr>
        <w:t>. Entry was</w:t>
      </w:r>
      <w:r w:rsidR="00CF00DE" w:rsidRPr="00CA4ABC">
        <w:rPr>
          <w:rFonts w:cstheme="minorHAnsi"/>
          <w:color w:val="000000" w:themeColor="text1"/>
        </w:rPr>
        <w:t xml:space="preserve"> optional and</w:t>
      </w:r>
      <w:r w:rsidRPr="00CA4ABC">
        <w:rPr>
          <w:rFonts w:cstheme="minorHAnsi"/>
          <w:color w:val="000000" w:themeColor="text1"/>
        </w:rPr>
        <w:t xml:space="preserve"> available after completing all</w:t>
      </w:r>
      <w:r w:rsidR="00E62FE6" w:rsidRPr="00CA4ABC">
        <w:rPr>
          <w:rFonts w:cstheme="minorHAnsi"/>
          <w:color w:val="000000" w:themeColor="text1"/>
        </w:rPr>
        <w:t xml:space="preserve"> elements of the</w:t>
      </w:r>
      <w:r w:rsidRPr="00CA4ABC">
        <w:rPr>
          <w:rFonts w:cstheme="minorHAnsi"/>
          <w:color w:val="000000" w:themeColor="text1"/>
        </w:rPr>
        <w:t xml:space="preserve"> </w:t>
      </w:r>
      <w:r w:rsidR="00CF00DE" w:rsidRPr="00CA4ABC">
        <w:rPr>
          <w:rFonts w:cstheme="minorHAnsi"/>
          <w:color w:val="000000" w:themeColor="text1"/>
        </w:rPr>
        <w:t>study</w:t>
      </w:r>
      <w:r w:rsidRPr="00CA4ABC">
        <w:rPr>
          <w:rFonts w:cstheme="minorHAnsi"/>
          <w:color w:val="000000" w:themeColor="text1"/>
        </w:rPr>
        <w:t xml:space="preserve">. Competition entrants were asked to provide an email </w:t>
      </w:r>
      <w:r w:rsidR="00876551" w:rsidRPr="00CA4ABC">
        <w:rPr>
          <w:rFonts w:cstheme="minorHAnsi"/>
          <w:color w:val="000000" w:themeColor="text1"/>
        </w:rPr>
        <w:t xml:space="preserve">address on which they could be contacted </w:t>
      </w:r>
      <w:r w:rsidRPr="00CA4ABC">
        <w:rPr>
          <w:rFonts w:cstheme="minorHAnsi"/>
          <w:color w:val="000000" w:themeColor="text1"/>
        </w:rPr>
        <w:t>if they were successful.</w:t>
      </w:r>
      <w:r w:rsidR="00E62FE6" w:rsidRPr="00CA4ABC">
        <w:rPr>
          <w:rFonts w:cstheme="minorHAnsi"/>
          <w:color w:val="000000" w:themeColor="text1"/>
        </w:rPr>
        <w:t xml:space="preserve"> </w:t>
      </w:r>
      <w:r w:rsidRPr="00CA4ABC">
        <w:rPr>
          <w:rFonts w:cstheme="minorHAnsi"/>
          <w:color w:val="000000" w:themeColor="text1"/>
        </w:rPr>
        <w:t>This draw happen</w:t>
      </w:r>
      <w:r w:rsidR="00876551" w:rsidRPr="00CA4ABC">
        <w:rPr>
          <w:rFonts w:cstheme="minorHAnsi"/>
          <w:color w:val="000000" w:themeColor="text1"/>
        </w:rPr>
        <w:t xml:space="preserve">ed </w:t>
      </w:r>
      <w:r w:rsidRPr="00CA4ABC">
        <w:rPr>
          <w:rFonts w:cstheme="minorHAnsi"/>
          <w:color w:val="000000" w:themeColor="text1"/>
        </w:rPr>
        <w:t xml:space="preserve">twice (meaning </w:t>
      </w:r>
      <w:r w:rsidR="00876551" w:rsidRPr="00CA4ABC">
        <w:rPr>
          <w:rFonts w:cstheme="minorHAnsi"/>
          <w:color w:val="000000" w:themeColor="text1"/>
        </w:rPr>
        <w:t>ten</w:t>
      </w:r>
      <w:r w:rsidRPr="00CA4ABC">
        <w:rPr>
          <w:rFonts w:cstheme="minorHAnsi"/>
          <w:color w:val="000000" w:themeColor="text1"/>
        </w:rPr>
        <w:t xml:space="preserve"> prizes were handed out</w:t>
      </w:r>
      <w:r w:rsidR="007D04BD">
        <w:rPr>
          <w:rFonts w:cstheme="minorHAnsi"/>
          <w:color w:val="000000" w:themeColor="text1"/>
        </w:rPr>
        <w:t>),</w:t>
      </w:r>
      <w:r w:rsidRPr="00CA4ABC">
        <w:rPr>
          <w:rFonts w:cstheme="minorHAnsi"/>
          <w:color w:val="000000" w:themeColor="text1"/>
        </w:rPr>
        <w:t xml:space="preserve"> on</w:t>
      </w:r>
      <w:r w:rsidR="007D04BD">
        <w:rPr>
          <w:rFonts w:cstheme="minorHAnsi"/>
          <w:color w:val="000000" w:themeColor="text1"/>
        </w:rPr>
        <w:t>e</w:t>
      </w:r>
      <w:r w:rsidRPr="00CA4ABC">
        <w:rPr>
          <w:rFonts w:cstheme="minorHAnsi"/>
          <w:color w:val="000000" w:themeColor="text1"/>
        </w:rPr>
        <w:t xml:space="preserve"> in January 2022 and </w:t>
      </w:r>
      <w:r w:rsidR="007D04BD">
        <w:rPr>
          <w:rFonts w:cstheme="minorHAnsi"/>
          <w:color w:val="000000" w:themeColor="text1"/>
        </w:rPr>
        <w:t>one</w:t>
      </w:r>
      <w:r w:rsidRPr="00CA4ABC">
        <w:rPr>
          <w:rFonts w:cstheme="minorHAnsi"/>
          <w:color w:val="000000" w:themeColor="text1"/>
        </w:rPr>
        <w:t xml:space="preserve"> in August 2022. Prize draw winners were selected using a random generator</w:t>
      </w:r>
      <w:r w:rsidR="00E62FE6" w:rsidRPr="00CA4ABC">
        <w:rPr>
          <w:rFonts w:cstheme="minorHAnsi"/>
          <w:color w:val="000000" w:themeColor="text1"/>
        </w:rPr>
        <w:t xml:space="preserve">, available online: </w:t>
      </w:r>
      <w:r w:rsidR="000F1AF8" w:rsidRPr="00CA4ABC">
        <w:rPr>
          <w:rFonts w:cstheme="minorHAnsi"/>
          <w:color w:val="000000" w:themeColor="text1"/>
        </w:rPr>
        <w:t>wheelofnames.com.</w:t>
      </w:r>
    </w:p>
    <w:p w14:paraId="05E3F704" w14:textId="77777777" w:rsidR="00F13BED" w:rsidRPr="00CA4ABC" w:rsidRDefault="00F13BED" w:rsidP="004053D7">
      <w:pPr>
        <w:spacing w:line="360" w:lineRule="auto"/>
        <w:rPr>
          <w:rFonts w:cstheme="minorHAnsi"/>
          <w:color w:val="000000" w:themeColor="text1"/>
        </w:rPr>
      </w:pPr>
    </w:p>
    <w:p w14:paraId="1587FA25" w14:textId="42B74FD6" w:rsidR="00F13BED" w:rsidRPr="00CA4ABC" w:rsidRDefault="00CF00DE" w:rsidP="004053D7">
      <w:pPr>
        <w:pStyle w:val="Heading3"/>
        <w:spacing w:line="360" w:lineRule="auto"/>
        <w:rPr>
          <w:rFonts w:asciiTheme="minorHAnsi" w:hAnsiTheme="minorHAnsi" w:cstheme="minorHAnsi"/>
          <w:color w:val="000000" w:themeColor="text1"/>
        </w:rPr>
      </w:pPr>
      <w:bookmarkStart w:id="105" w:name="_Toc135384288"/>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.7 Data</w:t>
      </w:r>
      <w:r w:rsidR="00F13BED" w:rsidRPr="00CA4ABC">
        <w:rPr>
          <w:rFonts w:asciiTheme="minorHAnsi" w:hAnsiTheme="minorHAnsi" w:cstheme="minorHAnsi"/>
          <w:color w:val="000000" w:themeColor="text1"/>
        </w:rPr>
        <w:t xml:space="preserve"> analysis</w:t>
      </w:r>
      <w:bookmarkEnd w:id="105"/>
    </w:p>
    <w:p w14:paraId="1C941EEE" w14:textId="1D7BABAD"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Responses to part 1 and part 3 were collated from </w:t>
      </w:r>
      <w:r w:rsidR="009D6763" w:rsidRPr="00CA4ABC">
        <w:rPr>
          <w:rFonts w:cstheme="minorHAnsi"/>
          <w:color w:val="000000" w:themeColor="text1"/>
        </w:rPr>
        <w:t>G</w:t>
      </w:r>
      <w:r w:rsidRPr="00CA4ABC">
        <w:rPr>
          <w:rFonts w:cstheme="minorHAnsi"/>
          <w:color w:val="000000" w:themeColor="text1"/>
        </w:rPr>
        <w:t>oogle</w:t>
      </w:r>
      <w:r w:rsidR="009D6763" w:rsidRPr="00CA4ABC">
        <w:rPr>
          <w:rFonts w:cstheme="minorHAnsi"/>
          <w:color w:val="000000" w:themeColor="text1"/>
        </w:rPr>
        <w:t xml:space="preserve"> F</w:t>
      </w:r>
      <w:r w:rsidRPr="00CA4ABC">
        <w:rPr>
          <w:rFonts w:cstheme="minorHAnsi"/>
          <w:color w:val="000000" w:themeColor="text1"/>
        </w:rPr>
        <w:t>orms and exported to an excel file. Intake24 produce</w:t>
      </w:r>
      <w:r w:rsidR="00EA0130" w:rsidRPr="00CA4ABC">
        <w:rPr>
          <w:rFonts w:cstheme="minorHAnsi"/>
          <w:color w:val="000000" w:themeColor="text1"/>
        </w:rPr>
        <w:t>d</w:t>
      </w:r>
      <w:r w:rsidRPr="00CA4ABC">
        <w:rPr>
          <w:rFonts w:cstheme="minorHAnsi"/>
          <w:color w:val="000000" w:themeColor="text1"/>
        </w:rPr>
        <w:t xml:space="preserve"> an output of all </w:t>
      </w:r>
      <w:r w:rsidR="00056BB2" w:rsidRPr="00CA4ABC">
        <w:rPr>
          <w:rFonts w:cstheme="minorHAnsi"/>
          <w:color w:val="000000" w:themeColor="text1"/>
        </w:rPr>
        <w:t>answers</w:t>
      </w:r>
      <w:r w:rsidRPr="00CA4ABC">
        <w:rPr>
          <w:rFonts w:cstheme="minorHAnsi"/>
          <w:color w:val="000000" w:themeColor="text1"/>
        </w:rPr>
        <w:t xml:space="preserve"> given by participants to their 24-hour food and drink recalls. </w:t>
      </w:r>
    </w:p>
    <w:p w14:paraId="797360DB" w14:textId="77777777" w:rsidR="00F13BED" w:rsidRPr="00CA4ABC" w:rsidRDefault="00F13BED" w:rsidP="004053D7">
      <w:pPr>
        <w:spacing w:line="360" w:lineRule="auto"/>
        <w:rPr>
          <w:rFonts w:cstheme="minorHAnsi"/>
          <w:color w:val="000000" w:themeColor="text1"/>
        </w:rPr>
      </w:pPr>
    </w:p>
    <w:p w14:paraId="5A57ADF0" w14:textId="5C1B07EA" w:rsidR="00F13BED" w:rsidRPr="00CA4ABC" w:rsidRDefault="00CF00DE" w:rsidP="004053D7">
      <w:pPr>
        <w:pStyle w:val="Heading3"/>
        <w:spacing w:line="360" w:lineRule="auto"/>
        <w:rPr>
          <w:rFonts w:asciiTheme="minorHAnsi" w:hAnsiTheme="minorHAnsi" w:cstheme="minorHAnsi"/>
          <w:color w:val="000000" w:themeColor="text1"/>
        </w:rPr>
      </w:pPr>
      <w:bookmarkStart w:id="106" w:name="_Toc135384289"/>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 xml:space="preserve">.8 </w:t>
      </w:r>
      <w:r w:rsidR="00F13BED" w:rsidRPr="00CA4ABC">
        <w:rPr>
          <w:rFonts w:asciiTheme="minorHAnsi" w:hAnsiTheme="minorHAnsi" w:cstheme="minorHAnsi"/>
          <w:color w:val="000000" w:themeColor="text1"/>
        </w:rPr>
        <w:t>Dietary dat</w:t>
      </w:r>
      <w:r w:rsidR="00F60402" w:rsidRPr="00CA4ABC">
        <w:rPr>
          <w:rFonts w:asciiTheme="minorHAnsi" w:hAnsiTheme="minorHAnsi" w:cstheme="minorHAnsi"/>
          <w:color w:val="000000" w:themeColor="text1"/>
        </w:rPr>
        <w:t>a</w:t>
      </w:r>
      <w:bookmarkEnd w:id="106"/>
    </w:p>
    <w:p w14:paraId="70B8BE1B" w14:textId="6D5C13F0"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Intake24 results were generated in</w:t>
      </w:r>
      <w:r w:rsidR="00EA0130" w:rsidRPr="00CA4ABC">
        <w:rPr>
          <w:rFonts w:cstheme="minorHAnsi"/>
          <w:color w:val="000000" w:themeColor="text1"/>
        </w:rPr>
        <w:t xml:space="preserve"> a</w:t>
      </w:r>
      <w:r w:rsidRPr="00CA4ABC">
        <w:rPr>
          <w:rFonts w:cstheme="minorHAnsi"/>
          <w:color w:val="000000" w:themeColor="text1"/>
        </w:rPr>
        <w:t xml:space="preserve"> Microsoft excel file. The use of pivot tables with the Intake24 outputs allowed each respondent’s data to be collated and g</w:t>
      </w:r>
      <w:r w:rsidR="007D53E8">
        <w:rPr>
          <w:rFonts w:cstheme="minorHAnsi"/>
          <w:color w:val="000000" w:themeColor="text1"/>
        </w:rPr>
        <w:t>a</w:t>
      </w:r>
      <w:r w:rsidRPr="00CA4ABC">
        <w:rPr>
          <w:rFonts w:cstheme="minorHAnsi"/>
          <w:color w:val="000000" w:themeColor="text1"/>
        </w:rPr>
        <w:t xml:space="preserve">ve overall summaries for the quantities of macronutrients, micronutrients and food groups consumed by each individual based on their recall.  </w:t>
      </w:r>
    </w:p>
    <w:p w14:paraId="7A61FD8D" w14:textId="77777777" w:rsidR="00F13BED" w:rsidRPr="00CA4ABC" w:rsidRDefault="00F13BED" w:rsidP="004053D7">
      <w:pPr>
        <w:spacing w:line="360" w:lineRule="auto"/>
        <w:rPr>
          <w:rFonts w:cstheme="minorHAnsi"/>
          <w:color w:val="000000" w:themeColor="text1"/>
        </w:rPr>
      </w:pPr>
    </w:p>
    <w:p w14:paraId="1C491238" w14:textId="0D7E9A8A" w:rsidR="00F13BED" w:rsidRPr="00CA4ABC" w:rsidRDefault="00CF00DE" w:rsidP="004053D7">
      <w:pPr>
        <w:pStyle w:val="Heading3"/>
        <w:spacing w:line="360" w:lineRule="auto"/>
        <w:rPr>
          <w:rFonts w:asciiTheme="minorHAnsi" w:hAnsiTheme="minorHAnsi" w:cstheme="minorHAnsi"/>
          <w:color w:val="000000" w:themeColor="text1"/>
        </w:rPr>
      </w:pPr>
      <w:bookmarkStart w:id="107" w:name="_Toc135384290"/>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 xml:space="preserve">.8.1 </w:t>
      </w:r>
      <w:r w:rsidR="00F13BED" w:rsidRPr="00CA4ABC">
        <w:rPr>
          <w:rFonts w:asciiTheme="minorHAnsi" w:hAnsiTheme="minorHAnsi" w:cstheme="minorHAnsi"/>
          <w:color w:val="000000" w:themeColor="text1"/>
        </w:rPr>
        <w:t xml:space="preserve">Assessment of </w:t>
      </w:r>
      <w:r w:rsidR="00056BB2" w:rsidRPr="00CA4ABC">
        <w:rPr>
          <w:rFonts w:asciiTheme="minorHAnsi" w:hAnsiTheme="minorHAnsi" w:cstheme="minorHAnsi"/>
          <w:color w:val="000000" w:themeColor="text1"/>
        </w:rPr>
        <w:t>misreporting</w:t>
      </w:r>
      <w:bookmarkEnd w:id="107"/>
    </w:p>
    <w:p w14:paraId="3A4CBBE5" w14:textId="6A173FF6"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Implausible reporters can undermine the collection of dietary data and are often removed based on comparisons between their reported energy intakes </w:t>
      </w:r>
      <w:r w:rsidR="009D6763" w:rsidRPr="00CA4ABC">
        <w:rPr>
          <w:rFonts w:cstheme="minorHAnsi"/>
          <w:color w:val="000000" w:themeColor="text1"/>
        </w:rPr>
        <w:t>and</w:t>
      </w:r>
      <w:r w:rsidRPr="00CA4ABC">
        <w:rPr>
          <w:rFonts w:cstheme="minorHAnsi"/>
          <w:color w:val="000000" w:themeColor="text1"/>
        </w:rPr>
        <w:t xml:space="preserve"> their predicted energy requirements </w:t>
      </w:r>
      <w:r w:rsidR="00CF00DE"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{"citationItems":[{"id":"ITEM-1","itemData":{"DOI":"10.1093/AJE/KWQ380","ISSN":"1476-6256","PMID":"21242302","author":[{"dropping-particle":"","family":"Mendez","given":"Michelle A.","non-dropping-particle":"","parse-names":false,"suffix":""},{"dropping-particle":"","family":"Popkin","given":"Barry M.","non-dropping-particle":"","parse-names":false,"suffix":""},{"dropping-particle":"","family":"Buckland","given":"Genevieve","non-dropping-particle":"","parse-names":false,"suffix":""},{"dropping-particle":"","family":"Schroder","given":"Helmut","non-dropping-particle":"","parse-names":false,"suffix":""},{"dropping-particle":"","family":"Amiano","given":"Pilar","non-dropping-particle":"","parse-names":false,"suffix":""},{"dropping-particle":"","family":"Barricarte","given":"Aurelio","non-dropping-particle":"","parse-names":false,"suffix":""},{"dropping-particle":"","family":"Huerta","given":"José-María","non-dropping-particle":"","parse-names":false,"suffix":""},{"dropping-particle":"","family":"Quirós","given":"José R.","non-dropping-particle":"","parse-names":false,"suffix":""},{"dropping-particle":"","family":"Sánchez","given":"María-José","non-dropping-particle":"","parse-names":false,"suffix":""},{"dropping-particle":"","family":"González","given":"Carlos A","non-dropping-particle":"","parse-names":false,"suffix":""}],"container-title":"American Journal of Epidemiology","id":"ITEM-1","issue":"4","issued":{"date-parts":[["2011","2","2"]]},"page":"448","publisher":"Oxford University Press","title":"Alternative Methods of Accounting for Underreporting and Overreporting When Measuring Dietary Intake-Obesity Relations","type":"article-journal","volume":"173"},"uris":["http://www.mendeley.com/documents/?uuid=b5327b67-6633-3972-b153-608014f00910"]}],"mendeley":{"formattedCitation":"(200)","plainTextFormattedCitation":"(200)","previouslyFormattedCitation":"(200)"},"properties":{"noteIndex":0},"schema":"https://github.com/citation-style-language/schema/raw/master/csl-citation.json"}</w:instrText>
      </w:r>
      <w:r w:rsidR="00CF00DE" w:rsidRPr="00CA4ABC">
        <w:rPr>
          <w:rFonts w:cstheme="minorHAnsi"/>
          <w:color w:val="000000" w:themeColor="text1"/>
        </w:rPr>
        <w:fldChar w:fldCharType="separate"/>
      </w:r>
      <w:r w:rsidR="00FF0BCE" w:rsidRPr="00FF0BCE">
        <w:rPr>
          <w:rFonts w:cstheme="minorHAnsi"/>
          <w:noProof/>
          <w:color w:val="000000" w:themeColor="text1"/>
        </w:rPr>
        <w:t>(200)</w:t>
      </w:r>
      <w:r w:rsidR="00CF00DE" w:rsidRPr="00CA4ABC">
        <w:rPr>
          <w:rFonts w:cstheme="minorHAnsi"/>
          <w:color w:val="000000" w:themeColor="text1"/>
        </w:rPr>
        <w:fldChar w:fldCharType="end"/>
      </w:r>
      <w:r w:rsidR="00CF00DE" w:rsidRPr="00CA4ABC">
        <w:rPr>
          <w:rFonts w:cstheme="minorHAnsi"/>
          <w:color w:val="000000" w:themeColor="text1"/>
        </w:rPr>
        <w:t xml:space="preserve">. </w:t>
      </w:r>
    </w:p>
    <w:p w14:paraId="2CD119F5" w14:textId="16A8CE57" w:rsidR="00F13BED" w:rsidRPr="00CA4ABC" w:rsidRDefault="009D6763" w:rsidP="004053D7">
      <w:pPr>
        <w:spacing w:line="360" w:lineRule="auto"/>
        <w:rPr>
          <w:rFonts w:cstheme="minorHAnsi"/>
          <w:color w:val="000000" w:themeColor="text1"/>
        </w:rPr>
      </w:pPr>
      <w:r w:rsidRPr="00CA4ABC">
        <w:rPr>
          <w:rFonts w:cstheme="minorHAnsi"/>
          <w:noProof/>
          <w:color w:val="000000" w:themeColor="text1"/>
        </w:rPr>
        <w:lastRenderedPageBreak/>
        <w:drawing>
          <wp:anchor distT="0" distB="0" distL="114300" distR="114300" simplePos="0" relativeHeight="251652096" behindDoc="0" locked="0" layoutInCell="1" allowOverlap="1" wp14:anchorId="60DDEAD9" wp14:editId="328E37EE">
            <wp:simplePos x="0" y="0"/>
            <wp:positionH relativeFrom="column">
              <wp:posOffset>756285</wp:posOffset>
            </wp:positionH>
            <wp:positionV relativeFrom="paragraph">
              <wp:posOffset>778157</wp:posOffset>
            </wp:positionV>
            <wp:extent cx="2618740" cy="542290"/>
            <wp:effectExtent l="0" t="0" r="0" b="3810"/>
            <wp:wrapSquare wrapText="bothSides"/>
            <wp:docPr id="15" name="Picture 1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with low confidence"/>
                    <pic:cNvPicPr/>
                  </pic:nvPicPr>
                  <pic:blipFill rotWithShape="1">
                    <a:blip r:embed="rId31">
                      <a:extLst>
                        <a:ext uri="{28A0092B-C50C-407E-A947-70E740481C1C}">
                          <a14:useLocalDpi xmlns:a14="http://schemas.microsoft.com/office/drawing/2010/main" val="0"/>
                        </a:ext>
                      </a:extLst>
                    </a:blip>
                    <a:srcRect t="17062"/>
                    <a:stretch/>
                  </pic:blipFill>
                  <pic:spPr bwMode="auto">
                    <a:xfrm>
                      <a:off x="0" y="0"/>
                      <a:ext cx="2618740" cy="542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3BED" w:rsidRPr="00CA4ABC">
        <w:rPr>
          <w:rFonts w:cstheme="minorHAnsi"/>
          <w:color w:val="000000" w:themeColor="text1"/>
        </w:rPr>
        <w:t>Guidelines for</w:t>
      </w:r>
      <w:r w:rsidRPr="00CA4ABC">
        <w:rPr>
          <w:rFonts w:cstheme="minorHAnsi"/>
          <w:color w:val="000000" w:themeColor="text1"/>
        </w:rPr>
        <w:t xml:space="preserve"> </w:t>
      </w:r>
      <w:r w:rsidR="007D04BD">
        <w:rPr>
          <w:rFonts w:cstheme="minorHAnsi"/>
          <w:color w:val="000000" w:themeColor="text1"/>
        </w:rPr>
        <w:t>removing</w:t>
      </w:r>
      <w:r w:rsidR="00F13BED" w:rsidRPr="00CA4ABC">
        <w:rPr>
          <w:rFonts w:cstheme="minorHAnsi"/>
          <w:color w:val="000000" w:themeColor="text1"/>
        </w:rPr>
        <w:t xml:space="preserve"> potential misreporters were based on McCrory’s protocol </w:t>
      </w:r>
      <w:r w:rsidR="00CF00DE"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{"citationItems":[{"id":"ITEM-1","itemData":{"DOI":"10.1079/PHN2002387","ISSN":"1368-9800","PMID":"12633510","abstract":"OBJECTIVE: To review existing methods and illustrate the use of a new, simple method for identifying inaccurate reports of dietary energy intake (rEI). DESIGN: Comparison of rEI with energy requirements estimated by using total energy expenditure predicted (pTEE) from age, weight, height and sex using a previously published equation. Propagation of error calculations was performed and cut-offs for excluding rEI at plus or minus two standard deviations (+/-2 SD) and +/-1 SD for the agreement between rEI and pTEE were established. SETTING: Dietary survey in a US national cohort: the Continuing Survey of Food Intakes by Individuals (CSFII), 1994-96. SUBJECTS: Men and non-pregnant, non-lactating women aged 21-45 years in the CSFII who provided two multiple-pass 24-hour recalls, height and weight (n = 3755). RESULTS: Average rEI was 77% of pTEE in men, and 64% of pTEE in women. Calculated cut-offs were rEI &lt;40% or &gt;160% of pTEE (+/-2 SD) and &lt;70% or &gt;130% of pTEE (+/-1 SD), respectively. Use of only the +/-1 SD cut-offs, not the +/-2 SD cut-offs, resulted in a relationship between rEI and body weight similar to what was expected (based on an independently calculated relationship between rEI and measured TEE). Exclusion of rEI outside either the +/-2 SD (11% of subjects) or +/-1 SD (57% of subjects) cut-offs did not affect mean reported macronutrient intakes, but did markedly affect relationships between dietary composition and body mass index. CONCLUSIONS: When examining relationships between diet and health, use of +/-1 SD cut-offs may be preferable to +/-2 SD cut-offs for excluding inaccurate dietary reports.","author":[{"dropping-particle":"","family":"MA","given":"McCrory","non-dropping-particle":"","parse-names":false,"suffix":""},{"dropping-particle":"","family":"MA","given":"McCrory","non-dropping-particle":"","parse-names":false,"suffix":""},{"dropping-particle":"","family":"CL","given":"Hajduk","non-dropping-particle":"","parse-names":false,"suffix":""},{"dropping-particle":"","family":"SB","given":"Roberts","non-dropping-particle":"","parse-names":false,"suffix":""}],"container-title":"Public health nutrition","id":"ITEM-1","issue":"6A","issued":{"date-parts":[["2002","12"]]},"page":"873-882","publisher":"Public Health Nutr","title":"Procedures for screening out inaccurate reports of dietary energy intake","type":"article-journal","volume":"5"},"uris":["http://www.mendeley.com/documents/?uuid=ebcb637a-0c9c-3624-a4c8-520dbe796567"]}],"mendeley":{"formattedCitation":"(201)","plainTextFormattedCitation":"(201)","previouslyFormattedCitation":"(201)"},"properties":{"noteIndex":0},"schema":"https://github.com/citation-style-language/schema/raw/master/csl-citation.json"}</w:instrText>
      </w:r>
      <w:r w:rsidR="00CF00DE" w:rsidRPr="00CA4ABC">
        <w:rPr>
          <w:rFonts w:cstheme="minorHAnsi"/>
          <w:color w:val="000000" w:themeColor="text1"/>
        </w:rPr>
        <w:fldChar w:fldCharType="separate"/>
      </w:r>
      <w:r w:rsidR="00FF0BCE" w:rsidRPr="00FF0BCE">
        <w:rPr>
          <w:rFonts w:cstheme="minorHAnsi"/>
          <w:noProof/>
          <w:color w:val="000000" w:themeColor="text1"/>
        </w:rPr>
        <w:t>(201)</w:t>
      </w:r>
      <w:r w:rsidR="00CF00DE" w:rsidRPr="00CA4ABC">
        <w:rPr>
          <w:rFonts w:cstheme="minorHAnsi"/>
          <w:color w:val="000000" w:themeColor="text1"/>
        </w:rPr>
        <w:fldChar w:fldCharType="end"/>
      </w:r>
      <w:r w:rsidR="00CF00DE" w:rsidRPr="00CA4ABC">
        <w:rPr>
          <w:rFonts w:cstheme="minorHAnsi"/>
          <w:color w:val="000000" w:themeColor="text1"/>
        </w:rPr>
        <w:t>.</w:t>
      </w:r>
      <w:r w:rsidR="00F13BED" w:rsidRPr="00CA4ABC">
        <w:rPr>
          <w:rFonts w:cstheme="minorHAnsi"/>
          <w:color w:val="000000" w:themeColor="text1"/>
        </w:rPr>
        <w:t xml:space="preserve"> </w:t>
      </w:r>
      <w:r w:rsidR="008C6D38" w:rsidRPr="00CA4ABC">
        <w:rPr>
          <w:rFonts w:cstheme="minorHAnsi"/>
          <w:color w:val="000000" w:themeColor="text1"/>
        </w:rPr>
        <w:t>Calculat</w:t>
      </w:r>
      <w:r w:rsidRPr="00CA4ABC">
        <w:rPr>
          <w:rFonts w:cstheme="minorHAnsi"/>
          <w:color w:val="000000" w:themeColor="text1"/>
        </w:rPr>
        <w:t>ing</w:t>
      </w:r>
      <w:r w:rsidR="00F13BED" w:rsidRPr="00CA4ABC">
        <w:rPr>
          <w:rFonts w:cstheme="minorHAnsi"/>
          <w:color w:val="000000" w:themeColor="text1"/>
        </w:rPr>
        <w:t xml:space="preserve"> predicted total energy expenditure (pTEE) </w:t>
      </w:r>
      <w:r w:rsidR="008C6D38" w:rsidRPr="00CA4ABC">
        <w:rPr>
          <w:rFonts w:cstheme="minorHAnsi"/>
          <w:color w:val="000000" w:themeColor="text1"/>
        </w:rPr>
        <w:t>was carried out</w:t>
      </w:r>
      <w:r w:rsidR="00F13BED" w:rsidRPr="00CA4ABC">
        <w:rPr>
          <w:rFonts w:cstheme="minorHAnsi"/>
          <w:color w:val="000000" w:themeColor="text1"/>
        </w:rPr>
        <w:t xml:space="preserve"> using the following equation</w:t>
      </w:r>
      <w:r w:rsidR="008C6D38" w:rsidRPr="00CA4ABC">
        <w:rPr>
          <w:rFonts w:cstheme="minorHAnsi"/>
          <w:color w:val="000000" w:themeColor="text1"/>
        </w:rPr>
        <w:t>:</w:t>
      </w:r>
    </w:p>
    <w:p w14:paraId="6CDD96B4" w14:textId="4F06BDE6" w:rsidR="00F13BED" w:rsidRPr="00CA4ABC" w:rsidRDefault="00F13BED" w:rsidP="004053D7">
      <w:pPr>
        <w:pStyle w:val="ListParagraph"/>
        <w:spacing w:line="360" w:lineRule="auto"/>
        <w:rPr>
          <w:rFonts w:cstheme="minorHAnsi"/>
          <w:color w:val="000000" w:themeColor="text1"/>
        </w:rPr>
      </w:pPr>
    </w:p>
    <w:p w14:paraId="55AE8276" w14:textId="77777777" w:rsidR="008C6D38" w:rsidRPr="00CA4ABC" w:rsidRDefault="008C6D38" w:rsidP="004053D7">
      <w:pPr>
        <w:spacing w:line="360" w:lineRule="auto"/>
        <w:rPr>
          <w:rFonts w:cstheme="minorHAnsi"/>
          <w:color w:val="000000" w:themeColor="text1"/>
        </w:rPr>
      </w:pPr>
    </w:p>
    <w:p w14:paraId="0BEB7B45" w14:textId="22CFBBD1" w:rsidR="00F13BED" w:rsidRPr="00CA4ABC" w:rsidRDefault="00F13BED" w:rsidP="004053D7">
      <w:pPr>
        <w:spacing w:line="360" w:lineRule="auto"/>
        <w:rPr>
          <w:rFonts w:cstheme="minorHAnsi"/>
          <w:i/>
          <w:iCs/>
          <w:color w:val="000000" w:themeColor="text1"/>
        </w:rPr>
      </w:pPr>
      <w:r w:rsidRPr="00CA4ABC">
        <w:rPr>
          <w:rFonts w:cstheme="minorHAnsi"/>
          <w:i/>
          <w:iCs/>
          <w:color w:val="000000" w:themeColor="text1"/>
        </w:rPr>
        <w:t xml:space="preserve">Where age is in years, weight is in kg, height is standing height in cm, and sex is 0 for men and 1 for women. </w:t>
      </w:r>
    </w:p>
    <w:p w14:paraId="63E4AD8D" w14:textId="194EC825" w:rsidR="00F13BED" w:rsidRPr="00CA4ABC" w:rsidRDefault="00F13BED" w:rsidP="004053D7">
      <w:pPr>
        <w:spacing w:line="360" w:lineRule="auto"/>
        <w:rPr>
          <w:rFonts w:cstheme="minorHAnsi"/>
          <w:color w:val="000000" w:themeColor="text1"/>
        </w:rPr>
      </w:pPr>
      <w:r w:rsidRPr="00CA4ABC">
        <w:rPr>
          <w:rFonts w:cstheme="minorHAnsi"/>
          <w:color w:val="000000" w:themeColor="text1"/>
        </w:rPr>
        <w:t xml:space="preserve">Two standard deviations above and below each participant’s </w:t>
      </w:r>
      <w:r w:rsidR="00056BB2" w:rsidRPr="00CA4ABC">
        <w:rPr>
          <w:rFonts w:cstheme="minorHAnsi"/>
          <w:color w:val="000000" w:themeColor="text1"/>
        </w:rPr>
        <w:t>estimated</w:t>
      </w:r>
      <w:r w:rsidRPr="00CA4ABC">
        <w:rPr>
          <w:rFonts w:cstheme="minorHAnsi"/>
          <w:color w:val="000000" w:themeColor="text1"/>
        </w:rPr>
        <w:t xml:space="preserve"> energy expenditures were used </w:t>
      </w:r>
      <w:r w:rsidR="008C6D38" w:rsidRPr="00CA4ABC">
        <w:rPr>
          <w:rFonts w:cstheme="minorHAnsi"/>
          <w:color w:val="000000" w:themeColor="text1"/>
        </w:rPr>
        <w:t>to</w:t>
      </w:r>
      <w:r w:rsidRPr="00CA4ABC">
        <w:rPr>
          <w:rFonts w:cstheme="minorHAnsi"/>
          <w:color w:val="000000" w:themeColor="text1"/>
        </w:rPr>
        <w:t xml:space="preserve"> find a range in which their reported energy intakes must have fallen</w:t>
      </w:r>
      <w:r w:rsidR="008C6D38" w:rsidRPr="00CA4ABC">
        <w:rPr>
          <w:rFonts w:cstheme="minorHAnsi"/>
          <w:color w:val="000000" w:themeColor="text1"/>
        </w:rPr>
        <w:t xml:space="preserve"> within</w:t>
      </w:r>
      <w:r w:rsidRPr="00CA4ABC">
        <w:rPr>
          <w:rFonts w:cstheme="minorHAnsi"/>
          <w:color w:val="000000" w:themeColor="text1"/>
        </w:rPr>
        <w:t xml:space="preserve"> to be classed as a plausible </w:t>
      </w:r>
      <w:r w:rsidR="00056BB2" w:rsidRPr="00CA4ABC">
        <w:rPr>
          <w:rFonts w:cstheme="minorHAnsi"/>
          <w:color w:val="000000" w:themeColor="text1"/>
        </w:rPr>
        <w:t>reporters</w:t>
      </w:r>
      <w:r w:rsidRPr="00CA4ABC">
        <w:rPr>
          <w:rFonts w:cstheme="minorHAnsi"/>
          <w:color w:val="000000" w:themeColor="text1"/>
        </w:rPr>
        <w:t xml:space="preserve">. </w:t>
      </w:r>
    </w:p>
    <w:p w14:paraId="56E2EFDC" w14:textId="723CEF72" w:rsidR="00F13BED" w:rsidRPr="00CA4ABC" w:rsidRDefault="00F13BED" w:rsidP="004053D7">
      <w:pPr>
        <w:spacing w:line="360" w:lineRule="auto"/>
        <w:rPr>
          <w:rFonts w:cstheme="minorHAnsi"/>
          <w:color w:val="000000" w:themeColor="text1"/>
        </w:rPr>
      </w:pPr>
      <w:r w:rsidRPr="00CA4ABC">
        <w:rPr>
          <w:rFonts w:cstheme="minorHAnsi"/>
          <w:color w:val="000000" w:themeColor="text1"/>
        </w:rPr>
        <w:t xml:space="preserve">The best method for accounting for misreporting </w:t>
      </w:r>
      <w:r w:rsidR="000F1AF8" w:rsidRPr="00CA4ABC">
        <w:rPr>
          <w:rFonts w:cstheme="minorHAnsi"/>
          <w:color w:val="000000" w:themeColor="text1"/>
        </w:rPr>
        <w:t xml:space="preserve">is </w:t>
      </w:r>
      <w:r w:rsidRPr="00CA4ABC">
        <w:rPr>
          <w:rFonts w:cstheme="minorHAnsi"/>
          <w:color w:val="000000" w:themeColor="text1"/>
        </w:rPr>
        <w:t>un</w:t>
      </w:r>
      <w:r w:rsidR="000F1AF8" w:rsidRPr="00CA4ABC">
        <w:rPr>
          <w:rFonts w:cstheme="minorHAnsi"/>
          <w:color w:val="000000" w:themeColor="text1"/>
        </w:rPr>
        <w:t>clear</w:t>
      </w:r>
      <w:r w:rsidR="008C6D38" w:rsidRPr="00CA4ABC">
        <w:rPr>
          <w:rFonts w:cstheme="minorHAnsi"/>
          <w:color w:val="000000" w:themeColor="text1"/>
        </w:rPr>
        <w:t xml:space="preserve"> </w:t>
      </w:r>
      <w:r w:rsidR="008C6D38"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{"citationItems":[{"id":"ITEM-1","itemData":{"DOI":"10.1093/AJE/KWQ380","ISSN":"1476-6256","PMID":"21242302","author":[{"dropping-particle":"","family":"Mendez","given":"Michelle A.","non-dropping-particle":"","parse-names":false,"suffix":""},{"dropping-particle":"","family":"Popkin","given":"Barry M.","non-dropping-particle":"","parse-names":false,"suffix":""},{"dropping-particle":"","family":"Buckland","given":"Genevieve","non-dropping-particle":"","parse-names":false,"suffix":""},{"dropping-particle":"","family":"Schroder","given":"Helmut","non-dropping-particle":"","parse-names":false,"suffix":""},{"dropping-particle":"","family":"Amiano","given":"Pilar","non-dropping-particle":"","parse-names":false,"suffix":""},{"dropping-particle":"","family":"Barricarte","given":"Aurelio","non-dropping-particle":"","parse-names":false,"suffix":""},{"dropping-particle":"","family":"Huerta","given":"José-María","non-dropping-particle":"","parse-names":false,"suffix":""},{"dropping-particle":"","family":"Quirós","given":"José R.","non-dropping-particle":"","parse-names":false,"suffix":""},{"dropping-particle":"","family":"Sánchez","given":"María-José","non-dropping-particle":"","parse-names":false,"suffix":""},{"dropping-particle":"","family":"González","given":"Carlos A","non-dropping-particle":"","parse-names":false,"suffix":""}],"container-title":"American Journal of Epidemiology","id":"ITEM-1","issue":"4","issued":{"date-parts":[["2011","2","2"]]},"page":"448","publisher":"Oxford University Press","title":"Alternative Methods of Accounting for Underreporting and Overreporting When Measuring Dietary Intake-Obesity Relations","type":"article-journal","volume":"173"},"uris":["http://www.mendeley.com/documents/?uuid=b5327b67-6633-3972-b153-608014f00910"]}],"mendeley":{"formattedCitation":"(200)","plainTextFormattedCitation":"(200)","previouslyFormattedCitation":"(200)"},"properties":{"noteIndex":0},"schema":"https://github.com/citation-style-language/schema/raw/master/csl-citation.json"}</w:instrText>
      </w:r>
      <w:r w:rsidR="008C6D38" w:rsidRPr="00CA4ABC">
        <w:rPr>
          <w:rFonts w:cstheme="minorHAnsi"/>
          <w:color w:val="000000" w:themeColor="text1"/>
        </w:rPr>
        <w:fldChar w:fldCharType="separate"/>
      </w:r>
      <w:r w:rsidR="00FF0BCE" w:rsidRPr="00FF0BCE">
        <w:rPr>
          <w:rFonts w:cstheme="minorHAnsi"/>
          <w:noProof/>
          <w:color w:val="000000" w:themeColor="text1"/>
        </w:rPr>
        <w:t>(200)</w:t>
      </w:r>
      <w:r w:rsidR="008C6D38" w:rsidRPr="00CA4ABC">
        <w:rPr>
          <w:rFonts w:cstheme="minorHAnsi"/>
          <w:color w:val="000000" w:themeColor="text1"/>
        </w:rPr>
        <w:fldChar w:fldCharType="end"/>
      </w:r>
      <w:r w:rsidR="008C6D38" w:rsidRPr="00CA4ABC">
        <w:rPr>
          <w:rFonts w:cstheme="minorHAnsi"/>
          <w:color w:val="000000" w:themeColor="text1"/>
        </w:rPr>
        <w:t>.</w:t>
      </w:r>
      <w:r w:rsidRPr="00CA4ABC">
        <w:rPr>
          <w:rFonts w:cstheme="minorHAnsi"/>
          <w:color w:val="000000" w:themeColor="text1"/>
        </w:rPr>
        <w:t xml:space="preserve"> The decision to use McCrory’s approach was based on evaluations that this was “</w:t>
      </w:r>
      <w:r w:rsidRPr="00CA4ABC">
        <w:rPr>
          <w:rFonts w:cstheme="minorHAnsi"/>
          <w:color w:val="000000" w:themeColor="text1"/>
          <w:shd w:val="clear" w:color="auto" w:fill="FFFFFF"/>
        </w:rPr>
        <w:t>better suited” than previous</w:t>
      </w:r>
      <w:r w:rsidR="008C6D38" w:rsidRPr="00CA4ABC">
        <w:rPr>
          <w:rFonts w:cstheme="minorHAnsi"/>
          <w:color w:val="000000" w:themeColor="text1"/>
          <w:shd w:val="clear" w:color="auto" w:fill="FFFFFF"/>
        </w:rPr>
        <w:t xml:space="preserve"> methods</w:t>
      </w:r>
      <w:r w:rsidRPr="00CA4ABC">
        <w:rPr>
          <w:rFonts w:cstheme="minorHAnsi"/>
          <w:color w:val="000000" w:themeColor="text1"/>
          <w:shd w:val="clear" w:color="auto" w:fill="FFFFFF"/>
        </w:rPr>
        <w:t xml:space="preserve"> for removing implausible </w:t>
      </w:r>
      <w:r w:rsidR="00056BB2" w:rsidRPr="00CA4ABC">
        <w:rPr>
          <w:rFonts w:cstheme="minorHAnsi"/>
          <w:color w:val="000000" w:themeColor="text1"/>
          <w:shd w:val="clear" w:color="auto" w:fill="FFFFFF"/>
        </w:rPr>
        <w:t>reporters</w:t>
      </w:r>
      <w:r w:rsidR="008C6D38" w:rsidRPr="00CA4ABC">
        <w:rPr>
          <w:rFonts w:cstheme="minorHAnsi"/>
          <w:color w:val="000000" w:themeColor="text1"/>
          <w:shd w:val="clear" w:color="auto" w:fill="FFFFFF"/>
        </w:rPr>
        <w:t xml:space="preserve"> </w:t>
      </w:r>
      <w:r w:rsidR="008C6D38"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{"citationItems":[{"id":"ITEM-1","itemData":{"DOI":"10.1093/AJE/KWU308","ISSN":"14766256","PMID":"25656533","abstract":"In a recent article in the American Journal of Epidemiology by Mendez et al. (Am J Epidemiol. 2011;173(4):448- 458), the use of alternative approaches to the exclusion of implausible energy intakes led to significantly different cross-sectional associations between diet and body mass index (BMI), whereas the use of a simpler recommended criteria (&lt;500 and &gt;3,500 kcal/day) yielded no meaningful change. However, these findings might have been due to exclusions made based on weight, a primary determinant of BMI. Using data from 52,110 women in the Nurses' Health Study (1990), we reproduced the cross-sectional findings of Mendez et al. and compared the results from the recommended method with those from 2 weight-dependent alternative methods (the Goldberg method and predicted total energy expenditure method). The same 3 exclusion criteriawere then used to examine dietary variables prospectively in relation to change in BMI, which is not a direct function of attained weight. We found similar associations using the 3 methods. In a separate cross-sectional analysis using biomarkers of dietary factors, we found similar correlations for intakes of fatty acids (n = 439) and carotenoids and retinol (n = 1,293) using the 3 methods for exclusions. These results do not support the general conclusion that use of exclusion criteria based on the alternative methods might confer an advantage over the recommended exclusion method.","author":[{"dropping-particle":"","family":"Rhee","given":"Jinnie J.","non-dropping-particle":"","parse-names":false,"suffix":""},{"dropping-particle":"","family":"Sampson","given":"Laura","non-dropping-particle":"","parse-names":false,"suffix":""},{"dropping-particle":"","family":"Cho","given":"Eunyoung","non-dropping-particle":"","parse-names":false,"suffix":""},{"dropping-particle":"","family":"Hughes","given":"Michael D.","non-dropping-particle":"","parse-names":false,"suffix":""},{"dropping-particle":"","family":"Hu","given":"Frank B.","non-dropping-particle":"","parse-names":false,"suffix":""},{"dropping-particle":"","family":"Willett","given":"Walter C.","non-dropping-particle":"","parse-names":false,"suffix":""}],"container-title":"American Journal of Epidemiology","id":"ITEM-1","issue":"4","issued":{"date-parts":[["2015","2","2"]]},"page":"225","publisher":"Oxford University Press","title":"Comparison of Methods to Account for Implausible Reporting of Energy Intake in Epidemiologic Studies","type":"article-journal","volume":"181"},"uris":["http://www.mendeley.com/documents/?uuid=ff10b62f-dd5d-3795-b8c2-d7c99e05c8e4"]}],"mendeley":{"formattedCitation":"(202)","plainTextFormattedCitation":"(202)","previouslyFormattedCitation":"(202)"},"properties":{"noteIndex":0},"schema":"https://github.com/citation-style-language/schema/raw/master/csl-citation.json"}</w:instrText>
      </w:r>
      <w:r w:rsidR="008C6D38"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(202)</w:t>
      </w:r>
      <w:r w:rsidR="008C6D38" w:rsidRPr="00CA4ABC">
        <w:rPr>
          <w:rFonts w:cstheme="minorHAnsi"/>
          <w:color w:val="000000" w:themeColor="text1"/>
          <w:shd w:val="clear" w:color="auto" w:fill="FFFFFF"/>
        </w:rPr>
        <w:fldChar w:fldCharType="end"/>
      </w:r>
      <w:r w:rsidR="008C6D38" w:rsidRPr="00CA4ABC">
        <w:rPr>
          <w:rFonts w:cstheme="minorHAnsi"/>
          <w:color w:val="000000" w:themeColor="text1"/>
          <w:shd w:val="clear" w:color="auto" w:fill="FFFFFF"/>
        </w:rPr>
        <w:t>.</w:t>
      </w:r>
    </w:p>
    <w:p w14:paraId="5B18AB81" w14:textId="77777777" w:rsidR="00F13BED" w:rsidRPr="00CA4ABC" w:rsidRDefault="00F13BED" w:rsidP="004053D7">
      <w:pPr>
        <w:spacing w:line="360" w:lineRule="auto"/>
        <w:rPr>
          <w:rFonts w:cstheme="minorHAnsi"/>
          <w:color w:val="000000" w:themeColor="text1"/>
        </w:rPr>
      </w:pPr>
    </w:p>
    <w:p w14:paraId="5C7852DF" w14:textId="6AEEA663" w:rsidR="00F13BED" w:rsidRPr="00CA4ABC" w:rsidRDefault="008C6D38" w:rsidP="004053D7">
      <w:pPr>
        <w:pStyle w:val="Heading3"/>
        <w:spacing w:line="360" w:lineRule="auto"/>
        <w:rPr>
          <w:rFonts w:asciiTheme="minorHAnsi" w:hAnsiTheme="minorHAnsi" w:cstheme="minorHAnsi"/>
          <w:color w:val="000000" w:themeColor="text1"/>
        </w:rPr>
      </w:pPr>
      <w:bookmarkStart w:id="108" w:name="_Toc135384291"/>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 xml:space="preserve">.9 </w:t>
      </w:r>
      <w:r w:rsidR="00F13BED" w:rsidRPr="00CA4ABC">
        <w:rPr>
          <w:rFonts w:asciiTheme="minorHAnsi" w:hAnsiTheme="minorHAnsi" w:cstheme="minorHAnsi"/>
          <w:color w:val="000000" w:themeColor="text1"/>
        </w:rPr>
        <w:t>Protein knowledge scores</w:t>
      </w:r>
      <w:bookmarkEnd w:id="108"/>
    </w:p>
    <w:p w14:paraId="2FB09A7A" w14:textId="309C7D32" w:rsidR="00D925F7"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Protein knowledge scores were calculated by awarding </w:t>
      </w:r>
      <w:r w:rsidR="00056BB2" w:rsidRPr="00CA4ABC">
        <w:rPr>
          <w:rFonts w:cstheme="minorHAnsi"/>
          <w:color w:val="000000" w:themeColor="text1"/>
        </w:rPr>
        <w:t xml:space="preserve">one point for a correct answer and zero points </w:t>
      </w:r>
      <w:r w:rsidRPr="00CA4ABC">
        <w:rPr>
          <w:rFonts w:cstheme="minorHAnsi"/>
          <w:color w:val="000000" w:themeColor="text1"/>
        </w:rPr>
        <w:t>for a wrong answer, not responding or responding with ‘not sure’. The survey was 11 questions in length, with some of the questions containing multiple parts. Each sub-part was also awarded a score of one, if correct. In total, a score out of twenty-four was calculated.</w:t>
      </w:r>
      <w:r w:rsidR="00D925F7" w:rsidRPr="00CA4ABC">
        <w:rPr>
          <w:rFonts w:cstheme="minorHAnsi"/>
          <w:color w:val="000000" w:themeColor="text1"/>
        </w:rPr>
        <w:t xml:space="preserve"> Responses to the final three questions asked in SheffProUK part 3 were not included in the protein knowledge scoring. </w:t>
      </w:r>
    </w:p>
    <w:p w14:paraId="77EDFDA8" w14:textId="77777777" w:rsidR="00F13BED" w:rsidRPr="00CA4ABC" w:rsidRDefault="00F13BED" w:rsidP="004053D7">
      <w:pPr>
        <w:spacing w:line="360" w:lineRule="auto"/>
        <w:rPr>
          <w:rFonts w:cstheme="minorHAnsi"/>
          <w:color w:val="000000" w:themeColor="text1"/>
        </w:rPr>
      </w:pPr>
    </w:p>
    <w:p w14:paraId="0028FE1C" w14:textId="38C712B4" w:rsidR="00F13BED" w:rsidRPr="00CA4ABC" w:rsidRDefault="008C6D38" w:rsidP="004053D7">
      <w:pPr>
        <w:pStyle w:val="Heading3"/>
        <w:spacing w:line="360" w:lineRule="auto"/>
        <w:rPr>
          <w:rFonts w:asciiTheme="minorHAnsi" w:hAnsiTheme="minorHAnsi" w:cstheme="minorHAnsi"/>
          <w:color w:val="000000" w:themeColor="text1"/>
        </w:rPr>
      </w:pPr>
      <w:bookmarkStart w:id="109" w:name="_Toc135384292"/>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 xml:space="preserve">.10 </w:t>
      </w:r>
      <w:r w:rsidR="00F13BED" w:rsidRPr="00CA4ABC">
        <w:rPr>
          <w:rFonts w:asciiTheme="minorHAnsi" w:hAnsiTheme="minorHAnsi" w:cstheme="minorHAnsi"/>
          <w:color w:val="000000" w:themeColor="text1"/>
        </w:rPr>
        <w:t>Statistical analysis</w:t>
      </w:r>
      <w:bookmarkEnd w:id="109"/>
    </w:p>
    <w:p w14:paraId="59B6FD10" w14:textId="6CB39484" w:rsidR="00F13BED" w:rsidRPr="00CA4ABC" w:rsidRDefault="00F13BED" w:rsidP="00173EDD">
      <w:pPr>
        <w:spacing w:line="360" w:lineRule="auto"/>
        <w:ind w:firstLine="720"/>
        <w:rPr>
          <w:rFonts w:cstheme="minorHAnsi"/>
          <w:color w:val="000000" w:themeColor="text1"/>
        </w:rPr>
      </w:pPr>
      <w:r w:rsidRPr="00CA4ABC">
        <w:rPr>
          <w:rFonts w:cstheme="minorHAnsi"/>
          <w:color w:val="000000" w:themeColor="text1"/>
        </w:rPr>
        <w:t xml:space="preserve">SPSS Statistics 26.0 was used to perform all statistical </w:t>
      </w:r>
      <w:r w:rsidR="00056BB2" w:rsidRPr="00CA4ABC">
        <w:rPr>
          <w:rFonts w:cstheme="minorHAnsi"/>
          <w:color w:val="000000" w:themeColor="text1"/>
        </w:rPr>
        <w:t>analysis</w:t>
      </w:r>
      <w:r w:rsidRPr="00CA4ABC">
        <w:rPr>
          <w:rFonts w:cstheme="minorHAnsi"/>
          <w:color w:val="000000" w:themeColor="text1"/>
        </w:rPr>
        <w:t xml:space="preserve"> procedures. </w:t>
      </w:r>
    </w:p>
    <w:p w14:paraId="5C1721C2" w14:textId="1DDA63D1" w:rsidR="00F13BED" w:rsidRPr="00CA4ABC" w:rsidRDefault="00D323D0" w:rsidP="004053D7">
      <w:pPr>
        <w:pStyle w:val="Heading3"/>
        <w:spacing w:line="360" w:lineRule="auto"/>
        <w:rPr>
          <w:rFonts w:asciiTheme="minorHAnsi" w:hAnsiTheme="minorHAnsi" w:cstheme="minorHAnsi"/>
          <w:color w:val="000000" w:themeColor="text1"/>
        </w:rPr>
      </w:pPr>
      <w:bookmarkStart w:id="110" w:name="_Toc135384293"/>
      <w:r w:rsidRPr="00CA4ABC">
        <w:rPr>
          <w:rFonts w:asciiTheme="minorHAnsi" w:hAnsiTheme="minorHAnsi" w:cstheme="minorHAnsi"/>
          <w:color w:val="000000" w:themeColor="text1"/>
        </w:rPr>
        <w:t xml:space="preserve">3.4.10.1 </w:t>
      </w:r>
      <w:r w:rsidR="00F13BED" w:rsidRPr="00CA4ABC">
        <w:rPr>
          <w:rFonts w:asciiTheme="minorHAnsi" w:hAnsiTheme="minorHAnsi" w:cstheme="minorHAnsi"/>
          <w:color w:val="000000" w:themeColor="text1"/>
        </w:rPr>
        <w:t>Protein screener statistical analysis</w:t>
      </w:r>
      <w:bookmarkEnd w:id="110"/>
    </w:p>
    <w:p w14:paraId="03627631" w14:textId="64ECC630" w:rsidR="004B779A" w:rsidRDefault="00F13BED" w:rsidP="004B779A">
      <w:pPr>
        <w:spacing w:line="360" w:lineRule="auto"/>
        <w:ind w:firstLine="720"/>
        <w:rPr>
          <w:rFonts w:cstheme="minorHAnsi"/>
          <w:color w:val="000000" w:themeColor="text1"/>
        </w:rPr>
      </w:pPr>
      <w:r w:rsidRPr="00CA4ABC">
        <w:rPr>
          <w:rFonts w:cstheme="minorHAnsi"/>
          <w:color w:val="000000" w:themeColor="text1"/>
        </w:rPr>
        <w:t xml:space="preserve">A repeat of the statistical analysis procedure carried out </w:t>
      </w:r>
      <w:r w:rsidR="009D6763" w:rsidRPr="00CA4ABC">
        <w:rPr>
          <w:rFonts w:cstheme="minorHAnsi"/>
          <w:color w:val="000000" w:themeColor="text1"/>
        </w:rPr>
        <w:t>by</w:t>
      </w:r>
      <w:r w:rsidRPr="00CA4ABC">
        <w:rPr>
          <w:rFonts w:cstheme="minorHAnsi"/>
          <w:color w:val="000000" w:themeColor="text1"/>
        </w:rPr>
        <w:t xml:space="preserve"> Tuttiett </w:t>
      </w:r>
      <w:r w:rsidR="002B03CD" w:rsidRPr="00CA4ABC">
        <w:rPr>
          <w:rFonts w:cstheme="minorHAnsi"/>
          <w:color w:val="000000" w:themeColor="text1"/>
        </w:rPr>
        <w:t>et al.</w:t>
      </w:r>
      <w:r w:rsidRPr="00CA4ABC">
        <w:rPr>
          <w:rFonts w:cstheme="minorHAnsi"/>
          <w:color w:val="000000" w:themeColor="text1"/>
        </w:rPr>
        <w:t xml:space="preserve"> </w:t>
      </w:r>
      <w:r w:rsidR="008C6D38"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{"citationItems":[{"id":"ITEM-1","itemData":{"DOI":"10.1017/JNS.2022.96","ISSN":"2048-6790","abstract":"Adequate dietary protein intake is important in human subjects for maintaining muscle turnover, determining the protein content of tissues and thus the preservation of muscle mass and function as we age. A screening tool to assess if an older individual is likely to have a lower dietary protein intake (predicted probability of protein intake ≤1</w:instrText>
      </w:r>
      <w:r w:rsidR="00E86F8C">
        <w:rPr>
          <w:rFonts w:ascii="Cambria Math" w:hAnsi="Cambria Math" w:cs="Cambria Math"/>
          <w:color w:val="000000" w:themeColor="text1"/>
        </w:rPr>
        <w:instrText>⋅</w:instrText>
      </w:r>
      <w:r w:rsidR="00E86F8C">
        <w:rPr>
          <w:rFonts w:cstheme="minorHAnsi"/>
          <w:color w:val="000000" w:themeColor="text1"/>
        </w:rPr>
        <w:instrText>0 g/kg per d), has been developed for a Netherlands dietary profile, but this has not been validated in a UK population. This study aimed to adapt and then validate the protein screening tool for use in a UK population. Amendment of the tool was undertaken using data from UK BioBank and the UK National Diet and Nutrition Survey to reflect protein sources in the UK diet. Validation of the amended version of the protein screener screening tool was conducted using protein intake derived from a food frequency questionnaire (FFQ) in a sample of UK adults (n = 184) (age range 18–91 years) as the reference standard. Using the FFQ, 40 % of respondents (n = 74) reported a protein intake of ≤1</w:instrText>
      </w:r>
      <w:r w:rsidR="00E86F8C">
        <w:rPr>
          <w:rFonts w:ascii="Cambria Math" w:hAnsi="Cambria Math" w:cs="Cambria Math"/>
          <w:color w:val="000000" w:themeColor="text1"/>
        </w:rPr>
        <w:instrText>⋅</w:instrText>
      </w:r>
      <w:r w:rsidR="00E86F8C">
        <w:rPr>
          <w:rFonts w:cstheme="minorHAnsi"/>
          <w:color w:val="000000" w:themeColor="text1"/>
        </w:rPr>
        <w:instrText>0 g per kg body mass. The discriminative accuracy of the amended screener was tested using receiver operating characteristic (ROC) curves. The area under the curve for the ROC was 0</w:instrText>
      </w:r>
      <w:r w:rsidR="00E86F8C">
        <w:rPr>
          <w:rFonts w:ascii="Cambria Math" w:hAnsi="Cambria Math" w:cs="Cambria Math"/>
          <w:color w:val="000000" w:themeColor="text1"/>
        </w:rPr>
        <w:instrText>⋅</w:instrText>
      </w:r>
      <w:r w:rsidR="00E86F8C">
        <w:rPr>
          <w:rFonts w:cstheme="minorHAnsi"/>
          <w:color w:val="000000" w:themeColor="text1"/>
        </w:rPr>
        <w:instrText>731 (95 % CI 0</w:instrText>
      </w:r>
      <w:r w:rsidR="00E86F8C">
        <w:rPr>
          <w:rFonts w:ascii="Cambria Math" w:hAnsi="Cambria Math" w:cs="Cambria Math"/>
          <w:color w:val="000000" w:themeColor="text1"/>
        </w:rPr>
        <w:instrText>⋅</w:instrText>
      </w:r>
      <w:r w:rsidR="00E86F8C">
        <w:rPr>
          <w:rFonts w:cstheme="minorHAnsi"/>
          <w:color w:val="000000" w:themeColor="text1"/>
        </w:rPr>
        <w:instrText>657, 0</w:instrText>
      </w:r>
      <w:r w:rsidR="00E86F8C">
        <w:rPr>
          <w:rFonts w:ascii="Cambria Math" w:hAnsi="Cambria Math" w:cs="Cambria Math"/>
          <w:color w:val="000000" w:themeColor="text1"/>
        </w:rPr>
        <w:instrText>⋅</w:instrText>
      </w:r>
      <w:r w:rsidR="00E86F8C">
        <w:rPr>
          <w:rFonts w:cstheme="minorHAnsi"/>
          <w:color w:val="000000" w:themeColor="text1"/>
        </w:rPr>
        <w:instrText>805), indicating that the amended screener may be a valid tool to screen for individuals consuming ≤1</w:instrText>
      </w:r>
      <w:r w:rsidR="00E86F8C">
        <w:rPr>
          <w:rFonts w:ascii="Cambria Math" w:hAnsi="Cambria Math" w:cs="Cambria Math"/>
          <w:color w:val="000000" w:themeColor="text1"/>
        </w:rPr>
        <w:instrText>⋅</w:instrText>
      </w:r>
      <w:r w:rsidR="00E86F8C">
        <w:rPr>
          <w:rFonts w:cstheme="minorHAnsi"/>
          <w:color w:val="000000" w:themeColor="text1"/>
        </w:rPr>
        <w:instrText>0 g/kg adjusted BM/d in an adult UK population. This protein screener tool is a potential method to screen individuals with a likelihood of habitually consuming protein intakes of ≤1</w:instrText>
      </w:r>
      <w:r w:rsidR="00E86F8C">
        <w:rPr>
          <w:rFonts w:ascii="Cambria Math" w:hAnsi="Cambria Math" w:cs="Cambria Math"/>
          <w:color w:val="000000" w:themeColor="text1"/>
        </w:rPr>
        <w:instrText>⋅</w:instrText>
      </w:r>
      <w:r w:rsidR="00E86F8C">
        <w:rPr>
          <w:rFonts w:cstheme="minorHAnsi"/>
          <w:color w:val="000000" w:themeColor="text1"/>
        </w:rPr>
        <w:instrText>0 g/kg per d. Further validation is needed using a more robust dietary intake methodology and for specific groups, such as older adults. The screener may be applicable across healthcare, clinical and research applications.","author":[{"dropping-particle":"","family":"Tuttiett","given":"Esme R.","non-dropping-particle":"","parse-names":false,"suffix":""},{"dropping-particle":"","family":"Ioannou","given":"Elysa","non-dropping-particle":"","parse-names":false,"suffix":""},{"dropping-particle":"","family":"Wijnhoven","given":"Hanneke A.H.","non-dropping-particle":"","parse-names":false,"suffix":""},{"dropping-particle":"","family":"Corfe","given":"Bernard M.","non-dropping-particle":"","parse-names":false,"suffix":""},{"dropping-particle":"","family":"Williams","given":"Elizabeth A.","non-dropping-particle":"","parse-names":false,"suffix":""}],"container-title":"Journal of Nutritional Science","id":"ITEM-1","issued":{"date-parts":[["2022","11","10"]]},"page":"e100","publisher":"Cambridge University Press","title":"Adaptation and validation of a protein intake screening tool for a UK adult population","type":"article-journal","volume":"11"},"uris":["http://www.mendeley.com/documents/?uuid=4bfe53ae-fadc-3848-9ff7-d590a95deef3"]}],"mendeley":{"formattedCitation":"(194)","plainTextFormattedCitation":"(194)","previouslyFormattedCitation":"(194)"},"properties":{"noteIndex":0},"schema":"https://github.com/citation-style-language/schema/raw/master/csl-citation.json"}</w:instrText>
      </w:r>
      <w:r w:rsidR="008C6D38" w:rsidRPr="00CA4ABC">
        <w:rPr>
          <w:rFonts w:cstheme="minorHAnsi"/>
          <w:color w:val="000000" w:themeColor="text1"/>
        </w:rPr>
        <w:fldChar w:fldCharType="separate"/>
      </w:r>
      <w:r w:rsidR="00057AE3" w:rsidRPr="00057AE3">
        <w:rPr>
          <w:rFonts w:cstheme="minorHAnsi"/>
          <w:noProof/>
          <w:color w:val="000000" w:themeColor="text1"/>
        </w:rPr>
        <w:t>(194)</w:t>
      </w:r>
      <w:r w:rsidR="008C6D38" w:rsidRPr="00CA4ABC">
        <w:rPr>
          <w:rFonts w:cstheme="minorHAnsi"/>
          <w:color w:val="000000" w:themeColor="text1"/>
        </w:rPr>
        <w:fldChar w:fldCharType="end"/>
      </w:r>
      <w:r w:rsidR="00D43249" w:rsidRPr="00CA4ABC">
        <w:rPr>
          <w:rFonts w:cstheme="minorHAnsi"/>
          <w:color w:val="000000" w:themeColor="text1"/>
        </w:rPr>
        <w:t xml:space="preserve"> </w:t>
      </w:r>
      <w:r w:rsidRPr="00CA4ABC">
        <w:rPr>
          <w:rFonts w:cstheme="minorHAnsi"/>
          <w:color w:val="000000" w:themeColor="text1"/>
        </w:rPr>
        <w:t xml:space="preserve">was </w:t>
      </w:r>
      <w:r w:rsidR="0094614B" w:rsidRPr="00CA4ABC">
        <w:rPr>
          <w:rFonts w:cstheme="minorHAnsi"/>
          <w:color w:val="000000" w:themeColor="text1"/>
        </w:rPr>
        <w:t>use</w:t>
      </w:r>
      <w:r w:rsidRPr="00CA4ABC">
        <w:rPr>
          <w:rFonts w:cstheme="minorHAnsi"/>
          <w:color w:val="000000" w:themeColor="text1"/>
        </w:rPr>
        <w:t xml:space="preserve">d, with the difference being that </w:t>
      </w:r>
      <w:r w:rsidR="00532C36" w:rsidRPr="00CA4ABC">
        <w:rPr>
          <w:rFonts w:cstheme="minorHAnsi"/>
          <w:color w:val="000000" w:themeColor="text1"/>
        </w:rPr>
        <w:t>the</w:t>
      </w:r>
      <w:r w:rsidRPr="00CA4ABC">
        <w:rPr>
          <w:rFonts w:cstheme="minorHAnsi"/>
          <w:color w:val="000000" w:themeColor="text1"/>
        </w:rPr>
        <w:t xml:space="preserve"> ROC curves to test the discriminative accuracy of the adapted regression equation versus protein intake </w:t>
      </w:r>
      <w:r w:rsidRPr="00CA4ABC">
        <w:rPr>
          <w:rFonts w:eastAsia="Gungsuh" w:cstheme="minorHAnsi"/>
          <w:color w:val="000000" w:themeColor="text1"/>
        </w:rPr>
        <w:t>≤</w:t>
      </w:r>
      <w:r w:rsidRPr="00CA4ABC">
        <w:rPr>
          <w:rFonts w:cstheme="minorHAnsi"/>
          <w:color w:val="000000" w:themeColor="text1"/>
        </w:rPr>
        <w:t>1.0g/kg adjusted BM/d were conducted using values obtained from intake24 responses, rather than FFQ data. This was also explored at cut</w:t>
      </w:r>
      <w:r w:rsidR="009D6763" w:rsidRPr="00CA4ABC">
        <w:rPr>
          <w:rFonts w:cstheme="minorHAnsi"/>
          <w:color w:val="000000" w:themeColor="text1"/>
        </w:rPr>
        <w:t>-</w:t>
      </w:r>
      <w:r w:rsidRPr="00CA4ABC">
        <w:rPr>
          <w:rFonts w:cstheme="minorHAnsi"/>
          <w:color w:val="000000" w:themeColor="text1"/>
        </w:rPr>
        <w:t xml:space="preserve">offs of </w:t>
      </w:r>
      <w:r w:rsidRPr="00CA4ABC">
        <w:rPr>
          <w:rFonts w:eastAsia="Gungsuh" w:cstheme="minorHAnsi"/>
          <w:color w:val="000000" w:themeColor="text1"/>
        </w:rPr>
        <w:t>≤</w:t>
      </w:r>
      <w:r w:rsidRPr="00CA4ABC">
        <w:rPr>
          <w:rFonts w:cstheme="minorHAnsi"/>
          <w:color w:val="000000" w:themeColor="text1"/>
        </w:rPr>
        <w:t>0.75g/kg adjusted BM/d</w:t>
      </w:r>
      <w:r w:rsidR="005C35CF">
        <w:rPr>
          <w:rFonts w:cstheme="minorHAnsi"/>
          <w:color w:val="000000" w:themeColor="text1"/>
        </w:rPr>
        <w:t xml:space="preserve"> (in like with UK  RNI guidelines),</w:t>
      </w:r>
      <w:r w:rsidR="00EA0130" w:rsidRPr="00CA4ABC">
        <w:rPr>
          <w:rFonts w:cstheme="minorHAnsi"/>
          <w:color w:val="000000" w:themeColor="text1"/>
        </w:rPr>
        <w:t xml:space="preserve"> </w:t>
      </w:r>
      <w:r w:rsidR="00EA0130" w:rsidRPr="00CA4ABC">
        <w:rPr>
          <w:rFonts w:eastAsia="Gungsuh" w:cstheme="minorHAnsi"/>
          <w:color w:val="000000" w:themeColor="text1"/>
        </w:rPr>
        <w:t>≤</w:t>
      </w:r>
      <w:r w:rsidR="00EA0130" w:rsidRPr="00CA4ABC">
        <w:rPr>
          <w:rFonts w:cstheme="minorHAnsi"/>
          <w:color w:val="000000" w:themeColor="text1"/>
        </w:rPr>
        <w:t>1.0g/kg adjusted BM/d</w:t>
      </w:r>
      <w:r w:rsidRPr="00CA4ABC">
        <w:rPr>
          <w:rFonts w:cstheme="minorHAnsi"/>
          <w:color w:val="000000" w:themeColor="text1"/>
        </w:rPr>
        <w:t xml:space="preserve"> </w:t>
      </w:r>
      <w:r w:rsidR="005C35CF">
        <w:rPr>
          <w:rFonts w:cstheme="minorHAnsi"/>
          <w:color w:val="000000" w:themeColor="text1"/>
        </w:rPr>
        <w:t xml:space="preserve">(in line with Winjhoven et al </w:t>
      </w:r>
      <w:r w:rsidR="005C35CF">
        <w:rPr>
          <w:rFonts w:cstheme="minorHAnsi"/>
          <w:color w:val="000000" w:themeColor="text1"/>
        </w:rPr>
        <w:fldChar w:fldCharType="begin" w:fldLock="1"/>
      </w:r>
      <w:r w:rsidR="00E86F8C">
        <w:rPr>
          <w:rFonts w:cstheme="minorHAnsi"/>
          <w:color w:val="000000" w:themeColor="text1"/>
        </w:rPr>
        <w:instrText>ADDIN CSL_CITATION {"citationItems":[{"id":"ITEM-1","itemData":{"DOI":"10.1371/journal.pone.0196406","ISSN":"19326203","abstract":"In old age, sufficient protein intake is important to preserve muscle mass and function. Around 50% of older adults (65+ y) consumes 1.0 g/kg adjusted body weight (BW)/day (d). There is no rapid method available to screen for low protein intake in old age. Therefore, we aimed to develop and validate a short food questionnaire to screen for low protein intake in community-dwelling older adults. We used data of 1348 older men and women (56–101 y) of the LASA study (the Netherlands) to develop the questionnaire and data of 563 older men and women (55–71 y) of the HELIUS study (the Netherlands) for external validation. In both samples, protein intake was measured by the 238-item semi-quantitative HELIUS food frequency questionnaire (FFQ). Multivariable logistic regression analysis was used to predict protein intake 1.0 g/kg adjusted BW/d (based on the HELIUS FFQ). Candidate predictor variables were FFQ questions on frequency and amount of intake of specific foods. In both samples, 30% had a protein intake 1.0 g/kg adjusted BW/d. Our final model included adjusted body weight and 10 questions on the consumption (amount on average day or frequency in 4 weeks) of: slices of bread (number); glasses of milk (number); meat with warm meal (portion size); cheese (amount and frequency); dairy products (like yoghurt) (frequency); egg(s) (frequency); pasta/noodles (frequency); fish (frequency); and nuts/peanuts (frequency). The area under the receiver operating characteristic curve (AUC) was 0.889 (95% CI 0.870–0.907). The calibration slope was 1.03 (optimal slope 1.00). At a cut-off of 0.8 g/kg adjusted BW/d, the AUC was 0.916 (96% CI 0.897–0.936). Applying the regression equation to the HELIUS sample, the AUC was 0.856 (95% CI 0.824–0.888) and the calibration slope 0.92. Regression coefficients were therefore subsequently shrunken by a linear factor 0.92. To conclude, the short food questionnaire (Pro55+) can be used to validly screen for protein intake 1.0 g/kg adjusted BW/d in community-dwelling older adults. An online version can be found at www.proteinscreener.nl. External validation in other countries is recommended.","author":[{"dropping-particle":"","family":"Wijnhoven","given":"Hanneke A.H.","non-dropping-particle":"","parse-names":false,"suffix":""},{"dropping-particle":"","family":"Elstgeest","given":"Liset E.M.","non-dropping-particle":"","parse-names":false,"suffix":""},{"dropping-particle":"","family":"Vet","given":"Henrica C.W.","non-dropping-particle":"de","parse-names":false,"suffix":""},{"dropping-particle":"","family":"Nicolaou","given":"Mary","non-dropping-particle":"","parse-names":false,"suffix":""},{"dropping-particle":"","family":"Snijder","given":"Marieke B.","non-dropping-particle":"","parse-names":false,"suffix":""},{"dropping-particle":"","family":"Visser","given":"Marjolein","non-dropping-particle":"","parse-names":false,"suffix":""}],"container-title":"PLoS ONE","id":"ITEM-1","issue":"5","issued":{"date-parts":[["2018","5","1"]]},"publisher":"Public Library of Science","title":"Development and validation of a short food questionnaire to screen for low protein intake in community-dwelling older adults: The Protein Screener 55+ (Pro55+)","type":"article-journal","volume":"13"},"uris":["http://www.mendeley.com/documents/?uuid=ff0f1464-ecfa-3ac3-82d4-25c89ee39538"]}],"mendeley":{"formattedCitation":"(180)","plainTextFormattedCitation":"(180)","previouslyFormattedCitation":"(180)"},"properties":{"noteIndex":0},"schema":"https://github.com/citation-style-language/schema/raw/master/csl-citation.json"}</w:instrText>
      </w:r>
      <w:r w:rsidR="005C35CF">
        <w:rPr>
          <w:rFonts w:cstheme="minorHAnsi"/>
          <w:color w:val="000000" w:themeColor="text1"/>
        </w:rPr>
        <w:fldChar w:fldCharType="separate"/>
      </w:r>
      <w:r w:rsidR="00057AE3" w:rsidRPr="00057AE3">
        <w:rPr>
          <w:rFonts w:cstheme="minorHAnsi"/>
          <w:noProof/>
          <w:color w:val="000000" w:themeColor="text1"/>
        </w:rPr>
        <w:t>(180)</w:t>
      </w:r>
      <w:r w:rsidR="005C35CF">
        <w:rPr>
          <w:rFonts w:cstheme="minorHAnsi"/>
          <w:color w:val="000000" w:themeColor="text1"/>
        </w:rPr>
        <w:fldChar w:fldCharType="end"/>
      </w:r>
      <w:r w:rsidR="005C35CF">
        <w:rPr>
          <w:rFonts w:cstheme="minorHAnsi"/>
          <w:color w:val="000000" w:themeColor="text1"/>
        </w:rPr>
        <w:t xml:space="preserve"> and Tuttiett et al </w:t>
      </w:r>
      <w:r w:rsidR="005C35CF">
        <w:rPr>
          <w:rFonts w:cstheme="minorHAnsi"/>
          <w:color w:val="000000" w:themeColor="text1"/>
        </w:rPr>
        <w:fldChar w:fldCharType="begin" w:fldLock="1"/>
      </w:r>
      <w:r w:rsidR="00E86F8C">
        <w:rPr>
          <w:rFonts w:cstheme="minorHAnsi"/>
          <w:color w:val="000000" w:themeColor="text1"/>
        </w:rPr>
        <w:instrText>ADDIN CSL_CITATION {"citationItems":[{"id":"ITEM-1","itemData":{"DOI":"10.1017/JNS.2022.96","ISSN":"2048-6790","abstract":"Adequate dietary protein intake is important in human subjects for maintaining muscle turnover, determining the protein content of tissues and thus the preservation of muscle mass and function as we age. A screening tool to assess if an older individual is likely to have a lower dietary protein intake (predicted probability of protein intake ≤1</w:instrText>
      </w:r>
      <w:r w:rsidR="00E86F8C">
        <w:rPr>
          <w:rFonts w:ascii="Cambria Math" w:hAnsi="Cambria Math" w:cs="Cambria Math"/>
          <w:color w:val="000000" w:themeColor="text1"/>
        </w:rPr>
        <w:instrText>⋅</w:instrText>
      </w:r>
      <w:r w:rsidR="00E86F8C">
        <w:rPr>
          <w:rFonts w:cstheme="minorHAnsi"/>
          <w:color w:val="000000" w:themeColor="text1"/>
        </w:rPr>
        <w:instrText>0 g/kg per d), has been developed for a Netherlands dietary profile, but this has not been validated in a UK population. This study aimed to adapt and then validate the protein screening tool for use in a UK population. Amendment of the tool was undertaken using data from UK BioBank and the UK National Diet and Nutrition Survey to reflect protein sources in the UK diet. Validation of the amended version of the protein screener screening tool was conducted using protein intake derived from a food frequency questionnaire (FFQ) in a sample of UK adults (n = 184) (age range 18–91 years) as the reference standard. Using the FFQ, 40 % of respondents (n = 74) reported a protein intake of ≤1</w:instrText>
      </w:r>
      <w:r w:rsidR="00E86F8C">
        <w:rPr>
          <w:rFonts w:ascii="Cambria Math" w:hAnsi="Cambria Math" w:cs="Cambria Math"/>
          <w:color w:val="000000" w:themeColor="text1"/>
        </w:rPr>
        <w:instrText>⋅</w:instrText>
      </w:r>
      <w:r w:rsidR="00E86F8C">
        <w:rPr>
          <w:rFonts w:cstheme="minorHAnsi"/>
          <w:color w:val="000000" w:themeColor="text1"/>
        </w:rPr>
        <w:instrText>0 g per kg body mass. The discriminative accuracy of the amended screener was tested using receiver operating characteristic (ROC) curves. The area under the curve for the ROC was 0</w:instrText>
      </w:r>
      <w:r w:rsidR="00E86F8C">
        <w:rPr>
          <w:rFonts w:ascii="Cambria Math" w:hAnsi="Cambria Math" w:cs="Cambria Math"/>
          <w:color w:val="000000" w:themeColor="text1"/>
        </w:rPr>
        <w:instrText>⋅</w:instrText>
      </w:r>
      <w:r w:rsidR="00E86F8C">
        <w:rPr>
          <w:rFonts w:cstheme="minorHAnsi"/>
          <w:color w:val="000000" w:themeColor="text1"/>
        </w:rPr>
        <w:instrText>731 (95 % CI 0</w:instrText>
      </w:r>
      <w:r w:rsidR="00E86F8C">
        <w:rPr>
          <w:rFonts w:ascii="Cambria Math" w:hAnsi="Cambria Math" w:cs="Cambria Math"/>
          <w:color w:val="000000" w:themeColor="text1"/>
        </w:rPr>
        <w:instrText>⋅</w:instrText>
      </w:r>
      <w:r w:rsidR="00E86F8C">
        <w:rPr>
          <w:rFonts w:cstheme="minorHAnsi"/>
          <w:color w:val="000000" w:themeColor="text1"/>
        </w:rPr>
        <w:instrText>657, 0</w:instrText>
      </w:r>
      <w:r w:rsidR="00E86F8C">
        <w:rPr>
          <w:rFonts w:ascii="Cambria Math" w:hAnsi="Cambria Math" w:cs="Cambria Math"/>
          <w:color w:val="000000" w:themeColor="text1"/>
        </w:rPr>
        <w:instrText>⋅</w:instrText>
      </w:r>
      <w:r w:rsidR="00E86F8C">
        <w:rPr>
          <w:rFonts w:cstheme="minorHAnsi"/>
          <w:color w:val="000000" w:themeColor="text1"/>
        </w:rPr>
        <w:instrText>805), indicating that the amended screener may be a valid tool to screen for individuals consuming ≤1</w:instrText>
      </w:r>
      <w:r w:rsidR="00E86F8C">
        <w:rPr>
          <w:rFonts w:ascii="Cambria Math" w:hAnsi="Cambria Math" w:cs="Cambria Math"/>
          <w:color w:val="000000" w:themeColor="text1"/>
        </w:rPr>
        <w:instrText>⋅</w:instrText>
      </w:r>
      <w:r w:rsidR="00E86F8C">
        <w:rPr>
          <w:rFonts w:cstheme="minorHAnsi"/>
          <w:color w:val="000000" w:themeColor="text1"/>
        </w:rPr>
        <w:instrText>0 g/kg adjusted BM/d in an adult UK population. This protein screener tool is a potential method to screen individuals with a likelihood of habitually consuming protein intakes of ≤1</w:instrText>
      </w:r>
      <w:r w:rsidR="00E86F8C">
        <w:rPr>
          <w:rFonts w:ascii="Cambria Math" w:hAnsi="Cambria Math" w:cs="Cambria Math"/>
          <w:color w:val="000000" w:themeColor="text1"/>
        </w:rPr>
        <w:instrText>⋅</w:instrText>
      </w:r>
      <w:r w:rsidR="00E86F8C">
        <w:rPr>
          <w:rFonts w:cstheme="minorHAnsi"/>
          <w:color w:val="000000" w:themeColor="text1"/>
        </w:rPr>
        <w:instrText>0 g/kg per d. Further validation is needed using a more robust dietary intake methodology and for specific groups, such as older adults. The screener may be applicable across healthcare, clinical and research applications.","author":[{"dropping-particle":"","family":"Tuttiett","given":"Esme R.","non-dropping-particle":"","parse-names":false,"suffix":""},{"dropping-particle":"","family":"Ioannou","given":"Elysa","non-dropping-particle":"","parse-names":false,"suffix":""},{"dropping-particle":"","family":"Wijnhoven","given":"Hanneke A.H.","non-dropping-particle":"","parse-names":false,"suffix":""},{"dropping-particle":"","family":"Corfe","given":"Bernard M.","non-dropping-particle":"","parse-names":false,"suffix":""},{"dropping-particle":"","family":"Williams","given":"Elizabeth A.","non-dropping-particle":"","parse-names":false,"suffix":""}],"container-title":"Journal of Nutritional Science","id":"ITEM-1","issued":{"date-parts":[["2022","11","10"]]},"page":"e100","publisher":"Cambridge University Press","title":"Adaptation and validation of a protein intake screening tool for a UK adult population","type":"article-journal","volume":"11"},"uris":["http://www.mendeley.com/documents/?uuid=4bfe53ae-fadc-3848-9ff7-d590a95deef3"]}],"mendeley":{"formattedCitation":"(194)","plainTextFormattedCitation":"(194)","previouslyFormattedCitation":"(194)"},"properties":{"noteIndex":0},"schema":"https://github.com/citation-style-language/schema/raw/master/csl-citation.json"}</w:instrText>
      </w:r>
      <w:r w:rsidR="005C35CF">
        <w:rPr>
          <w:rFonts w:cstheme="minorHAnsi"/>
          <w:color w:val="000000" w:themeColor="text1"/>
        </w:rPr>
        <w:fldChar w:fldCharType="separate"/>
      </w:r>
      <w:r w:rsidR="00057AE3" w:rsidRPr="00057AE3">
        <w:rPr>
          <w:rFonts w:cstheme="minorHAnsi"/>
          <w:noProof/>
          <w:color w:val="000000" w:themeColor="text1"/>
        </w:rPr>
        <w:t>(194)</w:t>
      </w:r>
      <w:r w:rsidR="005C35CF">
        <w:rPr>
          <w:rFonts w:cstheme="minorHAnsi"/>
          <w:color w:val="000000" w:themeColor="text1"/>
        </w:rPr>
        <w:fldChar w:fldCharType="end"/>
      </w:r>
      <w:r w:rsidR="005C35CF">
        <w:rPr>
          <w:rFonts w:cstheme="minorHAnsi"/>
          <w:color w:val="000000" w:themeColor="text1"/>
        </w:rPr>
        <w:t xml:space="preserve"> </w:t>
      </w:r>
      <w:r w:rsidR="005C35CF">
        <w:rPr>
          <w:rFonts w:cstheme="minorHAnsi"/>
          <w:color w:val="000000" w:themeColor="text1"/>
        </w:rPr>
        <w:lastRenderedPageBreak/>
        <w:t xml:space="preserve">calculations) </w:t>
      </w:r>
      <w:r w:rsidRPr="00CA4ABC">
        <w:rPr>
          <w:rFonts w:cstheme="minorHAnsi"/>
          <w:color w:val="000000" w:themeColor="text1"/>
        </w:rPr>
        <w:t xml:space="preserve">and </w:t>
      </w:r>
      <w:r w:rsidRPr="00CA4ABC">
        <w:rPr>
          <w:rFonts w:eastAsia="Gungsuh" w:cstheme="minorHAnsi"/>
          <w:color w:val="000000" w:themeColor="text1"/>
        </w:rPr>
        <w:t>≤</w:t>
      </w:r>
      <w:r w:rsidRPr="00CA4ABC">
        <w:rPr>
          <w:rFonts w:cstheme="minorHAnsi"/>
          <w:color w:val="000000" w:themeColor="text1"/>
        </w:rPr>
        <w:t>1.2g/kg adjusted BM/d</w:t>
      </w:r>
      <w:r w:rsidR="005C35CF">
        <w:rPr>
          <w:rFonts w:cstheme="minorHAnsi"/>
          <w:color w:val="000000" w:themeColor="text1"/>
        </w:rPr>
        <w:t xml:space="preserve"> (in line with ESPEN guidelines for older adults </w:t>
      </w:r>
      <w:r w:rsidR="005C35CF">
        <w:rPr>
          <w:rFonts w:cstheme="minorHAnsi"/>
          <w:color w:val="000000" w:themeColor="text1"/>
        </w:rPr>
        <w:fldChar w:fldCharType="begin" w:fldLock="1"/>
      </w:r>
      <w:r w:rsidR="00E86F8C">
        <w:rPr>
          <w:rFonts w:cstheme="minorHAnsi"/>
          <w:color w:val="000000" w:themeColor="text1"/>
        </w:rPr>
        <w:instrText>ADDIN CSL_CITATION {"citationItems":[{"id":"ITEM-1","itemData":{"DOI":"10.1016/j.clnu.2014.04.007","ISSN":"15321983","abstract":"The aging process is associated with gradual and progressive loss of muscle mass along with lowered strength and physical endurance. This condition, sarcopenia, has been widely observed with aging in sedentary adults. Regular aerobic and resistance exercise programs have been shown to counteract most aspects of sarcopenia. In addition, good nutrition, especially adequate protein and energy intake, can help limit and treat age-related declines in muscle mass, strength, and functional abilities. Protein nutrition in combination with exercise is considered optimal for maintaining muscle function. With the goal of providing recommendations for health care professionals to help older adults sustain muscle strength and function into older age, the European Society for Clinical Nutrition and Metabolism (ESPEN) hosted a Workshop on Protein Requirements in the Elderly, held in Dubrovnik on November 24 and 25, 2013. Based on the evidence presented and discussed, the following recommendations are made (a) for healthy older people, the diet should provide at least 1.0-1.2g protein/kg body weight/day, (b) for older people who are malnourished or at risk of malnutrition because they have acute or chronic illness, the diet should provide 1.2-1.5g protein/kg body weight/day, with even higher intake for individuals with severe illness or injury, and (c) daily physical activity or exercise (resistance training, aerobic exercise) should be undertaken by all older people, for as long as possible.","author":[{"dropping-particle":"","family":"Deutz","given":"Nicolaas E.P.","non-dropping-particle":"","parse-names":false,"suffix":""},{"dropping-particle":"","family":"Bauer","given":"Jürgen M.","non-dropping-particle":"","parse-names":false,"suffix":""},{"dropping-particle":"","family":"Barazzoni","given":"Rocco","non-dropping-particle":"","parse-names":false,"suffix":""},{"dropping-particle":"","family":"Biolo","given":"Gianni","non-dropping-particle":"","parse-names":false,"suffix":""},{"dropping-particle":"","family":"Boirie","given":"Yves","non-dropping-particle":"","parse-names":false,"suffix":""},{"dropping-particle":"","family":"Bosy-Westphal","given":"Anja","non-dropping-particle":"","parse-names":false,"suffix":""},{"dropping-particle":"","family":"Cederholm","given":"Tommy","non-dropping-particle":"","parse-names":false,"suffix":""},{"dropping-particle":"","family":"Cruz-Jentoft","given":"Alfonso","non-dropping-particle":"","parse-names":false,"suffix":""},{"dropping-particle":"","family":"Krznariç","given":"Zeljko","non-dropping-particle":"","parse-names":false,"suffix":""},{"dropping-particle":"","family":"Nair","given":"K. Sreekumaran","non-dropping-particle":"","parse-names":false,"suffix":""},{"dropping-particle":"","family":"Singer","given":"Pierre","non-dropping-particle":"","parse-names":false,"suffix":""},{"dropping-particle":"","family":"Teta","given":"Daniel","non-dropping-particle":"","parse-names":false,"suffix":""},{"dropping-particle":"","family":"Tipton","given":"Kevin","non-dropping-particle":"","parse-names":false,"suffix":""},{"dropping-particle":"","family":"Calder","given":"Philip C.","non-dropping-particle":"","parse-names":false,"suffix":""}],"container-title":"Clinical Nutrition","id":"ITEM-1","issued":{"date-parts":[["2014"]]},"title":"Protein intake and exercise for optimal muscle function with aging: Recommendations from the ESPEN Expert Group","type":"article-journal"},"uris":["http://www.mendeley.com/documents/?uuid=73b791c1-3d5a-31ed-b150-70a06082da9b"]}],"mendeley":{"formattedCitation":"(88)","plainTextFormattedCitation":"(88)","previouslyFormattedCitation":"(88)"},"properties":{"noteIndex":0},"schema":"https://github.com/citation-style-language/schema/raw/master/csl-citation.json"}</w:instrText>
      </w:r>
      <w:r w:rsidR="005C35CF">
        <w:rPr>
          <w:rFonts w:cstheme="minorHAnsi"/>
          <w:color w:val="000000" w:themeColor="text1"/>
        </w:rPr>
        <w:fldChar w:fldCharType="separate"/>
      </w:r>
      <w:r w:rsidR="00057AE3" w:rsidRPr="00057AE3">
        <w:rPr>
          <w:rFonts w:cstheme="minorHAnsi"/>
          <w:noProof/>
          <w:color w:val="000000" w:themeColor="text1"/>
        </w:rPr>
        <w:t>(88)</w:t>
      </w:r>
      <w:r w:rsidR="005C35CF">
        <w:rPr>
          <w:rFonts w:cstheme="minorHAnsi"/>
          <w:color w:val="000000" w:themeColor="text1"/>
        </w:rPr>
        <w:fldChar w:fldCharType="end"/>
      </w:r>
      <w:r w:rsidR="008C6D38" w:rsidRPr="00CA4ABC">
        <w:rPr>
          <w:rFonts w:cstheme="minorHAnsi"/>
          <w:color w:val="000000" w:themeColor="text1"/>
        </w:rPr>
        <w:t>.</w:t>
      </w:r>
      <w:r w:rsidR="005C35CF">
        <w:rPr>
          <w:rFonts w:cstheme="minorHAnsi"/>
          <w:color w:val="000000" w:themeColor="text1"/>
        </w:rPr>
        <w:t>)</w:t>
      </w:r>
      <w:r w:rsidR="008C6D38" w:rsidRPr="00CA4ABC">
        <w:rPr>
          <w:rFonts w:cstheme="minorHAnsi"/>
          <w:color w:val="000000" w:themeColor="text1"/>
        </w:rPr>
        <w:t xml:space="preserve"> </w:t>
      </w:r>
      <w:r w:rsidRPr="00CA4ABC">
        <w:rPr>
          <w:rFonts w:cstheme="minorHAnsi"/>
          <w:color w:val="000000" w:themeColor="text1"/>
        </w:rPr>
        <w:t>Assumptions for sensitivity, specificity, PPV and NPV calculations</w:t>
      </w:r>
      <w:r w:rsidR="008C6D38" w:rsidRPr="00CA4ABC">
        <w:rPr>
          <w:rFonts w:cstheme="minorHAnsi"/>
          <w:color w:val="000000" w:themeColor="text1"/>
        </w:rPr>
        <w:t xml:space="preserve"> are displayed in </w:t>
      </w:r>
      <w:r w:rsidR="008C6D38" w:rsidRPr="00CA4ABC">
        <w:rPr>
          <w:rFonts w:cstheme="minorHAnsi"/>
          <w:color w:val="000000" w:themeColor="text1"/>
        </w:rPr>
        <w:fldChar w:fldCharType="begin"/>
      </w:r>
      <w:r w:rsidR="008C6D38" w:rsidRPr="00CA4ABC">
        <w:rPr>
          <w:rFonts w:cstheme="minorHAnsi"/>
          <w:color w:val="000000" w:themeColor="text1"/>
        </w:rPr>
        <w:instrText xml:space="preserve"> REF _Ref121236047 \h </w:instrText>
      </w:r>
      <w:r w:rsidR="00A63B28" w:rsidRPr="00CA4ABC">
        <w:rPr>
          <w:rFonts w:cstheme="minorHAnsi"/>
          <w:color w:val="000000" w:themeColor="text1"/>
        </w:rPr>
        <w:instrText xml:space="preserve"> \* MERGEFORMAT </w:instrText>
      </w:r>
      <w:r w:rsidR="008C6D38" w:rsidRPr="00CA4ABC">
        <w:rPr>
          <w:rFonts w:cstheme="minorHAnsi"/>
          <w:color w:val="000000" w:themeColor="text1"/>
        </w:rPr>
      </w:r>
      <w:r w:rsidR="008C6D38"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5</w:t>
      </w:r>
      <w:r w:rsidR="008C6D38" w:rsidRPr="00CA4ABC">
        <w:rPr>
          <w:rFonts w:cstheme="minorHAnsi"/>
          <w:color w:val="000000" w:themeColor="text1"/>
        </w:rPr>
        <w:fldChar w:fldCharType="end"/>
      </w:r>
      <w:r w:rsidR="008C6D38" w:rsidRPr="00CA4ABC">
        <w:rPr>
          <w:rFonts w:cstheme="minorHAnsi"/>
          <w:color w:val="000000" w:themeColor="text1"/>
        </w:rPr>
        <w:t>.</w:t>
      </w:r>
      <w:r w:rsidR="004B779A" w:rsidRPr="00CA4ABC">
        <w:rPr>
          <w:rFonts w:cstheme="minorHAnsi"/>
          <w:color w:val="000000" w:themeColor="text1"/>
        </w:rPr>
        <w:t xml:space="preserve"> Chi-squared tests investigated protein intake categories and participant characteristics.</w:t>
      </w:r>
      <w:r w:rsidR="00A63B28" w:rsidRPr="00CA4ABC">
        <w:rPr>
          <w:rFonts w:cstheme="minorHAnsi"/>
          <w:color w:val="000000" w:themeColor="text1"/>
        </w:rPr>
        <w:t xml:space="preserve"> T-tests</w:t>
      </w:r>
      <w:r w:rsidR="002F5CFD" w:rsidRPr="00CA4ABC">
        <w:rPr>
          <w:rFonts w:cstheme="minorHAnsi"/>
          <w:color w:val="000000" w:themeColor="text1"/>
        </w:rPr>
        <w:t xml:space="preserve"> </w:t>
      </w:r>
      <w:r w:rsidR="00A63B28" w:rsidRPr="00CA4ABC">
        <w:rPr>
          <w:rFonts w:cstheme="minorHAnsi"/>
          <w:color w:val="000000" w:themeColor="text1"/>
        </w:rPr>
        <w:t xml:space="preserve">were used to explore </w:t>
      </w:r>
      <w:r w:rsidR="002B03CD" w:rsidRPr="00CA4ABC">
        <w:rPr>
          <w:rFonts w:cstheme="minorHAnsi"/>
          <w:color w:val="000000" w:themeColor="text1"/>
        </w:rPr>
        <w:t xml:space="preserve">the </w:t>
      </w:r>
      <w:r w:rsidR="00A63B28" w:rsidRPr="00CA4ABC">
        <w:rPr>
          <w:rFonts w:cstheme="minorHAnsi"/>
          <w:color w:val="000000" w:themeColor="text1"/>
        </w:rPr>
        <w:t xml:space="preserve">difference </w:t>
      </w:r>
      <w:r w:rsidR="004B779A" w:rsidRPr="00CA4ABC">
        <w:rPr>
          <w:rFonts w:cstheme="minorHAnsi"/>
          <w:color w:val="000000" w:themeColor="text1"/>
        </w:rPr>
        <w:t>in</w:t>
      </w:r>
      <w:r w:rsidR="00BD44DB" w:rsidRPr="00CA4ABC">
        <w:rPr>
          <w:rFonts w:cstheme="minorHAnsi"/>
          <w:color w:val="000000" w:themeColor="text1"/>
        </w:rPr>
        <w:t xml:space="preserve"> energy, macronutrient and</w:t>
      </w:r>
      <w:r w:rsidR="004B779A" w:rsidRPr="00CA4ABC">
        <w:rPr>
          <w:rFonts w:cstheme="minorHAnsi"/>
          <w:color w:val="000000" w:themeColor="text1"/>
        </w:rPr>
        <w:t xml:space="preserve"> micronutrient intakes </w:t>
      </w:r>
      <w:r w:rsidR="00A63B28" w:rsidRPr="00CA4ABC">
        <w:rPr>
          <w:rFonts w:cstheme="minorHAnsi"/>
          <w:color w:val="000000" w:themeColor="text1"/>
        </w:rPr>
        <w:t>of participants consuming ≤1g kg BM/d and &gt;1g/kg BM/d</w:t>
      </w:r>
      <w:r w:rsidR="004B779A" w:rsidRPr="00CA4ABC">
        <w:rPr>
          <w:rFonts w:cstheme="minorHAnsi"/>
          <w:color w:val="000000" w:themeColor="text1"/>
        </w:rPr>
        <w:t>.</w:t>
      </w:r>
    </w:p>
    <w:p w14:paraId="5DDD0A01" w14:textId="77777777" w:rsidR="00031E48" w:rsidRDefault="00031E48" w:rsidP="004B779A">
      <w:pPr>
        <w:spacing w:line="360" w:lineRule="auto"/>
        <w:ind w:firstLine="720"/>
        <w:rPr>
          <w:rFonts w:cstheme="minorHAnsi"/>
          <w:color w:val="000000" w:themeColor="text1"/>
        </w:rPr>
      </w:pPr>
    </w:p>
    <w:p w14:paraId="39C46823" w14:textId="77777777" w:rsidR="00031E48" w:rsidRPr="00CA4ABC" w:rsidRDefault="00031E48" w:rsidP="004B779A">
      <w:pPr>
        <w:spacing w:line="360" w:lineRule="auto"/>
        <w:ind w:firstLine="720"/>
        <w:rPr>
          <w:rFonts w:cstheme="minorHAnsi"/>
          <w:color w:val="000000" w:themeColor="text1"/>
        </w:rPr>
      </w:pPr>
    </w:p>
    <w:tbl>
      <w:tblPr>
        <w:tblStyle w:val="TableGrid"/>
        <w:tblW w:w="0" w:type="auto"/>
        <w:tblLook w:val="04A0" w:firstRow="1" w:lastRow="0" w:firstColumn="1" w:lastColumn="0" w:noHBand="0" w:noVBand="1"/>
      </w:tblPr>
      <w:tblGrid>
        <w:gridCol w:w="2842"/>
        <w:gridCol w:w="2842"/>
        <w:gridCol w:w="2844"/>
      </w:tblGrid>
      <w:tr w:rsidR="004053D7" w:rsidRPr="00CA4ABC" w14:paraId="2CE0BE8D" w14:textId="77777777" w:rsidTr="009E173A">
        <w:trPr>
          <w:trHeight w:val="283"/>
        </w:trPr>
        <w:tc>
          <w:tcPr>
            <w:tcW w:w="2842" w:type="dxa"/>
          </w:tcPr>
          <w:p w14:paraId="4F2D29F6" w14:textId="77777777" w:rsidR="00F13BED" w:rsidRPr="00CA4ABC" w:rsidRDefault="00F13BED" w:rsidP="005D4B99">
            <w:pPr>
              <w:rPr>
                <w:rFonts w:cstheme="minorHAnsi"/>
                <w:color w:val="000000" w:themeColor="text1"/>
              </w:rPr>
            </w:pPr>
          </w:p>
        </w:tc>
        <w:tc>
          <w:tcPr>
            <w:tcW w:w="2842" w:type="dxa"/>
          </w:tcPr>
          <w:p w14:paraId="12AF9A1C" w14:textId="77777777" w:rsidR="00F13BED" w:rsidRPr="00CA4ABC" w:rsidRDefault="00F13BED" w:rsidP="004B779A">
            <w:pPr>
              <w:jc w:val="center"/>
              <w:rPr>
                <w:rFonts w:cstheme="minorHAnsi"/>
                <w:b/>
                <w:bCs/>
                <w:color w:val="000000" w:themeColor="text1"/>
              </w:rPr>
            </w:pPr>
            <w:r w:rsidRPr="00CA4ABC">
              <w:rPr>
                <w:rFonts w:cstheme="minorHAnsi"/>
                <w:b/>
                <w:bCs/>
                <w:color w:val="000000" w:themeColor="text1"/>
              </w:rPr>
              <w:t>Probability cut off</w:t>
            </w:r>
          </w:p>
        </w:tc>
        <w:tc>
          <w:tcPr>
            <w:tcW w:w="2844" w:type="dxa"/>
          </w:tcPr>
          <w:p w14:paraId="75B7F28B" w14:textId="77777777" w:rsidR="00F13BED" w:rsidRPr="00CA4ABC" w:rsidRDefault="00F13BED" w:rsidP="004B779A">
            <w:pPr>
              <w:jc w:val="center"/>
              <w:rPr>
                <w:rFonts w:cstheme="minorHAnsi"/>
                <w:b/>
                <w:bCs/>
                <w:color w:val="000000" w:themeColor="text1"/>
              </w:rPr>
            </w:pPr>
            <w:r w:rsidRPr="00CA4ABC">
              <w:rPr>
                <w:rFonts w:cstheme="minorHAnsi"/>
                <w:b/>
                <w:bCs/>
                <w:color w:val="000000" w:themeColor="text1"/>
              </w:rPr>
              <w:t>Protein Intake</w:t>
            </w:r>
          </w:p>
        </w:tc>
      </w:tr>
      <w:tr w:rsidR="004053D7" w:rsidRPr="00CA4ABC" w14:paraId="1E74A54D" w14:textId="77777777" w:rsidTr="004B779A">
        <w:trPr>
          <w:trHeight w:val="108"/>
        </w:trPr>
        <w:tc>
          <w:tcPr>
            <w:tcW w:w="2842" w:type="dxa"/>
          </w:tcPr>
          <w:p w14:paraId="44FAEB08"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True positive</w:t>
            </w:r>
          </w:p>
        </w:tc>
        <w:tc>
          <w:tcPr>
            <w:tcW w:w="2842" w:type="dxa"/>
          </w:tcPr>
          <w:p w14:paraId="69177A81" w14:textId="77777777" w:rsidR="00F13BED" w:rsidRPr="00CA4ABC" w:rsidRDefault="00F13BED" w:rsidP="005D4B99">
            <w:pPr>
              <w:rPr>
                <w:rFonts w:cstheme="minorHAnsi"/>
                <w:color w:val="000000" w:themeColor="text1"/>
              </w:rPr>
            </w:pPr>
            <w:r w:rsidRPr="00CA4ABC">
              <w:rPr>
                <w:rFonts w:cstheme="minorHAnsi"/>
                <w:color w:val="000000" w:themeColor="text1"/>
              </w:rPr>
              <w:t>&gt;0.1 or &gt;0.2 &gt;0.3</w:t>
            </w:r>
          </w:p>
        </w:tc>
        <w:tc>
          <w:tcPr>
            <w:tcW w:w="2844" w:type="dxa"/>
          </w:tcPr>
          <w:p w14:paraId="44C39695"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≤1g/kg adjusted BM/d</w:t>
            </w:r>
          </w:p>
        </w:tc>
      </w:tr>
      <w:tr w:rsidR="004053D7" w:rsidRPr="00CA4ABC" w14:paraId="5BDA9C53" w14:textId="77777777" w:rsidTr="009E173A">
        <w:trPr>
          <w:trHeight w:val="331"/>
        </w:trPr>
        <w:tc>
          <w:tcPr>
            <w:tcW w:w="2842" w:type="dxa"/>
          </w:tcPr>
          <w:p w14:paraId="7BF64646"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False positive</w:t>
            </w:r>
          </w:p>
        </w:tc>
        <w:tc>
          <w:tcPr>
            <w:tcW w:w="2842" w:type="dxa"/>
          </w:tcPr>
          <w:p w14:paraId="31F2DA53"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 xml:space="preserve">&gt;0.1 or &gt;0.2 or &gt;0.3 </w:t>
            </w:r>
          </w:p>
        </w:tc>
        <w:tc>
          <w:tcPr>
            <w:tcW w:w="2844" w:type="dxa"/>
          </w:tcPr>
          <w:p w14:paraId="4CAE7566"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&gt;1g/kg adjusted BM/d</w:t>
            </w:r>
          </w:p>
        </w:tc>
      </w:tr>
      <w:tr w:rsidR="004053D7" w:rsidRPr="00CA4ABC" w14:paraId="5F704762" w14:textId="77777777" w:rsidTr="009E173A">
        <w:trPr>
          <w:trHeight w:val="283"/>
        </w:trPr>
        <w:tc>
          <w:tcPr>
            <w:tcW w:w="2842" w:type="dxa"/>
          </w:tcPr>
          <w:p w14:paraId="6CAC06EC"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True negative</w:t>
            </w:r>
          </w:p>
        </w:tc>
        <w:tc>
          <w:tcPr>
            <w:tcW w:w="2842" w:type="dxa"/>
          </w:tcPr>
          <w:p w14:paraId="1E9285B8"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 xml:space="preserve">≤0.1 or ≤0.2 or ≤0.3 </w:t>
            </w:r>
          </w:p>
        </w:tc>
        <w:tc>
          <w:tcPr>
            <w:tcW w:w="2844" w:type="dxa"/>
          </w:tcPr>
          <w:p w14:paraId="7620B297"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 xml:space="preserve">&gt;1g/kg adjusted BM/d </w:t>
            </w:r>
          </w:p>
        </w:tc>
      </w:tr>
      <w:tr w:rsidR="004053D7" w:rsidRPr="00CA4ABC" w14:paraId="4C69C602" w14:textId="77777777" w:rsidTr="009E173A">
        <w:trPr>
          <w:trHeight w:val="283"/>
        </w:trPr>
        <w:tc>
          <w:tcPr>
            <w:tcW w:w="2842" w:type="dxa"/>
          </w:tcPr>
          <w:p w14:paraId="716F769B"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False negative</w:t>
            </w:r>
          </w:p>
        </w:tc>
        <w:tc>
          <w:tcPr>
            <w:tcW w:w="2842" w:type="dxa"/>
          </w:tcPr>
          <w:p w14:paraId="5C2609C0"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 xml:space="preserve">≤0.1 or ≤0.2 or ≤0.3 </w:t>
            </w:r>
          </w:p>
        </w:tc>
        <w:tc>
          <w:tcPr>
            <w:tcW w:w="2844" w:type="dxa"/>
          </w:tcPr>
          <w:p w14:paraId="3A50E4E4" w14:textId="77777777" w:rsidR="00F13BED" w:rsidRPr="00CA4ABC" w:rsidRDefault="00F13BED" w:rsidP="005D4B99">
            <w:pPr>
              <w:pStyle w:val="NormalWeb"/>
              <w:rPr>
                <w:rFonts w:asciiTheme="minorHAnsi" w:hAnsiTheme="minorHAnsi" w:cstheme="minorHAnsi"/>
                <w:color w:val="000000" w:themeColor="text1"/>
              </w:rPr>
            </w:pPr>
            <w:r w:rsidRPr="00CA4ABC">
              <w:rPr>
                <w:rFonts w:asciiTheme="minorHAnsi" w:hAnsiTheme="minorHAnsi" w:cstheme="minorHAnsi"/>
                <w:color w:val="000000" w:themeColor="text1"/>
              </w:rPr>
              <w:t xml:space="preserve">≤1g/kg adjusted BM/d </w:t>
            </w:r>
          </w:p>
        </w:tc>
      </w:tr>
    </w:tbl>
    <w:p w14:paraId="35FDEB5D" w14:textId="775D3AAE" w:rsidR="00F13BED" w:rsidRPr="00CC1E23" w:rsidRDefault="008C6D38" w:rsidP="004053D7">
      <w:pPr>
        <w:spacing w:line="360" w:lineRule="auto"/>
        <w:rPr>
          <w:rFonts w:cstheme="minorHAnsi"/>
          <w:color w:val="000000" w:themeColor="text1"/>
        </w:rPr>
      </w:pPr>
      <w:bookmarkStart w:id="111" w:name="_Ref121236047"/>
      <w:bookmarkStart w:id="112" w:name="_Toc122956570"/>
      <w:r w:rsidRPr="00CC1E23">
        <w:rPr>
          <w:rFonts w:cstheme="minorHAnsi"/>
          <w:color w:val="000000" w:themeColor="text1"/>
        </w:rPr>
        <w:t xml:space="preserve">Table </w:t>
      </w:r>
      <w:r w:rsidR="009E173A" w:rsidRPr="00CC1E23">
        <w:rPr>
          <w:rFonts w:cstheme="minorHAnsi"/>
          <w:color w:val="000000" w:themeColor="text1"/>
        </w:rPr>
        <w:fldChar w:fldCharType="begin"/>
      </w:r>
      <w:r w:rsidR="009E173A" w:rsidRPr="00CC1E23">
        <w:rPr>
          <w:rFonts w:cstheme="minorHAnsi"/>
          <w:color w:val="000000" w:themeColor="text1"/>
        </w:rPr>
        <w:instrText xml:space="preserve"> SEQ Table \* ARABIC </w:instrText>
      </w:r>
      <w:r w:rsidR="009E173A" w:rsidRPr="00CC1E23">
        <w:rPr>
          <w:rFonts w:cstheme="minorHAnsi"/>
          <w:color w:val="000000" w:themeColor="text1"/>
        </w:rPr>
        <w:fldChar w:fldCharType="separate"/>
      </w:r>
      <w:r w:rsidR="00A13A55">
        <w:rPr>
          <w:rFonts w:cstheme="minorHAnsi"/>
          <w:noProof/>
          <w:color w:val="000000" w:themeColor="text1"/>
        </w:rPr>
        <w:t>5</w:t>
      </w:r>
      <w:r w:rsidR="009E173A" w:rsidRPr="00CC1E23">
        <w:rPr>
          <w:rFonts w:cstheme="minorHAnsi"/>
          <w:noProof/>
          <w:color w:val="000000" w:themeColor="text1"/>
        </w:rPr>
        <w:fldChar w:fldCharType="end"/>
      </w:r>
      <w:bookmarkEnd w:id="111"/>
      <w:r w:rsidR="00CC1E23" w:rsidRPr="00CC1E23">
        <w:rPr>
          <w:rFonts w:cstheme="minorHAnsi"/>
          <w:color w:val="000000" w:themeColor="text1"/>
        </w:rPr>
        <w:t xml:space="preserve">. </w:t>
      </w:r>
      <w:r w:rsidRPr="00CC1E23">
        <w:rPr>
          <w:rFonts w:cstheme="minorHAnsi"/>
          <w:color w:val="000000" w:themeColor="text1"/>
        </w:rPr>
        <w:t>Assumptions for sensitivity, specificity, PPV and NPV calculations.</w:t>
      </w:r>
      <w:bookmarkEnd w:id="112"/>
    </w:p>
    <w:p w14:paraId="693B0C73" w14:textId="2215772C" w:rsidR="00F13BED" w:rsidRPr="00CA4ABC" w:rsidRDefault="00D323D0" w:rsidP="004053D7">
      <w:pPr>
        <w:pStyle w:val="Heading3"/>
        <w:spacing w:line="360" w:lineRule="auto"/>
        <w:rPr>
          <w:rFonts w:asciiTheme="minorHAnsi" w:hAnsiTheme="minorHAnsi" w:cstheme="minorHAnsi"/>
          <w:color w:val="000000" w:themeColor="text1"/>
        </w:rPr>
      </w:pPr>
      <w:bookmarkStart w:id="113" w:name="_Toc135384294"/>
      <w:r w:rsidRPr="00CA4ABC">
        <w:rPr>
          <w:rFonts w:asciiTheme="minorHAnsi" w:hAnsiTheme="minorHAnsi" w:cstheme="minorHAnsi"/>
          <w:color w:val="000000" w:themeColor="text1"/>
        </w:rPr>
        <w:t xml:space="preserve">3.4.10.2 </w:t>
      </w:r>
      <w:r w:rsidR="00F13BED" w:rsidRPr="00CA4ABC">
        <w:rPr>
          <w:rFonts w:asciiTheme="minorHAnsi" w:hAnsiTheme="minorHAnsi" w:cstheme="minorHAnsi"/>
          <w:color w:val="000000" w:themeColor="text1"/>
        </w:rPr>
        <w:t>Protein knowledge statistical analysis</w:t>
      </w:r>
      <w:bookmarkEnd w:id="113"/>
    </w:p>
    <w:p w14:paraId="1A3A0B9D" w14:textId="134BC26B"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Data was checked for normality using</w:t>
      </w:r>
      <w:r w:rsidR="001314ED" w:rsidRPr="00CA4ABC">
        <w:rPr>
          <w:rFonts w:cstheme="minorHAnsi"/>
          <w:color w:val="000000" w:themeColor="text1"/>
        </w:rPr>
        <w:t xml:space="preserve"> the Shapiro-Wilk test and</w:t>
      </w:r>
      <w:r w:rsidRPr="00CA4ABC">
        <w:rPr>
          <w:rFonts w:cstheme="minorHAnsi"/>
          <w:color w:val="000000" w:themeColor="text1"/>
        </w:rPr>
        <w:t xml:space="preserve"> histograms. Spearman’s Rho tests explore</w:t>
      </w:r>
      <w:r w:rsidR="00B85298" w:rsidRPr="00CA4ABC">
        <w:rPr>
          <w:rFonts w:cstheme="minorHAnsi"/>
          <w:color w:val="000000" w:themeColor="text1"/>
        </w:rPr>
        <w:t>d</w:t>
      </w:r>
      <w:r w:rsidRPr="00CA4ABC">
        <w:rPr>
          <w:rFonts w:cstheme="minorHAnsi"/>
          <w:color w:val="000000" w:themeColor="text1"/>
        </w:rPr>
        <w:t xml:space="preserve"> correlations between protein intake and protein knowledge scores, including across sex and age categories. Multiple logistic regression analysis was used to identify characteristics associated with protein intakes (g/kg BM/d)</w:t>
      </w:r>
      <w:r w:rsidR="0077750B" w:rsidRPr="00CA4ABC">
        <w:rPr>
          <w:rFonts w:cstheme="minorHAnsi"/>
          <w:color w:val="000000" w:themeColor="text1"/>
        </w:rPr>
        <w:t xml:space="preserve"> (dependent variable)</w:t>
      </w:r>
      <w:r w:rsidRPr="00CA4ABC">
        <w:rPr>
          <w:rFonts w:cstheme="minorHAnsi"/>
          <w:color w:val="000000" w:themeColor="text1"/>
        </w:rPr>
        <w:t>. The explanatory variables were protein knowledge scores, gender, age, BMI, physical activity level score and meat vs non-meat eaters. The assumptions for multiple logistic regression analysis were tested</w:t>
      </w:r>
      <w:r w:rsidR="001314ED" w:rsidRPr="00CA4ABC">
        <w:rPr>
          <w:rFonts w:cstheme="minorHAnsi"/>
          <w:color w:val="000000" w:themeColor="text1"/>
        </w:rPr>
        <w:t xml:space="preserve">. </w:t>
      </w:r>
      <w:r w:rsidRPr="00CA4ABC">
        <w:rPr>
          <w:rFonts w:cstheme="minorHAnsi"/>
          <w:color w:val="000000" w:themeColor="text1"/>
        </w:rPr>
        <w:t>There was no</w:t>
      </w:r>
      <w:r w:rsidR="001314ED" w:rsidRPr="00CA4ABC">
        <w:rPr>
          <w:rFonts w:cstheme="minorHAnsi"/>
          <w:color w:val="000000" w:themeColor="text1"/>
        </w:rPr>
        <w:t xml:space="preserve"> </w:t>
      </w:r>
      <w:r w:rsidRPr="00CA4ABC">
        <w:rPr>
          <w:rFonts w:cstheme="minorHAnsi"/>
          <w:color w:val="000000" w:themeColor="text1"/>
        </w:rPr>
        <w:t>indication of multicollinearity issues (all bivariate correlation coefficients smaller than 0.6</w:t>
      </w:r>
      <w:r w:rsidR="001314ED" w:rsidRPr="00CA4ABC">
        <w:rPr>
          <w:rFonts w:cstheme="minorHAnsi"/>
          <w:color w:val="000000" w:themeColor="text1"/>
        </w:rPr>
        <w:t>.</w:t>
      </w:r>
      <w:r w:rsidRPr="00CA4ABC">
        <w:rPr>
          <w:rFonts w:cstheme="minorHAnsi"/>
          <w:color w:val="000000" w:themeColor="text1"/>
        </w:rPr>
        <w:t>)</w:t>
      </w:r>
    </w:p>
    <w:p w14:paraId="7EBC8694" w14:textId="25133EE5" w:rsidR="00F13BED" w:rsidRPr="00CA4ABC" w:rsidRDefault="00F13BED" w:rsidP="004053D7">
      <w:pPr>
        <w:spacing w:line="360" w:lineRule="auto"/>
        <w:rPr>
          <w:rFonts w:cstheme="minorHAnsi"/>
          <w:color w:val="000000" w:themeColor="text1"/>
        </w:rPr>
      </w:pPr>
    </w:p>
    <w:p w14:paraId="2183CC4F" w14:textId="6FF5E149" w:rsidR="00F13BED" w:rsidRPr="00CA4ABC" w:rsidRDefault="00F13BED" w:rsidP="004053D7">
      <w:pPr>
        <w:pStyle w:val="Heading2"/>
        <w:spacing w:line="360" w:lineRule="auto"/>
        <w:rPr>
          <w:rFonts w:asciiTheme="minorHAnsi" w:hAnsiTheme="minorHAnsi" w:cstheme="minorHAnsi"/>
          <w:color w:val="000000" w:themeColor="text1"/>
        </w:rPr>
      </w:pPr>
      <w:bookmarkStart w:id="114" w:name="_Toc135384295"/>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 xml:space="preserve"> Results</w:t>
      </w:r>
      <w:bookmarkEnd w:id="114"/>
    </w:p>
    <w:p w14:paraId="6E53A72F" w14:textId="43716C53" w:rsidR="00F13BED" w:rsidRPr="00CA4ABC" w:rsidRDefault="00F13BED" w:rsidP="005D4B99">
      <w:pPr>
        <w:pStyle w:val="Heading3"/>
        <w:spacing w:line="360" w:lineRule="auto"/>
        <w:rPr>
          <w:rFonts w:asciiTheme="minorHAnsi" w:hAnsiTheme="minorHAnsi" w:cstheme="minorHAnsi"/>
          <w:color w:val="000000" w:themeColor="text1"/>
        </w:rPr>
      </w:pPr>
      <w:bookmarkStart w:id="115" w:name="_Toc135384296"/>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.1 Final survey responses</w:t>
      </w:r>
      <w:bookmarkEnd w:id="115"/>
    </w:p>
    <w:p w14:paraId="62C47886" w14:textId="3C59E2E5"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A total of 553 participants completed part 1 of the survey</w:t>
      </w:r>
      <w:r w:rsidR="00A6626B" w:rsidRPr="00CA4ABC">
        <w:rPr>
          <w:rFonts w:cstheme="minorHAnsi"/>
          <w:color w:val="000000" w:themeColor="text1"/>
        </w:rPr>
        <w:t xml:space="preserve"> (n=15 via telephone</w:t>
      </w:r>
      <w:r w:rsidRPr="00CA4ABC">
        <w:rPr>
          <w:rFonts w:cstheme="minorHAnsi"/>
          <w:color w:val="000000" w:themeColor="text1"/>
        </w:rPr>
        <w:t>.</w:t>
      </w:r>
      <w:r w:rsidR="00A6626B" w:rsidRPr="00CA4ABC">
        <w:rPr>
          <w:rFonts w:cstheme="minorHAnsi"/>
          <w:color w:val="000000" w:themeColor="text1"/>
        </w:rPr>
        <w:t>)</w:t>
      </w:r>
      <w:r w:rsidRPr="00CA4ABC">
        <w:rPr>
          <w:rFonts w:cstheme="minorHAnsi"/>
          <w:color w:val="000000" w:themeColor="text1"/>
        </w:rPr>
        <w:t xml:space="preserve"> For part 3, 355 responses were collected. All respondents to part</w:t>
      </w:r>
      <w:r w:rsidR="007E1E1F" w:rsidRPr="00CA4ABC">
        <w:rPr>
          <w:rFonts w:cstheme="minorHAnsi"/>
          <w:color w:val="000000" w:themeColor="text1"/>
        </w:rPr>
        <w:t>s</w:t>
      </w:r>
      <w:r w:rsidRPr="00CA4ABC">
        <w:rPr>
          <w:rFonts w:cstheme="minorHAnsi"/>
          <w:color w:val="000000" w:themeColor="text1"/>
        </w:rPr>
        <w:t xml:space="preserve"> 1 and 3 </w:t>
      </w:r>
      <w:r w:rsidR="0068709E" w:rsidRPr="00CA4ABC">
        <w:rPr>
          <w:rFonts w:cstheme="minorHAnsi"/>
          <w:color w:val="000000" w:themeColor="text1"/>
        </w:rPr>
        <w:t>gave</w:t>
      </w:r>
      <w:r w:rsidRPr="00CA4ABC">
        <w:rPr>
          <w:rFonts w:cstheme="minorHAnsi"/>
          <w:color w:val="000000" w:themeColor="text1"/>
        </w:rPr>
        <w:t xml:space="preserve"> informed consent, as it was not possible to progress with the survey without provid</w:t>
      </w:r>
      <w:r w:rsidR="0068709E" w:rsidRPr="00CA4ABC">
        <w:rPr>
          <w:rFonts w:cstheme="minorHAnsi"/>
          <w:color w:val="000000" w:themeColor="text1"/>
        </w:rPr>
        <w:t>ing</w:t>
      </w:r>
      <w:r w:rsidRPr="00CA4ABC">
        <w:rPr>
          <w:rFonts w:cstheme="minorHAnsi"/>
          <w:color w:val="000000" w:themeColor="text1"/>
        </w:rPr>
        <w:t xml:space="preserve"> this information (</w:t>
      </w:r>
      <w:r w:rsidR="00532C36" w:rsidRPr="00CA4ABC">
        <w:rPr>
          <w:rFonts w:cstheme="minorHAnsi"/>
          <w:color w:val="000000" w:themeColor="text1"/>
        </w:rPr>
        <w:fldChar w:fldCharType="begin"/>
      </w:r>
      <w:r w:rsidR="00532C36" w:rsidRPr="00CA4ABC">
        <w:rPr>
          <w:rFonts w:cstheme="minorHAnsi"/>
          <w:color w:val="000000" w:themeColor="text1"/>
        </w:rPr>
        <w:instrText xml:space="preserve"> REF _Ref121296072 \h </w:instrText>
      </w:r>
      <w:r w:rsidR="00B37ED2" w:rsidRPr="00CA4ABC">
        <w:rPr>
          <w:rFonts w:cstheme="minorHAnsi"/>
          <w:color w:val="000000" w:themeColor="text1"/>
        </w:rPr>
        <w:instrText xml:space="preserve"> \* MERGEFORMAT </w:instrText>
      </w:r>
      <w:r w:rsidR="00532C36" w:rsidRPr="00CA4ABC">
        <w:rPr>
          <w:rFonts w:cstheme="minorHAnsi"/>
          <w:color w:val="000000" w:themeColor="text1"/>
        </w:rPr>
      </w:r>
      <w:r w:rsidR="00532C36"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8</w:t>
      </w:r>
      <w:r w:rsidR="00532C36" w:rsidRPr="00CA4ABC">
        <w:rPr>
          <w:rFonts w:cstheme="minorHAnsi"/>
          <w:color w:val="000000" w:themeColor="text1"/>
        </w:rPr>
        <w:fldChar w:fldCharType="end"/>
      </w:r>
      <w:r w:rsidRPr="00CA4ABC">
        <w:rPr>
          <w:rFonts w:cstheme="minorHAnsi"/>
          <w:color w:val="000000" w:themeColor="text1"/>
        </w:rPr>
        <w:t>).</w:t>
      </w:r>
    </w:p>
    <w:p w14:paraId="2650A8C3" w14:textId="77777777" w:rsidR="00F13BED" w:rsidRPr="00CA4ABC" w:rsidRDefault="00F13BED" w:rsidP="004053D7">
      <w:pPr>
        <w:spacing w:line="360" w:lineRule="auto"/>
        <w:rPr>
          <w:rFonts w:cstheme="minorHAnsi"/>
          <w:color w:val="000000" w:themeColor="text1"/>
        </w:rPr>
      </w:pPr>
    </w:p>
    <w:p w14:paraId="7F6712E2" w14:textId="00533EFA" w:rsidR="00F13BED" w:rsidRPr="00CA4ABC" w:rsidRDefault="00F13BED" w:rsidP="004053D7">
      <w:pPr>
        <w:pStyle w:val="Heading3"/>
        <w:spacing w:line="360" w:lineRule="auto"/>
        <w:rPr>
          <w:rFonts w:asciiTheme="minorHAnsi" w:hAnsiTheme="minorHAnsi" w:cstheme="minorHAnsi"/>
          <w:color w:val="000000" w:themeColor="text1"/>
        </w:rPr>
      </w:pPr>
      <w:bookmarkStart w:id="116" w:name="_Toc135384297"/>
      <w:r w:rsidRPr="00CA4ABC">
        <w:rPr>
          <w:rFonts w:asciiTheme="minorHAnsi" w:hAnsiTheme="minorHAnsi" w:cstheme="minorHAnsi"/>
          <w:color w:val="000000" w:themeColor="text1"/>
        </w:rPr>
        <w:t>3.</w:t>
      </w:r>
      <w:r w:rsidR="00D323D0"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 xml:space="preserve">.2 Removal of </w:t>
      </w:r>
      <w:r w:rsidR="002B03CD" w:rsidRPr="00CA4ABC">
        <w:rPr>
          <w:rFonts w:asciiTheme="minorHAnsi" w:hAnsiTheme="minorHAnsi" w:cstheme="minorHAnsi"/>
          <w:color w:val="000000" w:themeColor="text1"/>
        </w:rPr>
        <w:t>misreporters</w:t>
      </w:r>
      <w:bookmarkEnd w:id="116"/>
    </w:p>
    <w:p w14:paraId="0409367F" w14:textId="4C485C1E" w:rsidR="000F1AF8" w:rsidRPr="00CA4ABC" w:rsidRDefault="00F13BED" w:rsidP="000F1AF8">
      <w:pPr>
        <w:spacing w:line="360" w:lineRule="auto"/>
        <w:rPr>
          <w:rFonts w:cstheme="minorHAnsi"/>
          <w:color w:val="000000" w:themeColor="text1"/>
        </w:rPr>
      </w:pPr>
      <w:r w:rsidRPr="00CA4ABC">
        <w:rPr>
          <w:rFonts w:cstheme="minorHAnsi"/>
          <w:color w:val="000000" w:themeColor="text1"/>
        </w:rPr>
        <w:t>Data was check</w:t>
      </w:r>
      <w:r w:rsidR="007E1E1F" w:rsidRPr="00CA4ABC">
        <w:rPr>
          <w:rFonts w:cstheme="minorHAnsi"/>
          <w:color w:val="000000" w:themeColor="text1"/>
        </w:rPr>
        <w:t>ed</w:t>
      </w:r>
      <w:r w:rsidRPr="00CA4ABC">
        <w:rPr>
          <w:rFonts w:cstheme="minorHAnsi"/>
          <w:color w:val="000000" w:themeColor="text1"/>
        </w:rPr>
        <w:t xml:space="preserve"> for plausibility using McCory et al</w:t>
      </w:r>
      <w:r w:rsidR="002B03CD" w:rsidRPr="00CA4ABC">
        <w:rPr>
          <w:rFonts w:cstheme="minorHAnsi"/>
          <w:color w:val="000000" w:themeColor="text1"/>
        </w:rPr>
        <w:t>.</w:t>
      </w:r>
      <w:r w:rsidRPr="00CA4ABC">
        <w:rPr>
          <w:rFonts w:cstheme="minorHAnsi"/>
          <w:color w:val="000000" w:themeColor="text1"/>
        </w:rPr>
        <w:t>’s method. In total, 10 misreporters were removed (8 under-reporters and 2 over</w:t>
      </w:r>
      <w:r w:rsidR="002B03CD" w:rsidRPr="00CA4ABC">
        <w:rPr>
          <w:rFonts w:cstheme="minorHAnsi"/>
          <w:color w:val="000000" w:themeColor="text1"/>
        </w:rPr>
        <w:t>-</w:t>
      </w:r>
      <w:r w:rsidRPr="00CA4ABC">
        <w:rPr>
          <w:rFonts w:cstheme="minorHAnsi"/>
          <w:color w:val="000000" w:themeColor="text1"/>
        </w:rPr>
        <w:t>reporters).</w:t>
      </w:r>
      <w:r w:rsidR="000F1AF8" w:rsidRPr="00CA4ABC">
        <w:rPr>
          <w:rFonts w:cstheme="minorHAnsi"/>
          <w:color w:val="000000" w:themeColor="text1"/>
        </w:rPr>
        <w:t xml:space="preserve"> Alternative approaches </w:t>
      </w:r>
      <w:r w:rsidR="000F1AF8"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{"citationItems":[{"id":"ITEM-1","itemData":{"DOI":"10.1038/SJ.EJCN.1600971","ISSN":"0954-3007","PMID":"10822286","abstract":"Objective: To explore the specificity and sensitivity of the Goldberg cut-off for EI:BMR for identifying diet reports of poor validity as compared with the direct comparison of energy intake with energy expenditure measured by doubly-labelled water. Design: Twenty-two studies with measurements of total energy expenditure by doubly-labelled water (EE), basal metabolic rate (BMR) and energy intake (EI) provided the database (n = 429). The ratio EI:EE provided the baseline definition of under- (UR), acceptable- (AR) and over-reporters (OR), respectively EI:EE &lt; 0.76, 0.76-1.24 and &gt; 1.24. Four strategies for identifying under- and over-reporters using the Goldberg cut-off were explored. Sensitivity of the cut-off was calculated as the proportion of UR correctly identified and specificity as the proportion of non-UR correctly identified. Results: UR, AR and OR (by EI:EE) were 34, 62 and 4% respectively of all subjects. When a single Goldberg cut-off for the physical activity level (PAL) of 1.55 was used, for men and women respectively the sensitivity was 0.50 and 0.52 and the specificity 1.00 and 0.99. Using a cut-off for higher PAL traded specificity for sensitivity. Using the cut-off for a PAL of 1.95, sensitivity was 0.76 and 0.85 and the specificity 0.87 and 0.78 for men and women respectively. Using cut-offs for mean age-sex specific PAL did not improve sensitivity. When subjects were assigned to low, medium and high activity levels and cut-offs for three different PALs used, sensitivity improved to 0.74 and 0.67 without loss of specificity (0.97 and 0.98), for men and women respectively. If activity levels for men were applied to the womens' data, sensitivity improved to 0.72. Conclusion: To identify diet reports of poor validity using the Goldberg cut-off for EI:BMR, information is needed on each subject's activity level.","author":[{"dropping-particle":"","family":"Black","given":"A. E.","non-dropping-particle":"","parse-names":false,"suffix":""}],"container-title":"European journal of clinical nutrition","id":"ITEM-1","issue":"5","issued":{"date-parts":[["2000"]]},"page":"395-404","publisher":"Eur J Clin Nutr","title":"The sensitivity and specificity of the Goldberg cut-off for EI:BMR for identifying diet reports of poor validity","type":"article-journal","volume":"54"},"uris":["http://www.mendeley.com/documents/?uuid=bc8d59e1-d36a-35d0-8e4e-a9f38320a20c"]},{"id":"ITEM-2","itemData":{"author":[{"dropping-particle":"","family":"GR.","given":"Goldberg","non-dropping-particle":"","parse-names":false,"suffix":""},{"dropping-particle":"","family":"AE.","given":"Black","non-dropping-particle":"","parse-names":false,"suffix":""},{"dropping-particle":"","family":"SA.","given":"Jebb","non-dropping-particle":"","parse-names":false,"suffix":""},{"dropping-particle":"","family":"TJ.","given":"Cole","non-dropping-particle":"","parse-names":false,"suffix":""},{"dropping-particle":"","family":"PR.","given":"Murgatroyd","non-dropping-particle":"","parse-names":false,"suffix":""},{"dropping-particle":"","family":"WA.","given":"Coward","non-dropping-particle":"","parse-names":false,"suffix":""},{"dropping-particle":"","family":"AM.","given":"Prentice","non-dropping-particle":"","parse-names":false,"suffix":""}],"container-title":"Eur J Clin Nutr","id":"ITEM-2","issued":{"date-parts":[["1991"]]},"page":"569-581","title":"Critical evaluation of energy intake data using fundamental principles of energy physiology: 1. Derivation of cut-off limits to identify under-recording.","type":"article-journal","volume":"45"},"uris":["http://www.mendeley.com/documents/?uuid=19f7780d-d986-3522-846a-aec25fe53543"]}],"mendeley":{"formattedCitation":"(203,204)","plainTextFormattedCitation":"(203,204)","previouslyFormattedCitation":"(203,204)"},"properties":{"noteIndex":0},"schema":"https://github.com/citation-style-language/schema/raw/master/csl-citation.json"}</w:instrText>
      </w:r>
      <w:r w:rsidR="000F1AF8" w:rsidRPr="00CA4ABC">
        <w:rPr>
          <w:rFonts w:cstheme="minorHAnsi"/>
          <w:color w:val="000000" w:themeColor="text1"/>
        </w:rPr>
        <w:fldChar w:fldCharType="separate"/>
      </w:r>
      <w:r w:rsidR="00FF0BCE" w:rsidRPr="00FF0BCE">
        <w:rPr>
          <w:rFonts w:cstheme="minorHAnsi"/>
          <w:noProof/>
          <w:color w:val="000000" w:themeColor="text1"/>
        </w:rPr>
        <w:t>(203,204)</w:t>
      </w:r>
      <w:r w:rsidR="000F1AF8" w:rsidRPr="00CA4ABC">
        <w:rPr>
          <w:rFonts w:cstheme="minorHAnsi"/>
          <w:color w:val="000000" w:themeColor="text1"/>
        </w:rPr>
        <w:fldChar w:fldCharType="end"/>
      </w:r>
      <w:r w:rsidR="000F1AF8" w:rsidRPr="00CA4ABC">
        <w:rPr>
          <w:rFonts w:cstheme="minorHAnsi"/>
          <w:color w:val="000000" w:themeColor="text1"/>
        </w:rPr>
        <w:t xml:space="preserve"> </w:t>
      </w:r>
      <w:r w:rsidR="000F1AF8" w:rsidRPr="00CA4ABC">
        <w:rPr>
          <w:rFonts w:cstheme="minorHAnsi"/>
          <w:color w:val="000000" w:themeColor="text1"/>
        </w:rPr>
        <w:lastRenderedPageBreak/>
        <w:t>were conducted and led to 81 and 58 under-reporters and 2 and 2 over-reporters, respectively. Th</w:t>
      </w:r>
      <w:r w:rsidR="002B03CD" w:rsidRPr="00CA4ABC">
        <w:rPr>
          <w:rFonts w:cstheme="minorHAnsi"/>
          <w:color w:val="000000" w:themeColor="text1"/>
        </w:rPr>
        <w:t>ese</w:t>
      </w:r>
      <w:r w:rsidR="000F1AF8" w:rsidRPr="00CA4ABC">
        <w:rPr>
          <w:rFonts w:cstheme="minorHAnsi"/>
          <w:color w:val="000000" w:themeColor="text1"/>
        </w:rPr>
        <w:t xml:space="preserve"> numbers were deemed too large and would affect power</w:t>
      </w:r>
      <w:r w:rsidR="00E65AE9" w:rsidRPr="00CA4ABC">
        <w:rPr>
          <w:rFonts w:cstheme="minorHAnsi"/>
          <w:color w:val="000000" w:themeColor="text1"/>
        </w:rPr>
        <w:t xml:space="preserve"> and</w:t>
      </w:r>
      <w:r w:rsidR="000F1AF8" w:rsidRPr="00CA4ABC">
        <w:rPr>
          <w:rFonts w:cstheme="minorHAnsi"/>
          <w:color w:val="000000" w:themeColor="text1"/>
        </w:rPr>
        <w:t xml:space="preserve"> confirmed the justification for </w:t>
      </w:r>
      <w:r w:rsidR="007E1E1F" w:rsidRPr="00CA4ABC">
        <w:rPr>
          <w:rFonts w:cstheme="minorHAnsi"/>
          <w:color w:val="000000" w:themeColor="text1"/>
        </w:rPr>
        <w:t>using</w:t>
      </w:r>
      <w:r w:rsidR="000F1AF8" w:rsidRPr="00CA4ABC">
        <w:rPr>
          <w:rFonts w:cstheme="minorHAnsi"/>
          <w:color w:val="000000" w:themeColor="text1"/>
        </w:rPr>
        <w:t xml:space="preserve"> the pTEE method.</w:t>
      </w:r>
    </w:p>
    <w:p w14:paraId="7DB1F102" w14:textId="707C594F" w:rsidR="00F13BED" w:rsidRPr="00CA4ABC" w:rsidRDefault="00F13BED" w:rsidP="005D4B99">
      <w:pPr>
        <w:spacing w:line="360" w:lineRule="auto"/>
        <w:ind w:firstLine="720"/>
        <w:rPr>
          <w:rFonts w:cstheme="minorHAnsi"/>
          <w:color w:val="000000" w:themeColor="text1"/>
        </w:rPr>
      </w:pPr>
    </w:p>
    <w:p w14:paraId="2E77DBA7" w14:textId="10F1A100" w:rsidR="00F13BED" w:rsidRPr="00CA4ABC" w:rsidRDefault="00F13BED" w:rsidP="004053D7">
      <w:pPr>
        <w:spacing w:line="360" w:lineRule="auto"/>
        <w:rPr>
          <w:rFonts w:cstheme="minorHAnsi"/>
          <w:color w:val="000000" w:themeColor="text1"/>
        </w:rPr>
      </w:pPr>
      <w:r w:rsidRPr="00CA4ABC">
        <w:rPr>
          <w:rFonts w:cstheme="minorHAnsi"/>
          <w:color w:val="000000" w:themeColor="text1"/>
        </w:rPr>
        <w:t xml:space="preserve">The flow diagram </w:t>
      </w:r>
      <w:r w:rsidR="001057B0" w:rsidRPr="00CA4ABC">
        <w:rPr>
          <w:rFonts w:cstheme="minorHAnsi"/>
          <w:color w:val="000000" w:themeColor="text1"/>
        </w:rPr>
        <w:t>(</w:t>
      </w:r>
      <w:r w:rsidR="00E65AE9" w:rsidRPr="00CA4ABC">
        <w:rPr>
          <w:rFonts w:cstheme="minorHAnsi"/>
          <w:color w:val="000000" w:themeColor="text1"/>
        </w:rPr>
        <w:fldChar w:fldCharType="begin"/>
      </w:r>
      <w:r w:rsidR="00E65AE9" w:rsidRPr="00CA4ABC">
        <w:rPr>
          <w:rFonts w:cstheme="minorHAnsi"/>
          <w:color w:val="000000" w:themeColor="text1"/>
        </w:rPr>
        <w:instrText xml:space="preserve"> REF _Ref127215845 \h </w:instrText>
      </w:r>
      <w:r w:rsidR="00CA4ABC">
        <w:rPr>
          <w:rFonts w:cstheme="minorHAnsi"/>
          <w:color w:val="000000" w:themeColor="text1"/>
        </w:rPr>
        <w:instrText xml:space="preserve"> \* MERGEFORMAT </w:instrText>
      </w:r>
      <w:r w:rsidR="00E65AE9" w:rsidRPr="00CA4ABC">
        <w:rPr>
          <w:rFonts w:cstheme="minorHAnsi"/>
          <w:color w:val="000000" w:themeColor="text1"/>
        </w:rPr>
      </w:r>
      <w:r w:rsidR="00E65AE9" w:rsidRPr="00CA4ABC">
        <w:rPr>
          <w:rFonts w:cstheme="minorHAnsi"/>
          <w:color w:val="000000" w:themeColor="text1"/>
        </w:rPr>
        <w:fldChar w:fldCharType="separate"/>
      </w:r>
      <w:r w:rsidR="00E65AE9" w:rsidRPr="00CA4ABC">
        <w:rPr>
          <w:rFonts w:cstheme="minorHAnsi"/>
          <w:color w:val="000000" w:themeColor="text1"/>
        </w:rPr>
        <w:t xml:space="preserve">Figure </w:t>
      </w:r>
      <w:r w:rsidR="00045350" w:rsidRPr="00CA4ABC">
        <w:rPr>
          <w:rFonts w:cstheme="minorHAnsi"/>
          <w:noProof/>
          <w:color w:val="000000" w:themeColor="text1"/>
        </w:rPr>
        <w:t>9</w:t>
      </w:r>
      <w:r w:rsidR="00E65AE9" w:rsidRPr="00CA4ABC">
        <w:rPr>
          <w:rFonts w:cstheme="minorHAnsi"/>
          <w:color w:val="000000" w:themeColor="text1"/>
        </w:rPr>
        <w:fldChar w:fldCharType="end"/>
      </w:r>
      <w:r w:rsidR="001057B0" w:rsidRPr="00CA4ABC">
        <w:rPr>
          <w:rFonts w:cstheme="minorHAnsi"/>
          <w:color w:val="000000" w:themeColor="text1"/>
        </w:rPr>
        <w:t>)</w:t>
      </w:r>
      <w:r w:rsidRPr="00CA4ABC">
        <w:rPr>
          <w:rFonts w:cstheme="minorHAnsi"/>
          <w:color w:val="000000" w:themeColor="text1"/>
        </w:rPr>
        <w:t xml:space="preserve"> documents the loss or removal of participants throughout the research.</w:t>
      </w:r>
    </w:p>
    <w:p w14:paraId="47326E4F" w14:textId="5E4974B4" w:rsidR="00F13BED" w:rsidRPr="00CA4ABC" w:rsidRDefault="00F13BED" w:rsidP="004053D7">
      <w:pPr>
        <w:spacing w:line="360" w:lineRule="auto"/>
        <w:rPr>
          <w:rFonts w:cstheme="minorHAnsi"/>
          <w:color w:val="000000" w:themeColor="text1"/>
        </w:rPr>
      </w:pPr>
    </w:p>
    <w:p w14:paraId="0A5A4A8E" w14:textId="4A6A283C" w:rsidR="000D7DDB" w:rsidRPr="00CA4ABC" w:rsidRDefault="000D7DDB" w:rsidP="004053D7">
      <w:pPr>
        <w:pStyle w:val="Caption"/>
        <w:spacing w:line="360" w:lineRule="auto"/>
        <w:rPr>
          <w:rFonts w:cstheme="minorHAnsi"/>
          <w:color w:val="000000" w:themeColor="text1"/>
          <w:sz w:val="24"/>
          <w:szCs w:val="24"/>
        </w:rPr>
      </w:pPr>
      <w:bookmarkStart w:id="117" w:name="_Ref121296072"/>
    </w:p>
    <w:p w14:paraId="025D52E9" w14:textId="41DCB074" w:rsidR="000D7DDB" w:rsidRPr="00CA4ABC" w:rsidRDefault="00031E48" w:rsidP="004053D7">
      <w:pPr>
        <w:pStyle w:val="Caption"/>
        <w:spacing w:line="360" w:lineRule="auto"/>
        <w:rPr>
          <w:rFonts w:cstheme="minorHAnsi"/>
          <w:color w:val="000000" w:themeColor="text1"/>
          <w:sz w:val="24"/>
          <w:szCs w:val="24"/>
        </w:rPr>
      </w:pPr>
      <w:r w:rsidRPr="00CA4ABC">
        <w:rPr>
          <w:rFonts w:cstheme="minorHAnsi"/>
          <w:noProof/>
          <w:color w:val="000000" w:themeColor="text1"/>
        </w:rPr>
        <mc:AlternateContent>
          <mc:Choice Requires="wpg">
            <w:drawing>
              <wp:anchor distT="0" distB="0" distL="114300" distR="114300" simplePos="0" relativeHeight="251694080" behindDoc="0" locked="0" layoutInCell="1" allowOverlap="1" wp14:anchorId="561BB824" wp14:editId="1B95855E">
                <wp:simplePos x="0" y="0"/>
                <wp:positionH relativeFrom="column">
                  <wp:posOffset>66040</wp:posOffset>
                </wp:positionH>
                <wp:positionV relativeFrom="paragraph">
                  <wp:posOffset>10302</wp:posOffset>
                </wp:positionV>
                <wp:extent cx="5892800" cy="6637655"/>
                <wp:effectExtent l="0" t="0" r="0" b="3175"/>
                <wp:wrapNone/>
                <wp:docPr id="2" name="Group 2"/>
                <wp:cNvGraphicFramePr/>
                <a:graphic xmlns:a="http://schemas.openxmlformats.org/drawingml/2006/main">
                  <a:graphicData uri="http://schemas.microsoft.com/office/word/2010/wordprocessingGroup">
                    <wpg:wgp>
                      <wpg:cNvGrpSpPr/>
                      <wpg:grpSpPr>
                        <a:xfrm>
                          <a:off x="0" y="0"/>
                          <a:ext cx="5892800" cy="6637655"/>
                          <a:chOff x="0" y="0"/>
                          <a:chExt cx="6888480" cy="6725920"/>
                        </a:xfrm>
                      </wpg:grpSpPr>
                      <pic:pic xmlns:pic="http://schemas.openxmlformats.org/drawingml/2006/picture">
                        <pic:nvPicPr>
                          <pic:cNvPr id="12" name="Picture 12" descr="Diagram&#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6888480" cy="6725920"/>
                          </a:xfrm>
                          <a:prstGeom prst="rect">
                            <a:avLst/>
                          </a:prstGeom>
                        </pic:spPr>
                      </pic:pic>
                      <wps:wsp>
                        <wps:cNvPr id="1" name="Text Box 1"/>
                        <wps:cNvSpPr txBox="1"/>
                        <wps:spPr>
                          <a:xfrm>
                            <a:off x="4900612" y="5672137"/>
                            <a:ext cx="1828800" cy="471487"/>
                          </a:xfrm>
                          <a:prstGeom prst="rect">
                            <a:avLst/>
                          </a:prstGeom>
                          <a:solidFill>
                            <a:schemeClr val="lt1"/>
                          </a:solidFill>
                          <a:ln w="6350">
                            <a:solidFill>
                              <a:prstClr val="black"/>
                            </a:solidFill>
                          </a:ln>
                        </wps:spPr>
                        <wps:txbx>
                          <w:txbxContent>
                            <w:p w14:paraId="25D44261" w14:textId="26EF5CBB" w:rsidR="00345F7E" w:rsidRDefault="00345F7E">
                              <w:r>
                                <w:t>Missing data (n=16)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1BB824" id="Group 2" o:spid="_x0000_s1026" style="position:absolute;margin-left:5.2pt;margin-top:.8pt;width:464pt;height:522.65pt;z-index:251694080;mso-width-relative:margin;mso-height-relative:margin" coordsize="68884,672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Diagram&#10;&#10;Description automatically generated" style="position:absolute;width:68884;height:672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">
                  <v:imagedata r:id="rId33" o:title="Diagram&#10;&#10;Description automatically generated"/>
                </v:shape>
                <v:shapetype id="_x0000_t202" coordsize="21600,21600" o:spt="202" path="m,l,21600r21600,l21600,xe">
                  <v:stroke joinstyle="miter"/>
                  <v:path gradientshapeok="t" o:connecttype="rect"/>
                </v:shapetype>
                <v:shape id="Text Box 1" o:spid="_x0000_s1028" type="#_x0000_t202" style="position:absolute;left:49006;top:56721;width:18288;height:4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" fillcolor="white [3201]" strokeweight=".5pt">
                  <v:textbox>
                    <w:txbxContent>
                      <w:p w14:paraId="25D44261" w14:textId="26EF5CBB" w:rsidR="00345F7E" w:rsidRDefault="00345F7E">
                        <w:r>
                          <w:t>Missing data (n=16)</w:t>
                        </w:r>
                      </w:p>
                    </w:txbxContent>
                  </v:textbox>
                </v:shape>
              </v:group>
            </w:pict>
          </mc:Fallback>
        </mc:AlternateContent>
      </w:r>
    </w:p>
    <w:bookmarkEnd w:id="117"/>
    <w:p w14:paraId="3AF01E7F" w14:textId="63945150" w:rsidR="000D7DDB" w:rsidRPr="00CA4ABC" w:rsidRDefault="00F13BED" w:rsidP="004053D7">
      <w:pPr>
        <w:pStyle w:val="Caption"/>
        <w:spacing w:line="360" w:lineRule="auto"/>
        <w:rPr>
          <w:rFonts w:cstheme="minorHAnsi"/>
          <w:color w:val="000000" w:themeColor="text1"/>
          <w:sz w:val="24"/>
          <w:szCs w:val="24"/>
        </w:rPr>
      </w:pPr>
      <w:r w:rsidRPr="00CA4ABC">
        <w:rPr>
          <w:rFonts w:cstheme="minorHAnsi"/>
          <w:color w:val="000000" w:themeColor="text1"/>
          <w:sz w:val="24"/>
          <w:szCs w:val="24"/>
        </w:rPr>
        <w:t>.</w:t>
      </w:r>
      <w:r w:rsidR="000D7DDB" w:rsidRPr="00CA4ABC">
        <w:rPr>
          <w:rFonts w:cstheme="minorHAnsi"/>
          <w:color w:val="000000" w:themeColor="text1"/>
          <w:sz w:val="24"/>
          <w:szCs w:val="24"/>
        </w:rPr>
        <w:t xml:space="preserve"> </w:t>
      </w:r>
    </w:p>
    <w:p w14:paraId="1F6D5869" w14:textId="1470F853" w:rsidR="000D7DDB" w:rsidRPr="00CA4ABC" w:rsidRDefault="000D7DDB" w:rsidP="004053D7">
      <w:pPr>
        <w:pStyle w:val="Caption"/>
        <w:spacing w:line="360" w:lineRule="auto"/>
        <w:rPr>
          <w:rFonts w:cstheme="minorHAnsi"/>
          <w:color w:val="000000" w:themeColor="text1"/>
          <w:sz w:val="24"/>
          <w:szCs w:val="24"/>
        </w:rPr>
      </w:pPr>
    </w:p>
    <w:p w14:paraId="3C2C8BC7" w14:textId="0731BD99" w:rsidR="000D7DDB" w:rsidRPr="00CA4ABC" w:rsidRDefault="000D7DDB" w:rsidP="004053D7">
      <w:pPr>
        <w:pStyle w:val="Caption"/>
        <w:spacing w:line="360" w:lineRule="auto"/>
        <w:rPr>
          <w:rFonts w:cstheme="minorHAnsi"/>
          <w:color w:val="000000" w:themeColor="text1"/>
          <w:sz w:val="24"/>
          <w:szCs w:val="24"/>
        </w:rPr>
      </w:pPr>
    </w:p>
    <w:p w14:paraId="2664C102" w14:textId="5A5C3061" w:rsidR="000D7DDB" w:rsidRPr="00CA4ABC" w:rsidRDefault="000D7DDB" w:rsidP="004053D7">
      <w:pPr>
        <w:pStyle w:val="Caption"/>
        <w:spacing w:line="360" w:lineRule="auto"/>
        <w:rPr>
          <w:rFonts w:cstheme="minorHAnsi"/>
          <w:color w:val="000000" w:themeColor="text1"/>
          <w:sz w:val="24"/>
          <w:szCs w:val="24"/>
        </w:rPr>
      </w:pPr>
    </w:p>
    <w:p w14:paraId="65490FD5" w14:textId="197506A9" w:rsidR="000D7DDB" w:rsidRPr="00CA4ABC" w:rsidRDefault="000D7DDB" w:rsidP="004053D7">
      <w:pPr>
        <w:pStyle w:val="Caption"/>
        <w:spacing w:line="360" w:lineRule="auto"/>
        <w:rPr>
          <w:rFonts w:cstheme="minorHAnsi"/>
          <w:color w:val="000000" w:themeColor="text1"/>
          <w:sz w:val="24"/>
          <w:szCs w:val="24"/>
        </w:rPr>
      </w:pPr>
    </w:p>
    <w:p w14:paraId="4C7026AF" w14:textId="77777777" w:rsidR="000D7DDB" w:rsidRPr="00CA4ABC" w:rsidRDefault="000D7DDB" w:rsidP="004053D7">
      <w:pPr>
        <w:pStyle w:val="Caption"/>
        <w:spacing w:line="360" w:lineRule="auto"/>
        <w:rPr>
          <w:rFonts w:cstheme="minorHAnsi"/>
          <w:color w:val="000000" w:themeColor="text1"/>
          <w:sz w:val="24"/>
          <w:szCs w:val="24"/>
        </w:rPr>
      </w:pPr>
    </w:p>
    <w:p w14:paraId="6F1712DC" w14:textId="77777777" w:rsidR="000D7DDB" w:rsidRPr="00CA4ABC" w:rsidRDefault="000D7DDB" w:rsidP="004053D7">
      <w:pPr>
        <w:pStyle w:val="Caption"/>
        <w:spacing w:line="360" w:lineRule="auto"/>
        <w:rPr>
          <w:rFonts w:cstheme="minorHAnsi"/>
          <w:color w:val="000000" w:themeColor="text1"/>
          <w:sz w:val="24"/>
          <w:szCs w:val="24"/>
        </w:rPr>
      </w:pPr>
    </w:p>
    <w:p w14:paraId="79726008" w14:textId="77777777" w:rsidR="000D7DDB" w:rsidRPr="00CA4ABC" w:rsidRDefault="000D7DDB" w:rsidP="004053D7">
      <w:pPr>
        <w:pStyle w:val="Caption"/>
        <w:spacing w:line="360" w:lineRule="auto"/>
        <w:rPr>
          <w:rFonts w:cstheme="minorHAnsi"/>
          <w:color w:val="000000" w:themeColor="text1"/>
          <w:sz w:val="24"/>
          <w:szCs w:val="24"/>
        </w:rPr>
      </w:pPr>
    </w:p>
    <w:p w14:paraId="75791680" w14:textId="77777777" w:rsidR="000D7DDB" w:rsidRPr="00CA4ABC" w:rsidRDefault="000D7DDB" w:rsidP="004053D7">
      <w:pPr>
        <w:pStyle w:val="Caption"/>
        <w:spacing w:line="360" w:lineRule="auto"/>
        <w:rPr>
          <w:rFonts w:cstheme="minorHAnsi"/>
          <w:color w:val="000000" w:themeColor="text1"/>
          <w:sz w:val="24"/>
          <w:szCs w:val="24"/>
        </w:rPr>
      </w:pPr>
    </w:p>
    <w:p w14:paraId="477B6D08" w14:textId="77777777" w:rsidR="000D7DDB" w:rsidRPr="00CA4ABC" w:rsidRDefault="000D7DDB" w:rsidP="004053D7">
      <w:pPr>
        <w:pStyle w:val="Caption"/>
        <w:spacing w:line="360" w:lineRule="auto"/>
        <w:rPr>
          <w:rFonts w:cstheme="minorHAnsi"/>
          <w:color w:val="000000" w:themeColor="text1"/>
          <w:sz w:val="24"/>
          <w:szCs w:val="24"/>
        </w:rPr>
      </w:pPr>
    </w:p>
    <w:p w14:paraId="187E75C6" w14:textId="77777777" w:rsidR="000D7DDB" w:rsidRPr="00CA4ABC" w:rsidRDefault="000D7DDB" w:rsidP="004053D7">
      <w:pPr>
        <w:pStyle w:val="Caption"/>
        <w:spacing w:line="360" w:lineRule="auto"/>
        <w:rPr>
          <w:rFonts w:cstheme="minorHAnsi"/>
          <w:color w:val="000000" w:themeColor="text1"/>
          <w:sz w:val="24"/>
          <w:szCs w:val="24"/>
        </w:rPr>
      </w:pPr>
    </w:p>
    <w:p w14:paraId="2AC67398" w14:textId="77777777" w:rsidR="000D7DDB" w:rsidRPr="00CA4ABC" w:rsidRDefault="000D7DDB" w:rsidP="004053D7">
      <w:pPr>
        <w:pStyle w:val="Caption"/>
        <w:spacing w:line="360" w:lineRule="auto"/>
        <w:rPr>
          <w:rFonts w:cstheme="minorHAnsi"/>
          <w:color w:val="000000" w:themeColor="text1"/>
          <w:sz w:val="24"/>
          <w:szCs w:val="24"/>
        </w:rPr>
      </w:pPr>
    </w:p>
    <w:p w14:paraId="261C7EF1" w14:textId="77777777" w:rsidR="000D7DDB" w:rsidRPr="00CA4ABC" w:rsidRDefault="000D7DDB" w:rsidP="004053D7">
      <w:pPr>
        <w:pStyle w:val="Caption"/>
        <w:spacing w:line="360" w:lineRule="auto"/>
        <w:rPr>
          <w:rFonts w:cstheme="minorHAnsi"/>
          <w:color w:val="000000" w:themeColor="text1"/>
          <w:sz w:val="24"/>
          <w:szCs w:val="24"/>
        </w:rPr>
      </w:pPr>
    </w:p>
    <w:p w14:paraId="36EEE2C5" w14:textId="77777777" w:rsidR="000D7DDB" w:rsidRPr="00CA4ABC" w:rsidRDefault="000D7DDB" w:rsidP="004053D7">
      <w:pPr>
        <w:pStyle w:val="Caption"/>
        <w:spacing w:line="360" w:lineRule="auto"/>
        <w:rPr>
          <w:rFonts w:cstheme="minorHAnsi"/>
          <w:color w:val="000000" w:themeColor="text1"/>
          <w:sz w:val="24"/>
          <w:szCs w:val="24"/>
        </w:rPr>
      </w:pPr>
    </w:p>
    <w:p w14:paraId="626BFD4A" w14:textId="77777777" w:rsidR="000D7DDB" w:rsidRPr="00CA4ABC" w:rsidRDefault="000D7DDB" w:rsidP="004053D7">
      <w:pPr>
        <w:pStyle w:val="Caption"/>
        <w:spacing w:line="360" w:lineRule="auto"/>
        <w:rPr>
          <w:rFonts w:cstheme="minorHAnsi"/>
          <w:color w:val="000000" w:themeColor="text1"/>
          <w:sz w:val="24"/>
          <w:szCs w:val="24"/>
        </w:rPr>
      </w:pPr>
    </w:p>
    <w:p w14:paraId="5F34D3CE" w14:textId="77777777" w:rsidR="00E65AE9" w:rsidRPr="00CA4ABC" w:rsidRDefault="00E65AE9" w:rsidP="004053D7">
      <w:pPr>
        <w:pStyle w:val="Caption"/>
        <w:spacing w:line="360" w:lineRule="auto"/>
        <w:rPr>
          <w:rFonts w:cstheme="minorHAnsi"/>
          <w:color w:val="000000" w:themeColor="text1"/>
          <w:sz w:val="24"/>
          <w:szCs w:val="24"/>
        </w:rPr>
      </w:pPr>
      <w:bookmarkStart w:id="118" w:name="_Toc127044187"/>
    </w:p>
    <w:p w14:paraId="3296886E" w14:textId="25E15274" w:rsidR="00A82E88" w:rsidRPr="00651B78" w:rsidRDefault="00651B78" w:rsidP="00651B78">
      <w:pPr>
        <w:pStyle w:val="Caption"/>
        <w:sectPr w:rsidR="00A82E88" w:rsidRPr="00651B78" w:rsidSect="00EB2154">
          <w:pgSz w:w="11900" w:h="16840"/>
          <w:pgMar w:top="1440" w:right="1440" w:bottom="1440" w:left="1440" w:header="708" w:footer="708" w:gutter="0"/>
          <w:cols w:space="708"/>
          <w:docGrid w:linePitch="360"/>
        </w:sectPr>
      </w:pPr>
      <w:bookmarkStart w:id="119" w:name="_Ref127215811"/>
      <w:bookmarkStart w:id="120" w:name="_Toc127978469"/>
      <w:r w:rsidRPr="00651B78">
        <w:rPr>
          <w:i w:val="0"/>
          <w:iCs w:val="0"/>
          <w:color w:val="000000" w:themeColor="text1"/>
          <w:sz w:val="24"/>
          <w:szCs w:val="24"/>
        </w:rPr>
        <w:t xml:space="preserve">Figure </w:t>
      </w:r>
      <w:r w:rsidRPr="00651B78">
        <w:rPr>
          <w:i w:val="0"/>
          <w:iCs w:val="0"/>
          <w:color w:val="000000" w:themeColor="text1"/>
          <w:sz w:val="24"/>
          <w:szCs w:val="24"/>
        </w:rPr>
        <w:fldChar w:fldCharType="begin"/>
      </w:r>
      <w:r w:rsidRPr="00651B78">
        <w:rPr>
          <w:i w:val="0"/>
          <w:iCs w:val="0"/>
          <w:color w:val="000000" w:themeColor="text1"/>
          <w:sz w:val="24"/>
          <w:szCs w:val="24"/>
        </w:rPr>
        <w:instrText xml:space="preserve"> SEQ Figure \* ARABIC </w:instrText>
      </w:r>
      <w:r w:rsidRPr="00651B78">
        <w:rPr>
          <w:i w:val="0"/>
          <w:iCs w:val="0"/>
          <w:color w:val="000000" w:themeColor="text1"/>
          <w:sz w:val="24"/>
          <w:szCs w:val="24"/>
        </w:rPr>
        <w:fldChar w:fldCharType="separate"/>
      </w:r>
      <w:r w:rsidR="002B439C">
        <w:rPr>
          <w:i w:val="0"/>
          <w:iCs w:val="0"/>
          <w:noProof/>
          <w:color w:val="000000" w:themeColor="text1"/>
          <w:sz w:val="24"/>
          <w:szCs w:val="24"/>
        </w:rPr>
        <w:t>9</w:t>
      </w:r>
      <w:r w:rsidRPr="00651B78">
        <w:rPr>
          <w:i w:val="0"/>
          <w:iCs w:val="0"/>
          <w:color w:val="000000" w:themeColor="text1"/>
          <w:sz w:val="24"/>
          <w:szCs w:val="24"/>
        </w:rPr>
        <w:fldChar w:fldCharType="end"/>
      </w:r>
      <w:r w:rsidR="005012D2" w:rsidRPr="00651B78">
        <w:rPr>
          <w:rFonts w:cstheme="minorHAnsi"/>
          <w:i w:val="0"/>
          <w:iCs w:val="0"/>
          <w:color w:val="000000" w:themeColor="text1"/>
          <w:sz w:val="24"/>
          <w:szCs w:val="24"/>
        </w:rPr>
        <w:t>.</w:t>
      </w:r>
      <w:r w:rsidR="000D7DDB" w:rsidRPr="00651B78">
        <w:rPr>
          <w:rFonts w:cstheme="minorHAnsi"/>
          <w:i w:val="0"/>
          <w:iCs w:val="0"/>
          <w:color w:val="000000" w:themeColor="text1"/>
          <w:sz w:val="24"/>
          <w:szCs w:val="24"/>
        </w:rPr>
        <w:t xml:space="preserve"> Flow </w:t>
      </w:r>
      <w:r w:rsidR="000D7DDB" w:rsidRPr="005012D2">
        <w:rPr>
          <w:rFonts w:cstheme="minorHAnsi"/>
          <w:i w:val="0"/>
          <w:iCs w:val="0"/>
          <w:color w:val="000000" w:themeColor="text1"/>
          <w:sz w:val="24"/>
          <w:szCs w:val="24"/>
        </w:rPr>
        <w:t>diagram to show dropout rates across the stages of the SheffProUK study</w:t>
      </w:r>
      <w:bookmarkEnd w:id="118"/>
      <w:bookmarkEnd w:id="119"/>
      <w:r w:rsidR="005012D2">
        <w:rPr>
          <w:rFonts w:cstheme="minorHAnsi"/>
          <w:i w:val="0"/>
          <w:iCs w:val="0"/>
          <w:color w:val="000000" w:themeColor="text1"/>
          <w:sz w:val="24"/>
          <w:szCs w:val="24"/>
        </w:rPr>
        <w:t>.</w:t>
      </w:r>
      <w:bookmarkEnd w:id="120"/>
    </w:p>
    <w:p w14:paraId="6CA7F5F8" w14:textId="146232AB" w:rsidR="00F13BED" w:rsidRPr="00CA4ABC" w:rsidRDefault="00F13BED" w:rsidP="004053D7">
      <w:pPr>
        <w:pStyle w:val="Heading3"/>
        <w:spacing w:line="360" w:lineRule="auto"/>
        <w:rPr>
          <w:rFonts w:asciiTheme="minorHAnsi" w:hAnsiTheme="minorHAnsi" w:cstheme="minorHAnsi"/>
          <w:color w:val="000000" w:themeColor="text1"/>
        </w:rPr>
      </w:pPr>
      <w:bookmarkStart w:id="121" w:name="_Toc135384298"/>
      <w:r w:rsidRPr="00CA4ABC">
        <w:rPr>
          <w:rFonts w:asciiTheme="minorHAnsi" w:hAnsiTheme="minorHAnsi" w:cstheme="minorHAnsi"/>
          <w:color w:val="000000" w:themeColor="text1"/>
        </w:rPr>
        <w:lastRenderedPageBreak/>
        <w:t>3.</w:t>
      </w:r>
      <w:r w:rsidR="00D323D0"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 xml:space="preserve">.3 Final </w:t>
      </w:r>
      <w:r w:rsidR="00A82E88" w:rsidRPr="00CA4ABC">
        <w:rPr>
          <w:rFonts w:asciiTheme="minorHAnsi" w:hAnsiTheme="minorHAnsi" w:cstheme="minorHAnsi"/>
          <w:color w:val="000000" w:themeColor="text1"/>
        </w:rPr>
        <w:t>p</w:t>
      </w:r>
      <w:r w:rsidRPr="00CA4ABC">
        <w:rPr>
          <w:rFonts w:asciiTheme="minorHAnsi" w:hAnsiTheme="minorHAnsi" w:cstheme="minorHAnsi"/>
          <w:color w:val="000000" w:themeColor="text1"/>
        </w:rPr>
        <w:t>articipants</w:t>
      </w:r>
      <w:r w:rsidR="00D17D06"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 characteristics</w:t>
      </w:r>
      <w:bookmarkEnd w:id="121"/>
    </w:p>
    <w:p w14:paraId="02940FCD" w14:textId="67659ACA"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Final participant numbers were 306 </w:t>
      </w:r>
      <w:r w:rsidR="0068709E" w:rsidRPr="00CA4ABC">
        <w:rPr>
          <w:rFonts w:cstheme="minorHAnsi"/>
          <w:color w:val="000000" w:themeColor="text1"/>
        </w:rPr>
        <w:t>(</w:t>
      </w:r>
      <w:r w:rsidRPr="00CA4ABC">
        <w:rPr>
          <w:rFonts w:cstheme="minorHAnsi"/>
          <w:color w:val="000000" w:themeColor="text1"/>
        </w:rPr>
        <w:t>71% female.</w:t>
      </w:r>
      <w:r w:rsidR="0068709E" w:rsidRPr="00CA4ABC">
        <w:rPr>
          <w:rFonts w:cstheme="minorHAnsi"/>
          <w:color w:val="000000" w:themeColor="text1"/>
        </w:rPr>
        <w:t>)</w:t>
      </w:r>
      <w:r w:rsidRPr="00CA4ABC">
        <w:rPr>
          <w:rFonts w:cstheme="minorHAnsi"/>
          <w:color w:val="000000" w:themeColor="text1"/>
        </w:rPr>
        <w:t xml:space="preserve"> </w:t>
      </w:r>
      <w:r w:rsidR="00A82E88" w:rsidRPr="00CA4ABC">
        <w:rPr>
          <w:rFonts w:cstheme="minorHAnsi"/>
          <w:color w:val="000000" w:themeColor="text1"/>
        </w:rPr>
        <w:fldChar w:fldCharType="begin"/>
      </w:r>
      <w:r w:rsidR="00A82E88" w:rsidRPr="00CA4ABC">
        <w:rPr>
          <w:rFonts w:cstheme="minorHAnsi"/>
          <w:color w:val="000000" w:themeColor="text1"/>
        </w:rPr>
        <w:instrText xml:space="preserve"> REF _Ref121296816 \h </w:instrText>
      </w:r>
      <w:r w:rsidR="00B37ED2" w:rsidRPr="00CA4ABC">
        <w:rPr>
          <w:rFonts w:cstheme="minorHAnsi"/>
          <w:color w:val="000000" w:themeColor="text1"/>
        </w:rPr>
        <w:instrText xml:space="preserve"> \* MERGEFORMAT </w:instrText>
      </w:r>
      <w:r w:rsidR="00A82E88" w:rsidRPr="00CA4ABC">
        <w:rPr>
          <w:rFonts w:cstheme="minorHAnsi"/>
          <w:color w:val="000000" w:themeColor="text1"/>
        </w:rPr>
      </w:r>
      <w:r w:rsidR="00A82E88"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6</w:t>
      </w:r>
      <w:r w:rsidR="00A82E88" w:rsidRPr="00CA4ABC">
        <w:rPr>
          <w:rFonts w:cstheme="minorHAnsi"/>
          <w:color w:val="000000" w:themeColor="text1"/>
        </w:rPr>
        <w:fldChar w:fldCharType="end"/>
      </w:r>
      <w:r w:rsidR="00A82E88" w:rsidRPr="00CA4ABC">
        <w:rPr>
          <w:rFonts w:cstheme="minorHAnsi"/>
          <w:color w:val="000000" w:themeColor="text1"/>
        </w:rPr>
        <w:t xml:space="preserve"> </w:t>
      </w:r>
      <w:r w:rsidRPr="00CA4ABC">
        <w:rPr>
          <w:rFonts w:cstheme="minorHAnsi"/>
          <w:color w:val="000000" w:themeColor="text1"/>
        </w:rPr>
        <w:t>shows participant characteristics for all respondents</w:t>
      </w:r>
      <w:r w:rsidR="00C65FD3">
        <w:rPr>
          <w:rFonts w:cstheme="minorHAnsi"/>
          <w:color w:val="000000" w:themeColor="text1"/>
        </w:rPr>
        <w:t xml:space="preserve"> and</w:t>
      </w:r>
      <w:r w:rsidRPr="00CA4ABC">
        <w:rPr>
          <w:rFonts w:cstheme="minorHAnsi"/>
          <w:color w:val="000000" w:themeColor="text1"/>
        </w:rPr>
        <w:t xml:space="preserve"> the participants split by protein intakes, depending on if they ate more or less than 1 g/kg BM/d of protein and protein intakes in relation to sex. </w:t>
      </w:r>
      <w:r w:rsidR="00D17D06" w:rsidRPr="00CA4ABC">
        <w:rPr>
          <w:rFonts w:cstheme="minorHAnsi"/>
          <w:color w:val="000000" w:themeColor="text1"/>
        </w:rPr>
        <w:t>The a</w:t>
      </w:r>
      <w:r w:rsidRPr="00CA4ABC">
        <w:rPr>
          <w:rFonts w:cstheme="minorHAnsi"/>
          <w:color w:val="000000" w:themeColor="text1"/>
        </w:rPr>
        <w:t>ge range of participants w</w:t>
      </w:r>
      <w:r w:rsidR="00D17D06" w:rsidRPr="00CA4ABC">
        <w:rPr>
          <w:rFonts w:cstheme="minorHAnsi"/>
          <w:color w:val="000000" w:themeColor="text1"/>
        </w:rPr>
        <w:t>as</w:t>
      </w:r>
      <w:r w:rsidRPr="00CA4ABC">
        <w:rPr>
          <w:rFonts w:cstheme="minorHAnsi"/>
          <w:color w:val="000000" w:themeColor="text1"/>
        </w:rPr>
        <w:t xml:space="preserve"> 18-92 years, with most participants falling into the age category</w:t>
      </w:r>
      <w:r w:rsidR="00D17D06" w:rsidRPr="00CA4ABC">
        <w:rPr>
          <w:rFonts w:cstheme="minorHAnsi"/>
          <w:color w:val="000000" w:themeColor="text1"/>
        </w:rPr>
        <w:t xml:space="preserve"> of</w:t>
      </w:r>
      <w:r w:rsidRPr="00CA4ABC">
        <w:rPr>
          <w:rFonts w:cstheme="minorHAnsi"/>
          <w:color w:val="000000" w:themeColor="text1"/>
        </w:rPr>
        <w:t xml:space="preserve"> 26-35 years. </w:t>
      </w:r>
      <w:r w:rsidR="00297545" w:rsidRPr="00CA4ABC">
        <w:rPr>
          <w:rFonts w:cstheme="minorHAnsi"/>
          <w:color w:val="000000" w:themeColor="text1"/>
        </w:rPr>
        <w:t>Chi-squared test show protein intakes were significantly different for those consuming ≤1g kg BM/d  or &gt;1g kg BM/d, in relation to BMI. Figure 10</w:t>
      </w:r>
      <w:r w:rsidR="00A82E88" w:rsidRPr="00CA4ABC">
        <w:rPr>
          <w:rFonts w:cstheme="minorHAnsi"/>
          <w:color w:val="000000" w:themeColor="text1"/>
        </w:rPr>
        <w:t xml:space="preserve"> </w:t>
      </w:r>
      <w:r w:rsidRPr="00CA4ABC">
        <w:rPr>
          <w:rFonts w:cstheme="minorHAnsi"/>
          <w:color w:val="000000" w:themeColor="text1"/>
        </w:rPr>
        <w:t>shows the number of respon</w:t>
      </w:r>
      <w:r w:rsidR="0068709E" w:rsidRPr="00CA4ABC">
        <w:rPr>
          <w:rFonts w:cstheme="minorHAnsi"/>
          <w:color w:val="000000" w:themeColor="text1"/>
        </w:rPr>
        <w:t>dents</w:t>
      </w:r>
      <w:r w:rsidRPr="00CA4ABC">
        <w:rPr>
          <w:rFonts w:cstheme="minorHAnsi"/>
          <w:color w:val="000000" w:themeColor="text1"/>
        </w:rPr>
        <w:t xml:space="preserve"> per age category </w:t>
      </w:r>
      <w:r w:rsidR="00297545" w:rsidRPr="00CA4ABC">
        <w:rPr>
          <w:rFonts w:cstheme="minorHAnsi"/>
          <w:color w:val="000000" w:themeColor="text1"/>
        </w:rPr>
        <w:t>across</w:t>
      </w:r>
      <w:r w:rsidRPr="00CA4ABC">
        <w:rPr>
          <w:rFonts w:cstheme="minorHAnsi"/>
          <w:color w:val="000000" w:themeColor="text1"/>
        </w:rPr>
        <w:t xml:space="preserve"> </w:t>
      </w:r>
      <w:r w:rsidR="004B3255" w:rsidRPr="00CA4ABC">
        <w:rPr>
          <w:rFonts w:cstheme="minorHAnsi"/>
          <w:color w:val="000000" w:themeColor="text1"/>
        </w:rPr>
        <w:t>10</w:t>
      </w:r>
      <w:r w:rsidR="00D17D06" w:rsidRPr="00CA4ABC">
        <w:rPr>
          <w:rFonts w:cstheme="minorHAnsi"/>
          <w:color w:val="000000" w:themeColor="text1"/>
        </w:rPr>
        <w:t>-</w:t>
      </w:r>
      <w:r w:rsidRPr="00CA4ABC">
        <w:rPr>
          <w:rFonts w:cstheme="minorHAnsi"/>
          <w:color w:val="000000" w:themeColor="text1"/>
        </w:rPr>
        <w:t xml:space="preserve">year intervals. </w:t>
      </w:r>
    </w:p>
    <w:tbl>
      <w:tblPr>
        <w:tblStyle w:val="TableGrid"/>
        <w:tblW w:w="10206" w:type="dxa"/>
        <w:tblInd w:w="-572" w:type="dxa"/>
        <w:tblLook w:val="04A0" w:firstRow="1" w:lastRow="0" w:firstColumn="1" w:lastColumn="0" w:noHBand="0" w:noVBand="1"/>
      </w:tblPr>
      <w:tblGrid>
        <w:gridCol w:w="2127"/>
        <w:gridCol w:w="1134"/>
        <w:gridCol w:w="1134"/>
        <w:gridCol w:w="1103"/>
        <w:gridCol w:w="1143"/>
        <w:gridCol w:w="1156"/>
        <w:gridCol w:w="1134"/>
        <w:gridCol w:w="1275"/>
      </w:tblGrid>
      <w:tr w:rsidR="008F16E6" w:rsidRPr="00CA4ABC" w14:paraId="300ECAB0" w14:textId="53600F6F" w:rsidTr="008F16E6">
        <w:trPr>
          <w:trHeight w:val="1357"/>
        </w:trPr>
        <w:tc>
          <w:tcPr>
            <w:tcW w:w="2127" w:type="dxa"/>
          </w:tcPr>
          <w:p w14:paraId="052EE3BF" w14:textId="77777777" w:rsidR="001B2AF9" w:rsidRPr="00CA4ABC" w:rsidRDefault="001B2AF9" w:rsidP="005012D2">
            <w:pPr>
              <w:jc w:val="center"/>
              <w:rPr>
                <w:rFonts w:cstheme="minorHAnsi"/>
                <w:b/>
                <w:bCs/>
                <w:color w:val="000000" w:themeColor="text1"/>
                <w:sz w:val="20"/>
                <w:szCs w:val="20"/>
              </w:rPr>
            </w:pPr>
            <w:r w:rsidRPr="00CA4ABC">
              <w:rPr>
                <w:rFonts w:cstheme="minorHAnsi"/>
                <w:b/>
                <w:bCs/>
                <w:color w:val="000000" w:themeColor="text1"/>
                <w:sz w:val="20"/>
                <w:szCs w:val="20"/>
              </w:rPr>
              <w:t>Characteristics</w:t>
            </w:r>
          </w:p>
        </w:tc>
        <w:tc>
          <w:tcPr>
            <w:tcW w:w="2268" w:type="dxa"/>
            <w:gridSpan w:val="2"/>
          </w:tcPr>
          <w:p w14:paraId="09006DCD" w14:textId="77777777" w:rsidR="001B2AF9" w:rsidRPr="00CA4ABC" w:rsidRDefault="001B2AF9" w:rsidP="005012D2">
            <w:pPr>
              <w:jc w:val="center"/>
              <w:rPr>
                <w:rFonts w:cstheme="minorHAnsi"/>
                <w:b/>
                <w:bCs/>
                <w:color w:val="000000" w:themeColor="text1"/>
                <w:sz w:val="20"/>
                <w:szCs w:val="20"/>
              </w:rPr>
            </w:pPr>
            <w:r w:rsidRPr="00CA4ABC">
              <w:rPr>
                <w:rFonts w:cstheme="minorHAnsi"/>
                <w:b/>
                <w:bCs/>
                <w:color w:val="000000" w:themeColor="text1"/>
                <w:sz w:val="20"/>
                <w:szCs w:val="20"/>
              </w:rPr>
              <w:t>All Participants (n=306)</w:t>
            </w:r>
          </w:p>
          <w:p w14:paraId="5D5C8837" w14:textId="70810FBC" w:rsidR="001B2AF9" w:rsidRPr="00CA4ABC" w:rsidRDefault="001B2AF9" w:rsidP="005012D2">
            <w:pPr>
              <w:jc w:val="center"/>
              <w:rPr>
                <w:rFonts w:cstheme="minorHAnsi"/>
                <w:b/>
                <w:bCs/>
                <w:color w:val="000000" w:themeColor="text1"/>
                <w:sz w:val="20"/>
                <w:szCs w:val="20"/>
              </w:rPr>
            </w:pPr>
            <w:r w:rsidRPr="00CA4ABC">
              <w:rPr>
                <w:rFonts w:cstheme="minorHAnsi"/>
                <w:b/>
                <w:bCs/>
                <w:color w:val="000000" w:themeColor="text1"/>
                <w:sz w:val="20"/>
                <w:szCs w:val="20"/>
              </w:rPr>
              <w:t>Mean (SD)</w:t>
            </w:r>
          </w:p>
        </w:tc>
        <w:tc>
          <w:tcPr>
            <w:tcW w:w="2246" w:type="dxa"/>
            <w:gridSpan w:val="2"/>
          </w:tcPr>
          <w:p w14:paraId="2A2290AA" w14:textId="04842A6F" w:rsidR="001B2AF9" w:rsidRPr="00CA4ABC" w:rsidRDefault="001B2AF9" w:rsidP="005012D2">
            <w:pPr>
              <w:jc w:val="center"/>
              <w:rPr>
                <w:rFonts w:cstheme="minorHAnsi"/>
                <w:b/>
                <w:bCs/>
                <w:color w:val="000000" w:themeColor="text1"/>
                <w:sz w:val="20"/>
                <w:szCs w:val="20"/>
              </w:rPr>
            </w:pPr>
            <w:r w:rsidRPr="00CA4ABC">
              <w:rPr>
                <w:rFonts w:cstheme="minorHAnsi"/>
                <w:b/>
                <w:bCs/>
                <w:color w:val="000000" w:themeColor="text1"/>
                <w:sz w:val="20"/>
                <w:szCs w:val="20"/>
              </w:rPr>
              <w:t>Participant consuming ≤1g kg BM/d (n=150) Mean (SD)</w:t>
            </w:r>
          </w:p>
        </w:tc>
        <w:tc>
          <w:tcPr>
            <w:tcW w:w="2290" w:type="dxa"/>
            <w:gridSpan w:val="2"/>
          </w:tcPr>
          <w:p w14:paraId="0B1497C3" w14:textId="2F465E47" w:rsidR="001B2AF9" w:rsidRPr="00CA4ABC" w:rsidRDefault="001B2AF9" w:rsidP="005012D2">
            <w:pPr>
              <w:jc w:val="center"/>
              <w:rPr>
                <w:rFonts w:cstheme="minorHAnsi"/>
                <w:b/>
                <w:bCs/>
                <w:color w:val="000000" w:themeColor="text1"/>
                <w:sz w:val="20"/>
                <w:szCs w:val="20"/>
              </w:rPr>
            </w:pPr>
            <w:r w:rsidRPr="00CA4ABC">
              <w:rPr>
                <w:rFonts w:cstheme="minorHAnsi"/>
                <w:b/>
                <w:bCs/>
                <w:color w:val="000000" w:themeColor="text1"/>
                <w:sz w:val="20"/>
                <w:szCs w:val="20"/>
              </w:rPr>
              <w:t>Participants consuming &gt;1g/kg BM/d (n=156) Mean (SD)</w:t>
            </w:r>
          </w:p>
        </w:tc>
        <w:tc>
          <w:tcPr>
            <w:tcW w:w="1275" w:type="dxa"/>
          </w:tcPr>
          <w:p w14:paraId="273CF310" w14:textId="6A085F53" w:rsidR="001B2AF9" w:rsidRPr="00CA4ABC" w:rsidRDefault="00F674B7" w:rsidP="005012D2">
            <w:pPr>
              <w:jc w:val="center"/>
              <w:rPr>
                <w:rFonts w:cstheme="minorHAnsi"/>
                <w:b/>
                <w:bCs/>
                <w:color w:val="000000" w:themeColor="text1"/>
                <w:sz w:val="20"/>
                <w:szCs w:val="20"/>
              </w:rPr>
            </w:pPr>
            <w:r w:rsidRPr="00CA4ABC">
              <w:rPr>
                <w:rFonts w:cstheme="minorHAnsi"/>
                <w:b/>
                <w:bCs/>
                <w:color w:val="000000" w:themeColor="text1"/>
                <w:sz w:val="20"/>
                <w:szCs w:val="20"/>
              </w:rPr>
              <w:t>C</w:t>
            </w:r>
            <w:r w:rsidR="001B2AF9" w:rsidRPr="00CA4ABC">
              <w:rPr>
                <w:rFonts w:cstheme="minorHAnsi"/>
                <w:b/>
                <w:bCs/>
                <w:color w:val="000000" w:themeColor="text1"/>
                <w:sz w:val="20"/>
                <w:szCs w:val="20"/>
              </w:rPr>
              <w:t>hi-squared test.</w:t>
            </w:r>
          </w:p>
        </w:tc>
      </w:tr>
      <w:tr w:rsidR="008F16E6" w:rsidRPr="00CA4ABC" w14:paraId="439C33BE" w14:textId="68456934" w:rsidTr="008F16E6">
        <w:trPr>
          <w:trHeight w:val="341"/>
        </w:trPr>
        <w:tc>
          <w:tcPr>
            <w:tcW w:w="2127" w:type="dxa"/>
          </w:tcPr>
          <w:p w14:paraId="3E422CB5" w14:textId="77777777"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Age</w:t>
            </w:r>
          </w:p>
          <w:p w14:paraId="59482962" w14:textId="41E767AC"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18-54 years (n=183)</w:t>
            </w:r>
          </w:p>
          <w:p w14:paraId="42829A47" w14:textId="1FDED03D"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55 years + (n=123)</w:t>
            </w:r>
          </w:p>
        </w:tc>
        <w:tc>
          <w:tcPr>
            <w:tcW w:w="2268" w:type="dxa"/>
            <w:gridSpan w:val="2"/>
          </w:tcPr>
          <w:p w14:paraId="29570C93" w14:textId="733BFF76"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45.8 (19.5)</w:t>
            </w:r>
          </w:p>
        </w:tc>
        <w:tc>
          <w:tcPr>
            <w:tcW w:w="2246" w:type="dxa"/>
            <w:gridSpan w:val="2"/>
          </w:tcPr>
          <w:p w14:paraId="7971B9C8" w14:textId="41E2800B"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47.2 (19.7)</w:t>
            </w:r>
          </w:p>
        </w:tc>
        <w:tc>
          <w:tcPr>
            <w:tcW w:w="2290" w:type="dxa"/>
            <w:gridSpan w:val="2"/>
          </w:tcPr>
          <w:p w14:paraId="2C188467" w14:textId="6EE739DF"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44.1 (19.4)</w:t>
            </w:r>
          </w:p>
        </w:tc>
        <w:tc>
          <w:tcPr>
            <w:tcW w:w="1275" w:type="dxa"/>
          </w:tcPr>
          <w:p w14:paraId="49E1D92A" w14:textId="18DABAC1"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0.112#</w:t>
            </w:r>
          </w:p>
        </w:tc>
      </w:tr>
      <w:tr w:rsidR="008F16E6" w:rsidRPr="00CA4ABC" w14:paraId="7EA559FF" w14:textId="785501F6" w:rsidTr="008F16E6">
        <w:trPr>
          <w:trHeight w:val="292"/>
        </w:trPr>
        <w:tc>
          <w:tcPr>
            <w:tcW w:w="2127" w:type="dxa"/>
          </w:tcPr>
          <w:p w14:paraId="3AACCFAC" w14:textId="77777777"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BMI</w:t>
            </w:r>
          </w:p>
          <w:p w14:paraId="6A8F0A6D" w14:textId="7263D6E6"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&lt;25kg/m</w:t>
            </w:r>
            <w:r w:rsidRPr="00CA4ABC">
              <w:rPr>
                <w:rFonts w:cstheme="minorHAnsi"/>
                <w:color w:val="000000" w:themeColor="text1"/>
                <w:sz w:val="20"/>
                <w:szCs w:val="20"/>
                <w:vertAlign w:val="superscript"/>
              </w:rPr>
              <w:t>2</w:t>
            </w:r>
            <w:r w:rsidRPr="00CA4ABC">
              <w:rPr>
                <w:rFonts w:cstheme="minorHAnsi"/>
                <w:color w:val="000000" w:themeColor="text1"/>
                <w:sz w:val="20"/>
                <w:szCs w:val="20"/>
              </w:rPr>
              <w:t xml:space="preserve"> (n=191)</w:t>
            </w:r>
          </w:p>
          <w:p w14:paraId="5A79E613" w14:textId="0C398FFE" w:rsidR="00F674B7" w:rsidRPr="00CA4ABC" w:rsidRDefault="00F674B7" w:rsidP="005012D2">
            <w:pPr>
              <w:rPr>
                <w:rFonts w:cstheme="minorHAnsi"/>
                <w:color w:val="000000" w:themeColor="text1"/>
                <w:sz w:val="20"/>
                <w:szCs w:val="20"/>
              </w:rPr>
            </w:pPr>
            <w:r w:rsidRPr="00CA4ABC">
              <w:rPr>
                <w:rFonts w:cstheme="minorHAnsi"/>
                <w:color w:val="202124"/>
                <w:sz w:val="20"/>
                <w:szCs w:val="20"/>
                <w:shd w:val="clear" w:color="auto" w:fill="FFFFFF"/>
              </w:rPr>
              <w:t>≥25g/kg/m</w:t>
            </w:r>
            <w:r w:rsidRPr="00CA4ABC">
              <w:rPr>
                <w:rFonts w:cstheme="minorHAnsi"/>
                <w:color w:val="202124"/>
                <w:sz w:val="20"/>
                <w:szCs w:val="20"/>
                <w:shd w:val="clear" w:color="auto" w:fill="FFFFFF"/>
                <w:vertAlign w:val="superscript"/>
              </w:rPr>
              <w:t>2</w:t>
            </w:r>
            <w:r w:rsidRPr="00CA4ABC">
              <w:rPr>
                <w:rFonts w:cstheme="minorHAnsi"/>
                <w:color w:val="202124"/>
                <w:sz w:val="20"/>
                <w:szCs w:val="20"/>
                <w:shd w:val="clear" w:color="auto" w:fill="FFFFFF"/>
              </w:rPr>
              <w:t xml:space="preserve"> (n=113)</w:t>
            </w:r>
          </w:p>
        </w:tc>
        <w:tc>
          <w:tcPr>
            <w:tcW w:w="2268" w:type="dxa"/>
            <w:gridSpan w:val="2"/>
          </w:tcPr>
          <w:p w14:paraId="4F70BB4F" w14:textId="04D18A6D"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25.1 (6.2)</w:t>
            </w:r>
          </w:p>
        </w:tc>
        <w:tc>
          <w:tcPr>
            <w:tcW w:w="2246" w:type="dxa"/>
            <w:gridSpan w:val="2"/>
          </w:tcPr>
          <w:p w14:paraId="1F003846" w14:textId="0B8A306F"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27.1 (7.6)</w:t>
            </w:r>
          </w:p>
        </w:tc>
        <w:tc>
          <w:tcPr>
            <w:tcW w:w="2290" w:type="dxa"/>
            <w:gridSpan w:val="2"/>
          </w:tcPr>
          <w:p w14:paraId="2CC43801" w14:textId="387F1CAA"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23.0 (3.4)</w:t>
            </w:r>
          </w:p>
        </w:tc>
        <w:tc>
          <w:tcPr>
            <w:tcW w:w="1275" w:type="dxa"/>
          </w:tcPr>
          <w:p w14:paraId="7039352C" w14:textId="5E3DEE7C" w:rsidR="00F674B7" w:rsidRPr="00CA4ABC" w:rsidRDefault="00F674B7" w:rsidP="005012D2">
            <w:pPr>
              <w:rPr>
                <w:rFonts w:cstheme="minorHAnsi"/>
                <w:color w:val="000000" w:themeColor="text1"/>
                <w:sz w:val="20"/>
                <w:szCs w:val="20"/>
              </w:rPr>
            </w:pPr>
            <w:r w:rsidRPr="00CA4ABC">
              <w:rPr>
                <w:rFonts w:cstheme="minorHAnsi"/>
                <w:color w:val="000000" w:themeColor="text1"/>
                <w:sz w:val="20"/>
                <w:szCs w:val="20"/>
              </w:rPr>
              <w:t>&lt;0.05*#</w:t>
            </w:r>
          </w:p>
        </w:tc>
      </w:tr>
      <w:tr w:rsidR="008F16E6" w:rsidRPr="00CA4ABC" w14:paraId="7642C744" w14:textId="77777777" w:rsidTr="008F16E6">
        <w:trPr>
          <w:trHeight w:val="413"/>
        </w:trPr>
        <w:tc>
          <w:tcPr>
            <w:tcW w:w="2127" w:type="dxa"/>
            <w:vMerge w:val="restart"/>
            <w:shd w:val="clear" w:color="auto" w:fill="auto"/>
          </w:tcPr>
          <w:p w14:paraId="55E57318" w14:textId="77777777" w:rsidR="008F16E6" w:rsidRPr="00CA4ABC" w:rsidRDefault="008F16E6" w:rsidP="008F16E6">
            <w:pPr>
              <w:rPr>
                <w:rFonts w:cstheme="minorHAnsi"/>
                <w:color w:val="000000" w:themeColor="text1"/>
                <w:sz w:val="20"/>
                <w:szCs w:val="20"/>
              </w:rPr>
            </w:pPr>
            <w:r w:rsidRPr="00CA4ABC">
              <w:rPr>
                <w:rFonts w:cstheme="minorHAnsi"/>
                <w:color w:val="000000" w:themeColor="text1"/>
                <w:sz w:val="20"/>
                <w:szCs w:val="20"/>
              </w:rPr>
              <w:t>Gender</w:t>
            </w:r>
          </w:p>
          <w:p w14:paraId="14F2F824" w14:textId="5E7D4D90" w:rsidR="008F16E6" w:rsidRPr="00CA4ABC" w:rsidRDefault="008F16E6" w:rsidP="008F16E6">
            <w:pPr>
              <w:rPr>
                <w:rFonts w:cstheme="minorHAnsi"/>
                <w:color w:val="000000" w:themeColor="text1"/>
                <w:sz w:val="20"/>
                <w:szCs w:val="20"/>
              </w:rPr>
            </w:pPr>
            <w:r w:rsidRPr="00CA4ABC">
              <w:rPr>
                <w:rFonts w:cstheme="minorHAnsi"/>
                <w:color w:val="000000" w:themeColor="text1"/>
                <w:sz w:val="20"/>
                <w:szCs w:val="20"/>
              </w:rPr>
              <w:t>Other (n=25</w:t>
            </w:r>
            <w:r w:rsidRPr="00CA4ABC">
              <w:rPr>
                <w:rFonts w:cstheme="minorHAnsi"/>
                <w:color w:val="000000"/>
                <w:sz w:val="22"/>
                <w:szCs w:val="22"/>
              </w:rPr>
              <w:t>ƗƗ</w:t>
            </w:r>
            <w:r w:rsidRPr="00CA4ABC">
              <w:rPr>
                <w:rFonts w:cstheme="minorHAnsi"/>
                <w:color w:val="000000" w:themeColor="text1"/>
                <w:sz w:val="20"/>
                <w:szCs w:val="20"/>
              </w:rPr>
              <w:t>)</w:t>
            </w:r>
          </w:p>
        </w:tc>
        <w:tc>
          <w:tcPr>
            <w:tcW w:w="1134" w:type="dxa"/>
            <w:shd w:val="clear" w:color="auto" w:fill="auto"/>
          </w:tcPr>
          <w:p w14:paraId="4F7CCBD3" w14:textId="77777777" w:rsidR="008F16E6" w:rsidRDefault="008F16E6" w:rsidP="008F16E6">
            <w:pPr>
              <w:rPr>
                <w:rFonts w:cstheme="minorHAnsi"/>
                <w:color w:val="000000" w:themeColor="text1"/>
                <w:sz w:val="20"/>
                <w:szCs w:val="20"/>
              </w:rPr>
            </w:pPr>
            <w:r>
              <w:rPr>
                <w:rFonts w:cstheme="minorHAnsi"/>
                <w:color w:val="000000" w:themeColor="text1"/>
                <w:sz w:val="20"/>
                <w:szCs w:val="20"/>
              </w:rPr>
              <w:t>Female</w:t>
            </w:r>
          </w:p>
          <w:p w14:paraId="48262D55" w14:textId="0BDAA80E" w:rsidR="008F16E6" w:rsidRPr="00CA4ABC" w:rsidRDefault="008F16E6" w:rsidP="008F16E6">
            <w:pPr>
              <w:rPr>
                <w:rFonts w:cstheme="minorHAnsi"/>
                <w:color w:val="000000" w:themeColor="text1"/>
                <w:sz w:val="20"/>
                <w:szCs w:val="20"/>
              </w:rPr>
            </w:pPr>
            <w:r>
              <w:rPr>
                <w:rFonts w:cstheme="minorHAnsi"/>
                <w:color w:val="000000" w:themeColor="text1"/>
                <w:sz w:val="20"/>
                <w:szCs w:val="20"/>
              </w:rPr>
              <w:t>(n=217)</w:t>
            </w:r>
          </w:p>
        </w:tc>
        <w:tc>
          <w:tcPr>
            <w:tcW w:w="1134" w:type="dxa"/>
            <w:shd w:val="clear" w:color="auto" w:fill="auto"/>
          </w:tcPr>
          <w:p w14:paraId="77F5AE52" w14:textId="77777777" w:rsidR="008F16E6" w:rsidRDefault="008F16E6" w:rsidP="008F16E6">
            <w:pPr>
              <w:rPr>
                <w:rFonts w:cstheme="minorHAnsi"/>
                <w:color w:val="000000" w:themeColor="text1"/>
                <w:sz w:val="20"/>
                <w:szCs w:val="20"/>
              </w:rPr>
            </w:pPr>
            <w:r>
              <w:rPr>
                <w:rFonts w:cstheme="minorHAnsi"/>
                <w:color w:val="000000" w:themeColor="text1"/>
                <w:sz w:val="20"/>
                <w:szCs w:val="20"/>
              </w:rPr>
              <w:t>Male</w:t>
            </w:r>
          </w:p>
          <w:p w14:paraId="7BA5EED1" w14:textId="6E28A6D7" w:rsidR="008F16E6" w:rsidRPr="00CA4ABC" w:rsidRDefault="008F16E6" w:rsidP="008F16E6">
            <w:pPr>
              <w:rPr>
                <w:rFonts w:cstheme="minorHAnsi"/>
                <w:color w:val="000000" w:themeColor="text1"/>
                <w:sz w:val="20"/>
                <w:szCs w:val="20"/>
              </w:rPr>
            </w:pPr>
            <w:r>
              <w:rPr>
                <w:rFonts w:cstheme="minorHAnsi"/>
                <w:color w:val="000000" w:themeColor="text1"/>
                <w:sz w:val="20"/>
                <w:szCs w:val="20"/>
              </w:rPr>
              <w:t>(n=64)</w:t>
            </w:r>
          </w:p>
        </w:tc>
        <w:tc>
          <w:tcPr>
            <w:tcW w:w="1103" w:type="dxa"/>
            <w:shd w:val="clear" w:color="auto" w:fill="auto"/>
          </w:tcPr>
          <w:p w14:paraId="785BF313" w14:textId="77777777" w:rsidR="008F16E6" w:rsidRDefault="008F16E6" w:rsidP="008F16E6">
            <w:pPr>
              <w:rPr>
                <w:rFonts w:cstheme="minorHAnsi"/>
                <w:color w:val="000000" w:themeColor="text1"/>
                <w:sz w:val="20"/>
                <w:szCs w:val="20"/>
              </w:rPr>
            </w:pPr>
            <w:r>
              <w:rPr>
                <w:rFonts w:cstheme="minorHAnsi"/>
                <w:color w:val="000000" w:themeColor="text1"/>
                <w:sz w:val="20"/>
                <w:szCs w:val="20"/>
              </w:rPr>
              <w:t>Female</w:t>
            </w:r>
          </w:p>
          <w:p w14:paraId="1C0DB165" w14:textId="186D1503" w:rsidR="008F16E6" w:rsidRDefault="008F16E6" w:rsidP="008F16E6">
            <w:pPr>
              <w:rPr>
                <w:rFonts w:cstheme="minorHAnsi"/>
                <w:color w:val="000000" w:themeColor="text1"/>
                <w:sz w:val="20"/>
                <w:szCs w:val="20"/>
              </w:rPr>
            </w:pPr>
            <w:r>
              <w:rPr>
                <w:rFonts w:cstheme="minorHAnsi"/>
                <w:color w:val="000000" w:themeColor="text1"/>
                <w:sz w:val="20"/>
                <w:szCs w:val="20"/>
              </w:rPr>
              <w:t>(n=110)</w:t>
            </w:r>
          </w:p>
        </w:tc>
        <w:tc>
          <w:tcPr>
            <w:tcW w:w="1143" w:type="dxa"/>
            <w:shd w:val="clear" w:color="auto" w:fill="auto"/>
          </w:tcPr>
          <w:p w14:paraId="1DB18160" w14:textId="77777777" w:rsidR="008F16E6" w:rsidRDefault="008F16E6" w:rsidP="008F16E6">
            <w:pPr>
              <w:rPr>
                <w:rFonts w:cstheme="minorHAnsi"/>
                <w:color w:val="000000" w:themeColor="text1"/>
                <w:sz w:val="20"/>
                <w:szCs w:val="20"/>
              </w:rPr>
            </w:pPr>
            <w:r>
              <w:rPr>
                <w:rFonts w:cstheme="minorHAnsi"/>
                <w:color w:val="000000" w:themeColor="text1"/>
                <w:sz w:val="20"/>
                <w:szCs w:val="20"/>
              </w:rPr>
              <w:t>Male</w:t>
            </w:r>
          </w:p>
          <w:p w14:paraId="27C7B912" w14:textId="1C0E4D6A" w:rsidR="008F16E6" w:rsidRPr="00CA4ABC" w:rsidRDefault="008F16E6" w:rsidP="008F16E6">
            <w:pPr>
              <w:rPr>
                <w:rFonts w:cstheme="minorHAnsi"/>
                <w:color w:val="000000" w:themeColor="text1"/>
                <w:sz w:val="20"/>
                <w:szCs w:val="20"/>
              </w:rPr>
            </w:pPr>
            <w:r>
              <w:rPr>
                <w:rFonts w:cstheme="minorHAnsi"/>
                <w:color w:val="000000" w:themeColor="text1"/>
                <w:sz w:val="20"/>
                <w:szCs w:val="20"/>
              </w:rPr>
              <w:t>(n=26)</w:t>
            </w:r>
          </w:p>
        </w:tc>
        <w:tc>
          <w:tcPr>
            <w:tcW w:w="1156" w:type="dxa"/>
            <w:shd w:val="clear" w:color="auto" w:fill="auto"/>
          </w:tcPr>
          <w:p w14:paraId="4B55AC80" w14:textId="6BBCA1DD" w:rsidR="008F16E6" w:rsidRDefault="008F16E6" w:rsidP="008F16E6">
            <w:pPr>
              <w:rPr>
                <w:rFonts w:cstheme="minorHAnsi"/>
                <w:color w:val="000000" w:themeColor="text1"/>
                <w:sz w:val="20"/>
                <w:szCs w:val="20"/>
              </w:rPr>
            </w:pPr>
            <w:r>
              <w:rPr>
                <w:rFonts w:cstheme="minorHAnsi"/>
                <w:color w:val="000000" w:themeColor="text1"/>
                <w:sz w:val="20"/>
                <w:szCs w:val="20"/>
              </w:rPr>
              <w:t>Female</w:t>
            </w:r>
          </w:p>
          <w:p w14:paraId="3524981E" w14:textId="4292E7AD" w:rsidR="008F16E6" w:rsidRDefault="008F16E6" w:rsidP="008F16E6">
            <w:pPr>
              <w:rPr>
                <w:rFonts w:cstheme="minorHAnsi"/>
                <w:color w:val="000000" w:themeColor="text1"/>
                <w:sz w:val="20"/>
                <w:szCs w:val="20"/>
              </w:rPr>
            </w:pPr>
            <w:r>
              <w:rPr>
                <w:rFonts w:cstheme="minorHAnsi"/>
                <w:color w:val="000000" w:themeColor="text1"/>
                <w:sz w:val="20"/>
                <w:szCs w:val="20"/>
              </w:rPr>
              <w:t>(n=106)</w:t>
            </w:r>
          </w:p>
        </w:tc>
        <w:tc>
          <w:tcPr>
            <w:tcW w:w="1134" w:type="dxa"/>
            <w:shd w:val="clear" w:color="auto" w:fill="auto"/>
          </w:tcPr>
          <w:p w14:paraId="04F5A970" w14:textId="69581BDA" w:rsidR="008F16E6" w:rsidRDefault="008F16E6" w:rsidP="008F16E6">
            <w:pPr>
              <w:rPr>
                <w:rFonts w:cstheme="minorHAnsi"/>
                <w:color w:val="000000" w:themeColor="text1"/>
                <w:sz w:val="20"/>
                <w:szCs w:val="20"/>
              </w:rPr>
            </w:pPr>
            <w:r>
              <w:rPr>
                <w:rFonts w:cstheme="minorHAnsi"/>
                <w:color w:val="000000" w:themeColor="text1"/>
                <w:sz w:val="20"/>
                <w:szCs w:val="20"/>
              </w:rPr>
              <w:t>Male</w:t>
            </w:r>
          </w:p>
          <w:p w14:paraId="3413A5CE" w14:textId="3E9A8AA1" w:rsidR="008F16E6" w:rsidRPr="00CA4ABC" w:rsidRDefault="008F16E6" w:rsidP="008F16E6">
            <w:pPr>
              <w:rPr>
                <w:rFonts w:cstheme="minorHAnsi"/>
                <w:color w:val="000000" w:themeColor="text1"/>
                <w:sz w:val="20"/>
                <w:szCs w:val="20"/>
              </w:rPr>
            </w:pPr>
            <w:r>
              <w:rPr>
                <w:rFonts w:cstheme="minorHAnsi"/>
                <w:color w:val="000000" w:themeColor="text1"/>
                <w:sz w:val="20"/>
                <w:szCs w:val="20"/>
              </w:rPr>
              <w:t>(n=38)</w:t>
            </w:r>
          </w:p>
        </w:tc>
        <w:tc>
          <w:tcPr>
            <w:tcW w:w="1275" w:type="dxa"/>
            <w:vMerge w:val="restart"/>
            <w:shd w:val="clear" w:color="auto" w:fill="auto"/>
          </w:tcPr>
          <w:p w14:paraId="70CCA780" w14:textId="5D0AAC72" w:rsidR="008F16E6" w:rsidRPr="00CA4ABC" w:rsidRDefault="008F16E6" w:rsidP="005012D2">
            <w:pPr>
              <w:rPr>
                <w:rFonts w:cstheme="minorHAnsi"/>
                <w:color w:val="000000" w:themeColor="text1"/>
                <w:sz w:val="20"/>
                <w:szCs w:val="20"/>
              </w:rPr>
            </w:pPr>
            <w:r w:rsidRPr="00CA4ABC">
              <w:rPr>
                <w:rFonts w:cstheme="minorHAnsi"/>
                <w:color w:val="000000" w:themeColor="text1"/>
                <w:sz w:val="20"/>
                <w:szCs w:val="20"/>
              </w:rPr>
              <w:t>0.282</w:t>
            </w:r>
            <w:r w:rsidRPr="00CA4ABC">
              <w:rPr>
                <w:rFonts w:cstheme="minorHAnsi"/>
                <w:color w:val="000000"/>
                <w:sz w:val="22"/>
                <w:szCs w:val="22"/>
              </w:rPr>
              <w:t>Ɨ</w:t>
            </w:r>
          </w:p>
        </w:tc>
      </w:tr>
      <w:tr w:rsidR="008F16E6" w:rsidRPr="00CA4ABC" w14:paraId="71254986" w14:textId="5DB9CE19" w:rsidTr="004721C1">
        <w:trPr>
          <w:trHeight w:val="413"/>
        </w:trPr>
        <w:tc>
          <w:tcPr>
            <w:tcW w:w="2127" w:type="dxa"/>
            <w:vMerge/>
          </w:tcPr>
          <w:p w14:paraId="2AF34934" w14:textId="3852A735" w:rsidR="008F16E6" w:rsidRPr="00CA4ABC" w:rsidRDefault="008F16E6" w:rsidP="005012D2">
            <w:pPr>
              <w:rPr>
                <w:rFonts w:cstheme="minorHAnsi"/>
                <w:color w:val="000000" w:themeColor="text1"/>
                <w:sz w:val="20"/>
                <w:szCs w:val="20"/>
              </w:rPr>
            </w:pPr>
          </w:p>
        </w:tc>
        <w:tc>
          <w:tcPr>
            <w:tcW w:w="1134" w:type="dxa"/>
          </w:tcPr>
          <w:p w14:paraId="53C00863" w14:textId="77777777" w:rsidR="008F16E6" w:rsidRPr="00CA4ABC" w:rsidRDefault="008F16E6" w:rsidP="008F16E6">
            <w:pPr>
              <w:rPr>
                <w:rFonts w:cstheme="minorHAnsi"/>
                <w:color w:val="000000" w:themeColor="text1"/>
                <w:sz w:val="20"/>
                <w:szCs w:val="20"/>
              </w:rPr>
            </w:pPr>
            <w:r w:rsidRPr="00CA4ABC">
              <w:rPr>
                <w:rFonts w:cstheme="minorHAnsi"/>
                <w:color w:val="000000" w:themeColor="text1"/>
                <w:sz w:val="20"/>
                <w:szCs w:val="20"/>
              </w:rPr>
              <w:t>1.07 (0.50)</w:t>
            </w:r>
          </w:p>
          <w:p w14:paraId="524C2BAD" w14:textId="49C51954" w:rsidR="008F16E6" w:rsidRPr="00CA4ABC" w:rsidRDefault="008F16E6" w:rsidP="005012D2">
            <w:pPr>
              <w:rPr>
                <w:rFonts w:cstheme="minorHAnsi"/>
                <w:color w:val="000000" w:themeColor="text1"/>
                <w:sz w:val="20"/>
                <w:szCs w:val="20"/>
              </w:rPr>
            </w:pPr>
          </w:p>
        </w:tc>
        <w:tc>
          <w:tcPr>
            <w:tcW w:w="1134" w:type="dxa"/>
          </w:tcPr>
          <w:p w14:paraId="3E84D83C" w14:textId="77777777" w:rsidR="008F16E6" w:rsidRPr="00CA4ABC" w:rsidRDefault="008F16E6" w:rsidP="008F16E6">
            <w:pPr>
              <w:spacing w:line="360" w:lineRule="auto"/>
              <w:rPr>
                <w:rFonts w:cstheme="minorHAnsi"/>
                <w:color w:val="000000" w:themeColor="text1"/>
                <w:sz w:val="20"/>
                <w:szCs w:val="20"/>
              </w:rPr>
            </w:pPr>
            <w:r w:rsidRPr="00CA4ABC">
              <w:rPr>
                <w:rFonts w:cstheme="minorHAnsi"/>
                <w:color w:val="000000" w:themeColor="text1"/>
                <w:sz w:val="20"/>
                <w:szCs w:val="20"/>
              </w:rPr>
              <w:t>1.20 (0.71)</w:t>
            </w:r>
          </w:p>
          <w:p w14:paraId="3DD94B23" w14:textId="532D4333" w:rsidR="008F16E6" w:rsidRPr="00CA4ABC" w:rsidRDefault="008F16E6" w:rsidP="005012D2">
            <w:pPr>
              <w:rPr>
                <w:rFonts w:cstheme="minorHAnsi"/>
                <w:color w:val="000000" w:themeColor="text1"/>
                <w:sz w:val="20"/>
                <w:szCs w:val="20"/>
              </w:rPr>
            </w:pPr>
          </w:p>
        </w:tc>
        <w:tc>
          <w:tcPr>
            <w:tcW w:w="1103" w:type="dxa"/>
          </w:tcPr>
          <w:p w14:paraId="678562AE" w14:textId="77777777" w:rsidR="008F16E6" w:rsidRPr="00CA4ABC" w:rsidRDefault="008F16E6" w:rsidP="005012D2">
            <w:pPr>
              <w:rPr>
                <w:rFonts w:cstheme="minorHAnsi"/>
                <w:color w:val="000000" w:themeColor="text1"/>
                <w:sz w:val="20"/>
                <w:szCs w:val="20"/>
              </w:rPr>
            </w:pPr>
            <w:r w:rsidRPr="00CA4ABC">
              <w:rPr>
                <w:rFonts w:cstheme="minorHAnsi"/>
                <w:color w:val="000000" w:themeColor="text1"/>
                <w:sz w:val="20"/>
                <w:szCs w:val="20"/>
              </w:rPr>
              <w:t>0.69 (0.20)</w:t>
            </w:r>
          </w:p>
        </w:tc>
        <w:tc>
          <w:tcPr>
            <w:tcW w:w="1143" w:type="dxa"/>
          </w:tcPr>
          <w:p w14:paraId="6E075297" w14:textId="77777777" w:rsidR="008F16E6" w:rsidRPr="008F16E6" w:rsidRDefault="008F16E6" w:rsidP="008F16E6">
            <w:pPr>
              <w:rPr>
                <w:rFonts w:cstheme="minorHAnsi"/>
                <w:color w:val="000000" w:themeColor="text1"/>
                <w:sz w:val="20"/>
                <w:szCs w:val="20"/>
              </w:rPr>
            </w:pPr>
            <w:r w:rsidRPr="008F16E6">
              <w:rPr>
                <w:rFonts w:cstheme="minorHAnsi"/>
                <w:color w:val="000000" w:themeColor="text1"/>
                <w:sz w:val="20"/>
                <w:szCs w:val="20"/>
              </w:rPr>
              <w:t>0.66 (0.17)</w:t>
            </w:r>
          </w:p>
          <w:p w14:paraId="4F34793E" w14:textId="0A77E122" w:rsidR="008F16E6" w:rsidRPr="00CA4ABC" w:rsidRDefault="008F16E6" w:rsidP="005012D2">
            <w:pPr>
              <w:rPr>
                <w:rFonts w:cstheme="minorHAnsi"/>
                <w:color w:val="000000" w:themeColor="text1"/>
                <w:sz w:val="20"/>
                <w:szCs w:val="20"/>
              </w:rPr>
            </w:pPr>
          </w:p>
        </w:tc>
        <w:tc>
          <w:tcPr>
            <w:tcW w:w="1156" w:type="dxa"/>
          </w:tcPr>
          <w:p w14:paraId="29A88D9B" w14:textId="77777777" w:rsidR="008F16E6" w:rsidRPr="00CA4ABC" w:rsidRDefault="008F16E6" w:rsidP="005012D2">
            <w:pPr>
              <w:rPr>
                <w:rFonts w:cstheme="minorHAnsi"/>
                <w:color w:val="000000" w:themeColor="text1"/>
                <w:sz w:val="20"/>
                <w:szCs w:val="20"/>
              </w:rPr>
            </w:pPr>
            <w:r w:rsidRPr="00CA4ABC">
              <w:rPr>
                <w:rFonts w:cstheme="minorHAnsi"/>
                <w:color w:val="000000" w:themeColor="text1"/>
                <w:sz w:val="20"/>
                <w:szCs w:val="20"/>
              </w:rPr>
              <w:t>1.47 (0.39)</w:t>
            </w:r>
          </w:p>
        </w:tc>
        <w:tc>
          <w:tcPr>
            <w:tcW w:w="1134" w:type="dxa"/>
          </w:tcPr>
          <w:p w14:paraId="2B1C20DB" w14:textId="34049484" w:rsidR="008F16E6" w:rsidRPr="00CA4ABC" w:rsidRDefault="008F16E6" w:rsidP="005012D2">
            <w:pPr>
              <w:rPr>
                <w:rFonts w:cstheme="minorHAnsi"/>
                <w:color w:val="000000" w:themeColor="text1"/>
                <w:sz w:val="20"/>
                <w:szCs w:val="20"/>
              </w:rPr>
            </w:pPr>
            <w:r>
              <w:rPr>
                <w:rFonts w:cstheme="minorHAnsi"/>
                <w:color w:val="000000" w:themeColor="text1"/>
                <w:sz w:val="20"/>
                <w:szCs w:val="20"/>
              </w:rPr>
              <w:t>1.58 (0.70)</w:t>
            </w:r>
          </w:p>
        </w:tc>
        <w:tc>
          <w:tcPr>
            <w:tcW w:w="1275" w:type="dxa"/>
            <w:vMerge/>
          </w:tcPr>
          <w:p w14:paraId="3C246B53" w14:textId="4BB79637" w:rsidR="008F16E6" w:rsidRPr="00CA4ABC" w:rsidRDefault="008F16E6" w:rsidP="005012D2">
            <w:pPr>
              <w:rPr>
                <w:rFonts w:cstheme="minorHAnsi"/>
                <w:color w:val="000000" w:themeColor="text1"/>
                <w:sz w:val="20"/>
                <w:szCs w:val="20"/>
              </w:rPr>
            </w:pPr>
          </w:p>
        </w:tc>
      </w:tr>
    </w:tbl>
    <w:p w14:paraId="51E7EDE1" w14:textId="3C674839" w:rsidR="006A0AAC" w:rsidRPr="005012D2" w:rsidRDefault="005012D2" w:rsidP="005012D2">
      <w:pPr>
        <w:pStyle w:val="Caption"/>
        <w:keepNext/>
        <w:rPr>
          <w:i w:val="0"/>
          <w:iCs w:val="0"/>
          <w:sz w:val="24"/>
          <w:szCs w:val="24"/>
        </w:rPr>
      </w:pPr>
      <w:bookmarkStart w:id="122" w:name="_Ref121296816"/>
      <w:bookmarkStart w:id="123" w:name="_Ref122339593"/>
      <w:bookmarkStart w:id="124" w:name="_Toc122956571"/>
      <w:r w:rsidRPr="00CA4ABC">
        <w:rPr>
          <w:rFonts w:cstheme="minorHAnsi"/>
          <w:noProof/>
          <w:color w:val="000000" w:themeColor="text1"/>
          <w:sz w:val="22"/>
          <w:szCs w:val="22"/>
        </w:rPr>
        <w:drawing>
          <wp:anchor distT="0" distB="0" distL="114300" distR="114300" simplePos="0" relativeHeight="251643904" behindDoc="0" locked="0" layoutInCell="1" allowOverlap="1" wp14:anchorId="670204A7" wp14:editId="55BD6AF1">
            <wp:simplePos x="0" y="0"/>
            <wp:positionH relativeFrom="column">
              <wp:posOffset>-111760</wp:posOffset>
            </wp:positionH>
            <wp:positionV relativeFrom="paragraph">
              <wp:posOffset>804806</wp:posOffset>
            </wp:positionV>
            <wp:extent cx="5821680" cy="2641600"/>
            <wp:effectExtent l="0" t="0" r="7620" b="12700"/>
            <wp:wrapSquare wrapText="bothSides"/>
            <wp:docPr id="9" name="Chart 9">
              <a:extLst xmlns:a="http://schemas.openxmlformats.org/drawingml/2006/main">
                <a:ext uri="{FF2B5EF4-FFF2-40B4-BE49-F238E27FC236}">
                  <a16:creationId xmlns:a16="http://schemas.microsoft.com/office/drawing/2014/main" id="{FA6CA368-547D-1757-0015-DCDF4D13E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Pr="005012D2">
        <w:rPr>
          <w:i w:val="0"/>
          <w:iCs w:val="0"/>
          <w:color w:val="000000" w:themeColor="text1"/>
          <w:sz w:val="24"/>
          <w:szCs w:val="24"/>
        </w:rPr>
        <w:t xml:space="preserve">Table </w:t>
      </w:r>
      <w:r w:rsidRPr="005012D2">
        <w:rPr>
          <w:i w:val="0"/>
          <w:iCs w:val="0"/>
          <w:color w:val="000000" w:themeColor="text1"/>
          <w:sz w:val="24"/>
          <w:szCs w:val="24"/>
        </w:rPr>
        <w:fldChar w:fldCharType="begin"/>
      </w:r>
      <w:r w:rsidRPr="005012D2">
        <w:rPr>
          <w:i w:val="0"/>
          <w:iCs w:val="0"/>
          <w:color w:val="000000" w:themeColor="text1"/>
          <w:sz w:val="24"/>
          <w:szCs w:val="24"/>
        </w:rPr>
        <w:instrText xml:space="preserve"> SEQ Table \* ARABIC </w:instrText>
      </w:r>
      <w:r w:rsidRPr="005012D2">
        <w:rPr>
          <w:i w:val="0"/>
          <w:iCs w:val="0"/>
          <w:color w:val="000000" w:themeColor="text1"/>
          <w:sz w:val="24"/>
          <w:szCs w:val="24"/>
        </w:rPr>
        <w:fldChar w:fldCharType="separate"/>
      </w:r>
      <w:r w:rsidR="00A13A55">
        <w:rPr>
          <w:i w:val="0"/>
          <w:iCs w:val="0"/>
          <w:noProof/>
          <w:color w:val="000000" w:themeColor="text1"/>
          <w:sz w:val="24"/>
          <w:szCs w:val="24"/>
        </w:rPr>
        <w:t>6</w:t>
      </w:r>
      <w:r w:rsidRPr="005012D2">
        <w:rPr>
          <w:i w:val="0"/>
          <w:iCs w:val="0"/>
          <w:color w:val="000000" w:themeColor="text1"/>
          <w:sz w:val="24"/>
          <w:szCs w:val="24"/>
        </w:rPr>
        <w:fldChar w:fldCharType="end"/>
      </w:r>
      <w:r w:rsidRPr="005012D2">
        <w:rPr>
          <w:i w:val="0"/>
          <w:iCs w:val="0"/>
          <w:color w:val="000000" w:themeColor="text1"/>
          <w:sz w:val="24"/>
          <w:szCs w:val="24"/>
        </w:rPr>
        <w:t>.</w:t>
      </w:r>
      <w:bookmarkEnd w:id="122"/>
      <w:r w:rsidRPr="005012D2">
        <w:rPr>
          <w:i w:val="0"/>
          <w:iCs w:val="0"/>
          <w:color w:val="000000" w:themeColor="text1"/>
          <w:sz w:val="24"/>
          <w:szCs w:val="24"/>
        </w:rPr>
        <w:t xml:space="preserve"> </w:t>
      </w:r>
      <w:r w:rsidR="00A82E88" w:rsidRPr="005012D2">
        <w:rPr>
          <w:rFonts w:cstheme="minorHAnsi"/>
          <w:i w:val="0"/>
          <w:iCs w:val="0"/>
          <w:color w:val="000000" w:themeColor="text1"/>
          <w:sz w:val="24"/>
          <w:szCs w:val="24"/>
        </w:rPr>
        <w:t>Participant characteristics of the SheffProUK study.</w:t>
      </w:r>
      <w:bookmarkEnd w:id="123"/>
      <w:bookmarkEnd w:id="124"/>
      <w:r w:rsidR="006A0AAC" w:rsidRPr="005012D2">
        <w:rPr>
          <w:rFonts w:cstheme="minorHAnsi"/>
          <w:i w:val="0"/>
          <w:iCs w:val="0"/>
          <w:color w:val="000000" w:themeColor="text1"/>
          <w:sz w:val="24"/>
          <w:szCs w:val="24"/>
        </w:rPr>
        <w:t xml:space="preserve"> # Fisher’s exact test; </w:t>
      </w:r>
      <w:r w:rsidR="0050093D" w:rsidRPr="005012D2">
        <w:rPr>
          <w:rFonts w:cstheme="minorHAnsi"/>
          <w:i w:val="0"/>
          <w:iCs w:val="0"/>
          <w:color w:val="000000"/>
          <w:sz w:val="24"/>
          <w:szCs w:val="24"/>
        </w:rPr>
        <w:t>Ɨ</w:t>
      </w:r>
      <w:r w:rsidR="00582452" w:rsidRPr="005012D2">
        <w:rPr>
          <w:rFonts w:cstheme="minorHAnsi"/>
          <w:i w:val="0"/>
          <w:iCs w:val="0"/>
          <w:color w:val="000000"/>
          <w:sz w:val="24"/>
          <w:szCs w:val="24"/>
        </w:rPr>
        <w:t xml:space="preserve"> </w:t>
      </w:r>
      <w:r w:rsidR="006A0AAC" w:rsidRPr="005012D2">
        <w:rPr>
          <w:rFonts w:cstheme="minorHAnsi"/>
          <w:i w:val="0"/>
          <w:iCs w:val="0"/>
          <w:color w:val="000000" w:themeColor="text1"/>
          <w:sz w:val="24"/>
          <w:szCs w:val="24"/>
        </w:rPr>
        <w:t xml:space="preserve">Pearson test; </w:t>
      </w:r>
      <w:r w:rsidR="0050093D" w:rsidRPr="005012D2">
        <w:rPr>
          <w:rFonts w:cstheme="minorHAnsi"/>
          <w:i w:val="0"/>
          <w:iCs w:val="0"/>
          <w:color w:val="000000"/>
          <w:sz w:val="24"/>
          <w:szCs w:val="24"/>
        </w:rPr>
        <w:t>ƗƗ</w:t>
      </w:r>
      <w:r w:rsidR="006A0AAC" w:rsidRPr="005012D2">
        <w:rPr>
          <w:rFonts w:cstheme="minorHAnsi"/>
          <w:i w:val="0"/>
          <w:iCs w:val="0"/>
          <w:color w:val="000000" w:themeColor="text1"/>
          <w:sz w:val="24"/>
          <w:szCs w:val="24"/>
        </w:rPr>
        <w:t xml:space="preserve"> Other – information not disclosed, non-binary, prefer not to say, another description of gender identity.</w:t>
      </w:r>
      <w:r w:rsidR="002F5214" w:rsidRPr="005012D2">
        <w:rPr>
          <w:rFonts w:cstheme="minorHAnsi"/>
          <w:i w:val="0"/>
          <w:iCs w:val="0"/>
          <w:color w:val="000000" w:themeColor="text1"/>
          <w:sz w:val="24"/>
          <w:szCs w:val="24"/>
        </w:rPr>
        <w:t xml:space="preserve"> </w:t>
      </w:r>
      <w:r w:rsidR="006A0AAC" w:rsidRPr="005012D2">
        <w:rPr>
          <w:rFonts w:cstheme="minorHAnsi"/>
          <w:i w:val="0"/>
          <w:iCs w:val="0"/>
          <w:color w:val="000000" w:themeColor="text1"/>
          <w:sz w:val="24"/>
          <w:szCs w:val="24"/>
        </w:rPr>
        <w:t xml:space="preserve">Data </w:t>
      </w:r>
      <w:r w:rsidR="00D17D06" w:rsidRPr="005012D2">
        <w:rPr>
          <w:rFonts w:cstheme="minorHAnsi"/>
          <w:i w:val="0"/>
          <w:iCs w:val="0"/>
          <w:color w:val="000000" w:themeColor="text1"/>
          <w:sz w:val="24"/>
          <w:szCs w:val="24"/>
        </w:rPr>
        <w:t>are</w:t>
      </w:r>
      <w:r w:rsidR="006A0AAC" w:rsidRPr="005012D2">
        <w:rPr>
          <w:rFonts w:cstheme="minorHAnsi"/>
          <w:i w:val="0"/>
          <w:iCs w:val="0"/>
          <w:color w:val="000000" w:themeColor="text1"/>
          <w:sz w:val="24"/>
          <w:szCs w:val="24"/>
        </w:rPr>
        <w:t xml:space="preserve"> presented as mean (SD).</w:t>
      </w:r>
    </w:p>
    <w:p w14:paraId="510A6CB2" w14:textId="1993C40C" w:rsidR="00F13BED" w:rsidRPr="00C65FD3" w:rsidRDefault="00C65FD3" w:rsidP="00C65FD3">
      <w:pPr>
        <w:pStyle w:val="Caption"/>
        <w:sectPr w:rsidR="00F13BED" w:rsidRPr="00C65FD3" w:rsidSect="00EB2154">
          <w:pgSz w:w="11900" w:h="16840"/>
          <w:pgMar w:top="1440" w:right="1440" w:bottom="1440" w:left="1440" w:header="708" w:footer="708" w:gutter="0"/>
          <w:cols w:space="708"/>
          <w:docGrid w:linePitch="360"/>
        </w:sectPr>
      </w:pPr>
      <w:bookmarkStart w:id="125" w:name="_Toc127044188"/>
      <w:bookmarkStart w:id="126" w:name="_Toc127978470"/>
      <w:r w:rsidRPr="00C65FD3">
        <w:rPr>
          <w:i w:val="0"/>
          <w:iCs w:val="0"/>
          <w:color w:val="000000" w:themeColor="text1"/>
          <w:sz w:val="24"/>
          <w:szCs w:val="24"/>
        </w:rPr>
        <w:t xml:space="preserve">Figure </w:t>
      </w:r>
      <w:r w:rsidRPr="00C65FD3">
        <w:rPr>
          <w:i w:val="0"/>
          <w:iCs w:val="0"/>
          <w:color w:val="000000" w:themeColor="text1"/>
          <w:sz w:val="24"/>
          <w:szCs w:val="24"/>
        </w:rPr>
        <w:fldChar w:fldCharType="begin"/>
      </w:r>
      <w:r w:rsidRPr="00C65FD3">
        <w:rPr>
          <w:i w:val="0"/>
          <w:iCs w:val="0"/>
          <w:color w:val="000000" w:themeColor="text1"/>
          <w:sz w:val="24"/>
          <w:szCs w:val="24"/>
        </w:rPr>
        <w:instrText xml:space="preserve"> SEQ Figure \* ARABIC </w:instrText>
      </w:r>
      <w:r w:rsidRPr="00C65FD3">
        <w:rPr>
          <w:i w:val="0"/>
          <w:iCs w:val="0"/>
          <w:color w:val="000000" w:themeColor="text1"/>
          <w:sz w:val="24"/>
          <w:szCs w:val="24"/>
        </w:rPr>
        <w:fldChar w:fldCharType="separate"/>
      </w:r>
      <w:r w:rsidR="002B439C">
        <w:rPr>
          <w:i w:val="0"/>
          <w:iCs w:val="0"/>
          <w:noProof/>
          <w:color w:val="000000" w:themeColor="text1"/>
          <w:sz w:val="24"/>
          <w:szCs w:val="24"/>
        </w:rPr>
        <w:t>10</w:t>
      </w:r>
      <w:r w:rsidRPr="00C65FD3">
        <w:rPr>
          <w:i w:val="0"/>
          <w:iCs w:val="0"/>
          <w:color w:val="000000" w:themeColor="text1"/>
          <w:sz w:val="24"/>
          <w:szCs w:val="24"/>
        </w:rPr>
        <w:fldChar w:fldCharType="end"/>
      </w:r>
      <w:r w:rsidRPr="00C65FD3">
        <w:rPr>
          <w:i w:val="0"/>
          <w:iCs w:val="0"/>
          <w:color w:val="000000" w:themeColor="text1"/>
          <w:sz w:val="24"/>
          <w:szCs w:val="24"/>
        </w:rPr>
        <w:t>.</w:t>
      </w:r>
      <w:r>
        <w:rPr>
          <w:i w:val="0"/>
          <w:iCs w:val="0"/>
          <w:color w:val="000000" w:themeColor="text1"/>
          <w:sz w:val="24"/>
          <w:szCs w:val="24"/>
        </w:rPr>
        <w:t xml:space="preserve"> </w:t>
      </w:r>
      <w:r w:rsidR="005012D2" w:rsidRPr="00C65FD3">
        <w:rPr>
          <w:rFonts w:cstheme="minorHAnsi"/>
          <w:i w:val="0"/>
          <w:iCs w:val="0"/>
          <w:color w:val="000000" w:themeColor="text1"/>
          <w:sz w:val="24"/>
          <w:szCs w:val="24"/>
        </w:rPr>
        <w:t>T</w:t>
      </w:r>
      <w:r w:rsidR="00F13BED" w:rsidRPr="00C65FD3">
        <w:rPr>
          <w:rFonts w:cstheme="minorHAnsi"/>
          <w:i w:val="0"/>
          <w:iCs w:val="0"/>
          <w:color w:val="000000" w:themeColor="text1"/>
          <w:sz w:val="24"/>
          <w:szCs w:val="24"/>
        </w:rPr>
        <w:t xml:space="preserve">he number </w:t>
      </w:r>
      <w:r w:rsidR="00F13BED" w:rsidRPr="005012D2">
        <w:rPr>
          <w:rFonts w:cstheme="minorHAnsi"/>
          <w:i w:val="0"/>
          <w:iCs w:val="0"/>
          <w:color w:val="000000" w:themeColor="text1"/>
          <w:sz w:val="24"/>
          <w:szCs w:val="24"/>
        </w:rPr>
        <w:t xml:space="preserve">of participants </w:t>
      </w:r>
      <w:r w:rsidR="00A82E88" w:rsidRPr="005012D2">
        <w:rPr>
          <w:rFonts w:cstheme="minorHAnsi"/>
          <w:i w:val="0"/>
          <w:iCs w:val="0"/>
          <w:color w:val="000000" w:themeColor="text1"/>
          <w:sz w:val="24"/>
          <w:szCs w:val="24"/>
        </w:rPr>
        <w:t>who fall into each age</w:t>
      </w:r>
      <w:r w:rsidR="00F13BED" w:rsidRPr="005012D2">
        <w:rPr>
          <w:rFonts w:cstheme="minorHAnsi"/>
          <w:i w:val="0"/>
          <w:iCs w:val="0"/>
          <w:color w:val="000000" w:themeColor="text1"/>
          <w:sz w:val="24"/>
          <w:szCs w:val="24"/>
        </w:rPr>
        <w:t xml:space="preserve"> category.</w:t>
      </w:r>
      <w:bookmarkEnd w:id="125"/>
      <w:bookmarkEnd w:id="126"/>
    </w:p>
    <w:p w14:paraId="17F8DBAF" w14:textId="014419CE" w:rsidR="00F13BED" w:rsidRPr="00CA4ABC" w:rsidRDefault="00A82E88" w:rsidP="004053D7">
      <w:pPr>
        <w:pStyle w:val="Heading3"/>
        <w:spacing w:line="360" w:lineRule="auto"/>
        <w:rPr>
          <w:rFonts w:asciiTheme="minorHAnsi" w:hAnsiTheme="minorHAnsi" w:cstheme="minorHAnsi"/>
          <w:color w:val="000000" w:themeColor="text1"/>
        </w:rPr>
      </w:pPr>
      <w:bookmarkStart w:id="127" w:name="_Toc135384299"/>
      <w:r w:rsidRPr="00CA4ABC">
        <w:rPr>
          <w:rFonts w:asciiTheme="minorHAnsi" w:hAnsiTheme="minorHAnsi" w:cstheme="minorHAnsi"/>
          <w:color w:val="000000" w:themeColor="text1"/>
        </w:rPr>
        <w:lastRenderedPageBreak/>
        <w:t>3.</w:t>
      </w:r>
      <w:r w:rsidR="00D323D0"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w:t>
      </w:r>
      <w:r w:rsidR="00D323D0"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 xml:space="preserve"> </w:t>
      </w:r>
      <w:r w:rsidR="00F13BED" w:rsidRPr="00CA4ABC">
        <w:rPr>
          <w:rFonts w:asciiTheme="minorHAnsi" w:hAnsiTheme="minorHAnsi" w:cstheme="minorHAnsi"/>
          <w:color w:val="000000" w:themeColor="text1"/>
        </w:rPr>
        <w:t>Dietary data</w:t>
      </w:r>
      <w:bookmarkEnd w:id="127"/>
    </w:p>
    <w:p w14:paraId="4BE3AE3F" w14:textId="0D19C070" w:rsidR="0068709E"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Analysis of </w:t>
      </w:r>
      <w:r w:rsidR="00BD44DB" w:rsidRPr="00CA4ABC">
        <w:rPr>
          <w:rFonts w:cstheme="minorHAnsi"/>
          <w:color w:val="000000" w:themeColor="text1"/>
        </w:rPr>
        <w:t>I</w:t>
      </w:r>
      <w:r w:rsidRPr="00CA4ABC">
        <w:rPr>
          <w:rFonts w:cstheme="minorHAnsi"/>
          <w:color w:val="000000" w:themeColor="text1"/>
        </w:rPr>
        <w:t>ntake24 responses from all participants (with misre</w:t>
      </w:r>
      <w:r w:rsidR="0068709E" w:rsidRPr="00CA4ABC">
        <w:rPr>
          <w:rFonts w:cstheme="minorHAnsi"/>
          <w:color w:val="000000" w:themeColor="text1"/>
        </w:rPr>
        <w:t>porters</w:t>
      </w:r>
      <w:r w:rsidRPr="00CA4ABC">
        <w:rPr>
          <w:rFonts w:cstheme="minorHAnsi"/>
          <w:color w:val="000000" w:themeColor="text1"/>
        </w:rPr>
        <w:t xml:space="preserve"> </w:t>
      </w:r>
      <w:r w:rsidR="00582452" w:rsidRPr="00CA4ABC">
        <w:rPr>
          <w:rFonts w:cstheme="minorHAnsi"/>
          <w:color w:val="000000" w:themeColor="text1"/>
        </w:rPr>
        <w:t>removed</w:t>
      </w:r>
      <w:r w:rsidRPr="00CA4ABC">
        <w:rPr>
          <w:rFonts w:cstheme="minorHAnsi"/>
          <w:color w:val="000000" w:themeColor="text1"/>
        </w:rPr>
        <w:t>) revealed that average (mean (SD)) energy intakes across one day were 7270 (3081)</w:t>
      </w:r>
      <w:r w:rsidR="002F5214" w:rsidRPr="00CA4ABC">
        <w:rPr>
          <w:rFonts w:cstheme="minorHAnsi"/>
          <w:color w:val="000000" w:themeColor="text1"/>
        </w:rPr>
        <w:t xml:space="preserve"> </w:t>
      </w:r>
      <w:r w:rsidRPr="00CA4ABC">
        <w:rPr>
          <w:rFonts w:cstheme="minorHAnsi"/>
          <w:color w:val="000000" w:themeColor="text1"/>
        </w:rPr>
        <w:t>kJ. Daily carbohydrate and fat intakes were 206.8 (97.0)g and 70.0 (4</w:t>
      </w:r>
      <w:r w:rsidR="002F5214" w:rsidRPr="00CA4ABC">
        <w:rPr>
          <w:rFonts w:cstheme="minorHAnsi"/>
          <w:color w:val="000000" w:themeColor="text1"/>
        </w:rPr>
        <w:t>1.0</w:t>
      </w:r>
      <w:r w:rsidRPr="00CA4ABC">
        <w:rPr>
          <w:rFonts w:cstheme="minorHAnsi"/>
          <w:color w:val="000000" w:themeColor="text1"/>
        </w:rPr>
        <w:t>)g,</w:t>
      </w:r>
      <w:r w:rsidR="00A82E88" w:rsidRPr="00CA4ABC">
        <w:rPr>
          <w:rFonts w:cstheme="minorHAnsi"/>
          <w:color w:val="000000" w:themeColor="text1"/>
        </w:rPr>
        <w:t xml:space="preserve"> </w:t>
      </w:r>
      <w:r w:rsidRPr="00CA4ABC">
        <w:rPr>
          <w:rFonts w:cstheme="minorHAnsi"/>
          <w:color w:val="000000" w:themeColor="text1"/>
        </w:rPr>
        <w:t xml:space="preserve">respectively. </w:t>
      </w:r>
      <w:r w:rsidR="008C235B">
        <w:rPr>
          <w:rFonts w:cstheme="minorHAnsi"/>
          <w:color w:val="000000" w:themeColor="text1"/>
        </w:rPr>
        <w:t>When adjusted for body mass, average protein intakes were 73.9g (36.5), and 1.11</w:t>
      </w:r>
      <w:r w:rsidR="008C235B" w:rsidRPr="008C235B">
        <w:rPr>
          <w:rFonts w:cstheme="minorHAnsi"/>
          <w:color w:val="000000" w:themeColor="text1"/>
        </w:rPr>
        <w:t xml:space="preserve"> </w:t>
      </w:r>
      <w:r w:rsidR="008C235B">
        <w:rPr>
          <w:rFonts w:cstheme="minorHAnsi"/>
          <w:color w:val="000000" w:themeColor="text1"/>
        </w:rPr>
        <w:t>g/kg BM/d (0.57)</w:t>
      </w:r>
      <w:r w:rsidRPr="00CA4ABC">
        <w:rPr>
          <w:rFonts w:cstheme="minorHAnsi"/>
          <w:color w:val="000000" w:themeColor="text1"/>
        </w:rPr>
        <w:t>. Carbohydrate</w:t>
      </w:r>
      <w:r w:rsidR="00D17D06" w:rsidRPr="00CA4ABC">
        <w:rPr>
          <w:rFonts w:cstheme="minorHAnsi"/>
          <w:color w:val="000000" w:themeColor="text1"/>
        </w:rPr>
        <w:t>s</w:t>
      </w:r>
      <w:r w:rsidRPr="00CA4ABC">
        <w:rPr>
          <w:rFonts w:cstheme="minorHAnsi"/>
          <w:color w:val="000000" w:themeColor="text1"/>
        </w:rPr>
        <w:t>, fat and protein contributed 48.6%, 35.4% and 17.4% of energy</w:t>
      </w:r>
      <w:r w:rsidR="00D17D06" w:rsidRPr="00CA4ABC">
        <w:rPr>
          <w:rFonts w:cstheme="minorHAnsi"/>
          <w:color w:val="000000" w:themeColor="text1"/>
        </w:rPr>
        <w:t xml:space="preserve"> for all participants,</w:t>
      </w:r>
      <w:r w:rsidRPr="00CA4ABC">
        <w:rPr>
          <w:rFonts w:cstheme="minorHAnsi"/>
          <w:color w:val="000000" w:themeColor="text1"/>
        </w:rPr>
        <w:t xml:space="preserve"> respectively</w:t>
      </w:r>
      <w:r w:rsidR="0068709E" w:rsidRPr="00CA4ABC">
        <w:rPr>
          <w:rFonts w:cstheme="minorHAnsi"/>
          <w:color w:val="000000" w:themeColor="text1"/>
        </w:rPr>
        <w:t>.</w:t>
      </w:r>
      <w:r w:rsidR="005C2052" w:rsidRPr="00CA4ABC">
        <w:rPr>
          <w:rFonts w:cstheme="minorHAnsi"/>
          <w:color w:val="000000" w:themeColor="text1"/>
        </w:rPr>
        <w:t xml:space="preserve"> Intakes of energy and all macronutrients were statistically different between individuals consuming more than or less than 1g protein/kg BM</w:t>
      </w:r>
      <w:r w:rsidR="002F5214" w:rsidRPr="00CA4ABC">
        <w:rPr>
          <w:rFonts w:cstheme="minorHAnsi"/>
          <w:color w:val="000000" w:themeColor="text1"/>
        </w:rPr>
        <w:t>.</w:t>
      </w:r>
      <w:r w:rsidR="0068709E" w:rsidRPr="00CA4ABC">
        <w:rPr>
          <w:rFonts w:cstheme="minorHAnsi"/>
          <w:color w:val="000000" w:themeColor="text1"/>
        </w:rPr>
        <w:t xml:space="preserve"> </w:t>
      </w:r>
      <w:r w:rsidR="00A63B28" w:rsidRPr="00CA4ABC">
        <w:rPr>
          <w:rFonts w:cstheme="minorHAnsi"/>
          <w:color w:val="000000" w:themeColor="text1"/>
        </w:rPr>
        <w:t xml:space="preserve"> </w:t>
      </w:r>
      <w:r w:rsidR="00A63B28" w:rsidRPr="00CA4ABC">
        <w:rPr>
          <w:rFonts w:cstheme="minorHAnsi"/>
          <w:color w:val="000000" w:themeColor="text1"/>
        </w:rPr>
        <w:fldChar w:fldCharType="begin"/>
      </w:r>
      <w:r w:rsidR="00A63B28" w:rsidRPr="00CA4ABC">
        <w:rPr>
          <w:rFonts w:cstheme="minorHAnsi"/>
          <w:color w:val="000000" w:themeColor="text1"/>
        </w:rPr>
        <w:instrText xml:space="preserve"> REF _Ref121297743 \h </w:instrText>
      </w:r>
      <w:r w:rsidR="00B37ED2" w:rsidRPr="00CA4ABC">
        <w:rPr>
          <w:rFonts w:cstheme="minorHAnsi"/>
          <w:color w:val="000000" w:themeColor="text1"/>
        </w:rPr>
        <w:instrText xml:space="preserve"> \* MERGEFORMAT </w:instrText>
      </w:r>
      <w:r w:rsidR="00A63B28" w:rsidRPr="00CA4ABC">
        <w:rPr>
          <w:rFonts w:cstheme="minorHAnsi"/>
          <w:color w:val="000000" w:themeColor="text1"/>
        </w:rPr>
      </w:r>
      <w:r w:rsidR="00A63B28"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7</w:t>
      </w:r>
      <w:r w:rsidR="00A63B28" w:rsidRPr="00CA4ABC">
        <w:rPr>
          <w:rFonts w:cstheme="minorHAnsi"/>
          <w:color w:val="000000" w:themeColor="text1"/>
        </w:rPr>
        <w:fldChar w:fldCharType="end"/>
      </w:r>
      <w:r w:rsidR="00A63B28" w:rsidRPr="00CA4ABC">
        <w:rPr>
          <w:rFonts w:cstheme="minorHAnsi"/>
          <w:color w:val="000000" w:themeColor="text1"/>
        </w:rPr>
        <w:t xml:space="preserve"> </w:t>
      </w:r>
      <w:r w:rsidRPr="00CA4ABC">
        <w:rPr>
          <w:rFonts w:cstheme="minorHAnsi"/>
          <w:color w:val="000000" w:themeColor="text1"/>
        </w:rPr>
        <w:t xml:space="preserve">displays dietary intake data for all participants, including split </w:t>
      </w:r>
      <w:r w:rsidR="00582452" w:rsidRPr="00CA4ABC">
        <w:rPr>
          <w:rFonts w:cstheme="minorHAnsi"/>
          <w:color w:val="000000" w:themeColor="text1"/>
        </w:rPr>
        <w:t>into</w:t>
      </w:r>
      <w:r w:rsidRPr="00CA4ABC">
        <w:rPr>
          <w:rFonts w:cstheme="minorHAnsi"/>
          <w:color w:val="000000" w:themeColor="text1"/>
        </w:rPr>
        <w:t xml:space="preserve"> lower and higher protein intakes.</w:t>
      </w:r>
    </w:p>
    <w:tbl>
      <w:tblPr>
        <w:tblStyle w:val="TableGrid"/>
        <w:tblpPr w:leftFromText="180" w:rightFromText="180" w:vertAnchor="text" w:horzAnchor="margin" w:tblpXSpec="center" w:tblpY="-30"/>
        <w:tblW w:w="10626" w:type="dxa"/>
        <w:tblLayout w:type="fixed"/>
        <w:tblLook w:val="0400" w:firstRow="0" w:lastRow="0" w:firstColumn="0" w:lastColumn="0" w:noHBand="0" w:noVBand="1"/>
      </w:tblPr>
      <w:tblGrid>
        <w:gridCol w:w="2001"/>
        <w:gridCol w:w="1227"/>
        <w:gridCol w:w="1125"/>
        <w:gridCol w:w="1433"/>
        <w:gridCol w:w="1125"/>
        <w:gridCol w:w="1345"/>
        <w:gridCol w:w="1185"/>
        <w:gridCol w:w="1185"/>
      </w:tblGrid>
      <w:tr w:rsidR="0068709E" w:rsidRPr="00CA4ABC" w14:paraId="380E2ABB" w14:textId="77777777" w:rsidTr="00422AA2">
        <w:trPr>
          <w:trHeight w:val="447"/>
        </w:trPr>
        <w:tc>
          <w:tcPr>
            <w:tcW w:w="2001" w:type="dxa"/>
          </w:tcPr>
          <w:p w14:paraId="78A07DCD" w14:textId="77777777" w:rsidR="0068709E" w:rsidRPr="00CA4ABC" w:rsidRDefault="0068709E" w:rsidP="00365825">
            <w:pPr>
              <w:jc w:val="right"/>
              <w:rPr>
                <w:rFonts w:cstheme="minorHAnsi"/>
                <w:color w:val="000000" w:themeColor="text1"/>
                <w:sz w:val="20"/>
                <w:szCs w:val="20"/>
              </w:rPr>
            </w:pPr>
          </w:p>
          <w:p w14:paraId="40071649" w14:textId="77777777" w:rsidR="0068709E" w:rsidRPr="00CA4ABC" w:rsidRDefault="0068709E" w:rsidP="00365825">
            <w:pPr>
              <w:jc w:val="right"/>
              <w:rPr>
                <w:rFonts w:cstheme="minorHAnsi"/>
                <w:color w:val="000000" w:themeColor="text1"/>
                <w:sz w:val="20"/>
                <w:szCs w:val="20"/>
              </w:rPr>
            </w:pPr>
          </w:p>
        </w:tc>
        <w:tc>
          <w:tcPr>
            <w:tcW w:w="1227" w:type="dxa"/>
          </w:tcPr>
          <w:p w14:paraId="6AEECF40" w14:textId="053BFBE1" w:rsidR="0068709E" w:rsidRPr="00CA4ABC" w:rsidRDefault="0068709E" w:rsidP="00365825">
            <w:pPr>
              <w:jc w:val="center"/>
              <w:rPr>
                <w:rFonts w:cstheme="minorHAnsi"/>
                <w:b/>
                <w:bCs/>
                <w:color w:val="000000" w:themeColor="text1"/>
                <w:sz w:val="20"/>
                <w:szCs w:val="20"/>
              </w:rPr>
            </w:pPr>
            <w:r w:rsidRPr="00CA4ABC">
              <w:rPr>
                <w:rFonts w:cstheme="minorHAnsi"/>
                <w:b/>
                <w:bCs/>
                <w:color w:val="000000" w:themeColor="text1"/>
                <w:sz w:val="20"/>
                <w:szCs w:val="20"/>
              </w:rPr>
              <w:t xml:space="preserve">Average  daily </w:t>
            </w:r>
            <w:r w:rsidR="00D7556A" w:rsidRPr="00CA4ABC">
              <w:rPr>
                <w:rFonts w:cstheme="minorHAnsi"/>
                <w:b/>
                <w:bCs/>
                <w:color w:val="000000" w:themeColor="text1"/>
                <w:sz w:val="20"/>
                <w:szCs w:val="20"/>
              </w:rPr>
              <w:t xml:space="preserve">(SD) </w:t>
            </w:r>
            <w:r w:rsidRPr="00CA4ABC">
              <w:rPr>
                <w:rFonts w:cstheme="minorHAnsi"/>
                <w:b/>
                <w:bCs/>
                <w:color w:val="000000" w:themeColor="text1"/>
                <w:sz w:val="20"/>
                <w:szCs w:val="20"/>
              </w:rPr>
              <w:t>intakes</w:t>
            </w:r>
            <w:r w:rsidR="00D7556A" w:rsidRPr="00CA4ABC">
              <w:rPr>
                <w:rFonts w:cstheme="minorHAnsi"/>
                <w:b/>
                <w:bCs/>
                <w:color w:val="000000" w:themeColor="text1"/>
                <w:sz w:val="20"/>
                <w:szCs w:val="20"/>
              </w:rPr>
              <w:t xml:space="preserve"> </w:t>
            </w:r>
            <w:r w:rsidRPr="00CA4ABC">
              <w:rPr>
                <w:rFonts w:cstheme="minorHAnsi"/>
                <w:b/>
                <w:bCs/>
                <w:color w:val="000000" w:themeColor="text1"/>
                <w:sz w:val="20"/>
                <w:szCs w:val="20"/>
              </w:rPr>
              <w:t>for all participants (n=306)</w:t>
            </w:r>
          </w:p>
        </w:tc>
        <w:tc>
          <w:tcPr>
            <w:tcW w:w="1125" w:type="dxa"/>
          </w:tcPr>
          <w:p w14:paraId="6691B732" w14:textId="030D73E8" w:rsidR="0068709E" w:rsidRPr="00CA4ABC" w:rsidRDefault="00D7556A" w:rsidP="00365825">
            <w:pPr>
              <w:jc w:val="center"/>
              <w:rPr>
                <w:rFonts w:cstheme="minorHAnsi"/>
                <w:b/>
                <w:bCs/>
                <w:color w:val="000000" w:themeColor="text1"/>
                <w:sz w:val="20"/>
                <w:szCs w:val="20"/>
              </w:rPr>
            </w:pPr>
            <w:r w:rsidRPr="00CA4ABC">
              <w:rPr>
                <w:rFonts w:cstheme="minorHAnsi"/>
                <w:b/>
                <w:bCs/>
                <w:color w:val="000000" w:themeColor="text1"/>
                <w:sz w:val="20"/>
                <w:szCs w:val="20"/>
              </w:rPr>
              <w:t xml:space="preserve">Average </w:t>
            </w:r>
            <w:r w:rsidR="0068709E" w:rsidRPr="00CA4ABC">
              <w:rPr>
                <w:rFonts w:cstheme="minorHAnsi"/>
                <w:b/>
                <w:bCs/>
                <w:color w:val="000000" w:themeColor="text1"/>
                <w:sz w:val="20"/>
                <w:szCs w:val="20"/>
              </w:rPr>
              <w:t>% energy derived</w:t>
            </w:r>
            <w:r w:rsidRPr="00CA4ABC">
              <w:rPr>
                <w:rFonts w:cstheme="minorHAnsi"/>
                <w:b/>
                <w:bCs/>
                <w:color w:val="000000" w:themeColor="text1"/>
                <w:sz w:val="20"/>
                <w:szCs w:val="20"/>
              </w:rPr>
              <w:t xml:space="preserve"> (SD)</w:t>
            </w:r>
          </w:p>
        </w:tc>
        <w:tc>
          <w:tcPr>
            <w:tcW w:w="1433" w:type="dxa"/>
          </w:tcPr>
          <w:p w14:paraId="7F2DD732" w14:textId="77777777" w:rsidR="0068709E" w:rsidRPr="00CA4ABC" w:rsidRDefault="0068709E" w:rsidP="00365825">
            <w:pPr>
              <w:jc w:val="center"/>
              <w:rPr>
                <w:rFonts w:cstheme="minorHAnsi"/>
                <w:b/>
                <w:bCs/>
                <w:color w:val="000000" w:themeColor="text1"/>
                <w:sz w:val="20"/>
                <w:szCs w:val="20"/>
              </w:rPr>
            </w:pPr>
            <w:r w:rsidRPr="00CA4ABC">
              <w:rPr>
                <w:rFonts w:cstheme="minorHAnsi"/>
                <w:b/>
                <w:bCs/>
                <w:color w:val="000000" w:themeColor="text1"/>
                <w:sz w:val="20"/>
                <w:szCs w:val="20"/>
              </w:rPr>
              <w:t xml:space="preserve">Average daily (SD) intakes for Participants consuming </w:t>
            </w:r>
            <w:r w:rsidRPr="00CA4ABC">
              <w:rPr>
                <w:rFonts w:eastAsia="Gungsuh" w:cstheme="minorHAnsi"/>
                <w:color w:val="000000" w:themeColor="text1"/>
                <w:sz w:val="20"/>
                <w:szCs w:val="20"/>
              </w:rPr>
              <w:t>≤</w:t>
            </w:r>
            <w:r w:rsidRPr="00CA4ABC">
              <w:rPr>
                <w:rFonts w:cstheme="minorHAnsi"/>
                <w:b/>
                <w:bCs/>
                <w:color w:val="000000" w:themeColor="text1"/>
                <w:sz w:val="20"/>
                <w:szCs w:val="20"/>
              </w:rPr>
              <w:t>1g/kg BM protein (n=150)</w:t>
            </w:r>
          </w:p>
        </w:tc>
        <w:tc>
          <w:tcPr>
            <w:tcW w:w="1125" w:type="dxa"/>
          </w:tcPr>
          <w:p w14:paraId="1CA597CC" w14:textId="68A70B09" w:rsidR="0068709E" w:rsidRPr="00CA4ABC" w:rsidRDefault="00D7556A" w:rsidP="00365825">
            <w:pPr>
              <w:jc w:val="center"/>
              <w:rPr>
                <w:rFonts w:cstheme="minorHAnsi"/>
                <w:b/>
                <w:bCs/>
                <w:color w:val="000000" w:themeColor="text1"/>
                <w:sz w:val="20"/>
                <w:szCs w:val="20"/>
              </w:rPr>
            </w:pPr>
            <w:r w:rsidRPr="00CA4ABC">
              <w:rPr>
                <w:rFonts w:cstheme="minorHAnsi"/>
                <w:b/>
                <w:bCs/>
                <w:color w:val="000000" w:themeColor="text1"/>
                <w:sz w:val="20"/>
                <w:szCs w:val="20"/>
              </w:rPr>
              <w:t>Average % energy derived (SD)</w:t>
            </w:r>
          </w:p>
        </w:tc>
        <w:tc>
          <w:tcPr>
            <w:tcW w:w="1345" w:type="dxa"/>
          </w:tcPr>
          <w:p w14:paraId="17BD1FB0" w14:textId="77777777" w:rsidR="0068709E" w:rsidRPr="00CA4ABC" w:rsidRDefault="0068709E" w:rsidP="00365825">
            <w:pPr>
              <w:jc w:val="center"/>
              <w:rPr>
                <w:rFonts w:cstheme="minorHAnsi"/>
                <w:b/>
                <w:bCs/>
                <w:color w:val="000000" w:themeColor="text1"/>
                <w:sz w:val="20"/>
                <w:szCs w:val="20"/>
              </w:rPr>
            </w:pPr>
            <w:r w:rsidRPr="00CA4ABC">
              <w:rPr>
                <w:rFonts w:cstheme="minorHAnsi"/>
                <w:b/>
                <w:bCs/>
                <w:color w:val="000000" w:themeColor="text1"/>
                <w:sz w:val="20"/>
                <w:szCs w:val="20"/>
              </w:rPr>
              <w:t>Average daily (SD) for Participants consuming &gt;1g/kg BM protein (n=156)</w:t>
            </w:r>
          </w:p>
        </w:tc>
        <w:tc>
          <w:tcPr>
            <w:tcW w:w="1185" w:type="dxa"/>
          </w:tcPr>
          <w:p w14:paraId="4D756DB7" w14:textId="43BAECAA" w:rsidR="0068709E" w:rsidRPr="00CA4ABC" w:rsidRDefault="00D7556A" w:rsidP="00365825">
            <w:pPr>
              <w:jc w:val="center"/>
              <w:rPr>
                <w:rFonts w:cstheme="minorHAnsi"/>
                <w:b/>
                <w:bCs/>
                <w:color w:val="000000" w:themeColor="text1"/>
                <w:sz w:val="20"/>
                <w:szCs w:val="20"/>
              </w:rPr>
            </w:pPr>
            <w:r w:rsidRPr="00CA4ABC">
              <w:rPr>
                <w:rFonts w:cstheme="minorHAnsi"/>
                <w:b/>
                <w:bCs/>
                <w:color w:val="000000" w:themeColor="text1"/>
                <w:sz w:val="20"/>
                <w:szCs w:val="20"/>
              </w:rPr>
              <w:t>Average % energy derived (SD)</w:t>
            </w:r>
          </w:p>
        </w:tc>
        <w:tc>
          <w:tcPr>
            <w:tcW w:w="1185" w:type="dxa"/>
          </w:tcPr>
          <w:p w14:paraId="4A624C19" w14:textId="0D03A7C8" w:rsidR="0068709E" w:rsidRPr="00CA4ABC" w:rsidRDefault="00D7556A" w:rsidP="00D7556A">
            <w:pPr>
              <w:jc w:val="center"/>
              <w:rPr>
                <w:rFonts w:cstheme="minorHAnsi"/>
                <w:b/>
                <w:bCs/>
                <w:color w:val="000000" w:themeColor="text1"/>
                <w:sz w:val="20"/>
                <w:szCs w:val="20"/>
              </w:rPr>
            </w:pPr>
            <w:r w:rsidRPr="00CA4ABC">
              <w:rPr>
                <w:rFonts w:cstheme="minorHAnsi"/>
                <w:b/>
                <w:bCs/>
                <w:color w:val="000000" w:themeColor="text1"/>
                <w:sz w:val="20"/>
                <w:szCs w:val="20"/>
              </w:rPr>
              <w:t xml:space="preserve">P value </w:t>
            </w:r>
            <w:r w:rsidR="0068709E" w:rsidRPr="00CA4ABC">
              <w:rPr>
                <w:rFonts w:cstheme="minorHAnsi"/>
                <w:b/>
                <w:bCs/>
                <w:color w:val="000000" w:themeColor="text1"/>
                <w:sz w:val="20"/>
                <w:szCs w:val="20"/>
              </w:rPr>
              <w:t xml:space="preserve">t-test between </w:t>
            </w:r>
            <w:r w:rsidR="0068709E" w:rsidRPr="00CA4ABC">
              <w:rPr>
                <w:rFonts w:eastAsia="Gungsuh" w:cstheme="minorHAnsi"/>
                <w:color w:val="000000" w:themeColor="text1"/>
                <w:sz w:val="20"/>
                <w:szCs w:val="20"/>
              </w:rPr>
              <w:t>≤</w:t>
            </w:r>
            <w:r w:rsidR="0068709E" w:rsidRPr="00CA4ABC">
              <w:rPr>
                <w:rFonts w:cstheme="minorHAnsi"/>
                <w:b/>
                <w:bCs/>
                <w:color w:val="000000" w:themeColor="text1"/>
                <w:sz w:val="20"/>
                <w:szCs w:val="20"/>
              </w:rPr>
              <w:t xml:space="preserve">1g and &gt;1g protein/kg BM/day </w:t>
            </w:r>
            <w:r w:rsidRPr="00CA4ABC">
              <w:rPr>
                <w:rFonts w:cstheme="minorHAnsi"/>
                <w:b/>
                <w:bCs/>
                <w:color w:val="000000" w:themeColor="text1"/>
                <w:sz w:val="20"/>
                <w:szCs w:val="20"/>
              </w:rPr>
              <w:t xml:space="preserve"> (p value)</w:t>
            </w:r>
          </w:p>
        </w:tc>
      </w:tr>
      <w:tr w:rsidR="0068709E" w:rsidRPr="00CA4ABC" w14:paraId="797A829F" w14:textId="77777777" w:rsidTr="00422AA2">
        <w:trPr>
          <w:trHeight w:val="774"/>
        </w:trPr>
        <w:tc>
          <w:tcPr>
            <w:tcW w:w="2001" w:type="dxa"/>
          </w:tcPr>
          <w:p w14:paraId="128A24FF" w14:textId="77777777" w:rsidR="0068709E" w:rsidRPr="00CA4ABC" w:rsidRDefault="0068709E" w:rsidP="00422AA2">
            <w:pPr>
              <w:rPr>
                <w:rFonts w:cstheme="minorHAnsi"/>
                <w:b/>
                <w:bCs/>
                <w:color w:val="000000" w:themeColor="text1"/>
                <w:sz w:val="20"/>
                <w:szCs w:val="20"/>
              </w:rPr>
            </w:pPr>
            <w:r w:rsidRPr="00CA4ABC">
              <w:rPr>
                <w:rFonts w:cstheme="minorHAnsi"/>
                <w:b/>
                <w:bCs/>
                <w:color w:val="000000" w:themeColor="text1"/>
                <w:sz w:val="20"/>
                <w:szCs w:val="20"/>
              </w:rPr>
              <w:t>Energy (kJ)</w:t>
            </w:r>
          </w:p>
        </w:tc>
        <w:tc>
          <w:tcPr>
            <w:tcW w:w="1227" w:type="dxa"/>
          </w:tcPr>
          <w:p w14:paraId="58BA150A" w14:textId="05F77081"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7270 (308</w:t>
            </w:r>
            <w:r w:rsidR="00D7556A" w:rsidRPr="00CA4ABC">
              <w:rPr>
                <w:rFonts w:cstheme="minorHAnsi"/>
                <w:color w:val="000000" w:themeColor="text1"/>
                <w:sz w:val="20"/>
                <w:szCs w:val="20"/>
              </w:rPr>
              <w:t>2</w:t>
            </w:r>
            <w:r w:rsidRPr="00CA4ABC">
              <w:rPr>
                <w:rFonts w:cstheme="minorHAnsi"/>
                <w:color w:val="000000" w:themeColor="text1"/>
                <w:sz w:val="20"/>
                <w:szCs w:val="20"/>
              </w:rPr>
              <w:t>)</w:t>
            </w:r>
          </w:p>
        </w:tc>
        <w:tc>
          <w:tcPr>
            <w:tcW w:w="1125" w:type="dxa"/>
          </w:tcPr>
          <w:p w14:paraId="75C608A1"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w:t>
            </w:r>
          </w:p>
        </w:tc>
        <w:tc>
          <w:tcPr>
            <w:tcW w:w="1433" w:type="dxa"/>
          </w:tcPr>
          <w:p w14:paraId="49460D30" w14:textId="484041D0"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5</w:t>
            </w:r>
            <w:r w:rsidR="00D7556A" w:rsidRPr="00CA4ABC">
              <w:rPr>
                <w:rFonts w:cstheme="minorHAnsi"/>
                <w:color w:val="000000" w:themeColor="text1"/>
                <w:sz w:val="20"/>
                <w:szCs w:val="20"/>
              </w:rPr>
              <w:t>362</w:t>
            </w:r>
            <w:r w:rsidRPr="00CA4ABC">
              <w:rPr>
                <w:rFonts w:cstheme="minorHAnsi"/>
                <w:color w:val="000000" w:themeColor="text1"/>
                <w:sz w:val="20"/>
                <w:szCs w:val="20"/>
              </w:rPr>
              <w:t xml:space="preserve"> (</w:t>
            </w:r>
            <w:r w:rsidR="00D7556A" w:rsidRPr="00CA4ABC">
              <w:rPr>
                <w:rFonts w:cstheme="minorHAnsi"/>
                <w:color w:val="000000" w:themeColor="text1"/>
                <w:sz w:val="20"/>
                <w:szCs w:val="20"/>
              </w:rPr>
              <w:t>1947</w:t>
            </w:r>
            <w:r w:rsidRPr="00CA4ABC">
              <w:rPr>
                <w:rFonts w:cstheme="minorHAnsi"/>
                <w:color w:val="000000" w:themeColor="text1"/>
                <w:sz w:val="20"/>
                <w:szCs w:val="20"/>
              </w:rPr>
              <w:t>)</w:t>
            </w:r>
          </w:p>
        </w:tc>
        <w:tc>
          <w:tcPr>
            <w:tcW w:w="1125" w:type="dxa"/>
          </w:tcPr>
          <w:p w14:paraId="1F74B84A"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w:t>
            </w:r>
          </w:p>
        </w:tc>
        <w:tc>
          <w:tcPr>
            <w:tcW w:w="1345" w:type="dxa"/>
          </w:tcPr>
          <w:p w14:paraId="5BCEBE28" w14:textId="77710BBD" w:rsidR="0068709E" w:rsidRPr="00CA4ABC" w:rsidRDefault="00D7556A" w:rsidP="00365825">
            <w:pPr>
              <w:rPr>
                <w:rFonts w:cstheme="minorHAnsi"/>
                <w:color w:val="000000" w:themeColor="text1"/>
                <w:sz w:val="20"/>
                <w:szCs w:val="20"/>
              </w:rPr>
            </w:pPr>
            <w:r w:rsidRPr="00CA4ABC">
              <w:rPr>
                <w:rFonts w:cstheme="minorHAnsi"/>
                <w:color w:val="000000" w:themeColor="text1"/>
                <w:sz w:val="20"/>
                <w:szCs w:val="20"/>
              </w:rPr>
              <w:t xml:space="preserve">9583 </w:t>
            </w:r>
            <w:r w:rsidR="0068709E" w:rsidRPr="00CA4ABC">
              <w:rPr>
                <w:rFonts w:cstheme="minorHAnsi"/>
                <w:color w:val="000000" w:themeColor="text1"/>
                <w:sz w:val="20"/>
                <w:szCs w:val="20"/>
              </w:rPr>
              <w:t>(</w:t>
            </w:r>
            <w:r w:rsidRPr="00CA4ABC">
              <w:rPr>
                <w:rFonts w:cstheme="minorHAnsi"/>
                <w:color w:val="000000" w:themeColor="text1"/>
                <w:sz w:val="20"/>
                <w:szCs w:val="20"/>
              </w:rPr>
              <w:t>6697</w:t>
            </w:r>
            <w:r w:rsidR="0068709E" w:rsidRPr="00CA4ABC">
              <w:rPr>
                <w:rFonts w:cstheme="minorHAnsi"/>
                <w:color w:val="000000" w:themeColor="text1"/>
                <w:sz w:val="20"/>
                <w:szCs w:val="20"/>
              </w:rPr>
              <w:t>)</w:t>
            </w:r>
          </w:p>
        </w:tc>
        <w:tc>
          <w:tcPr>
            <w:tcW w:w="1185" w:type="dxa"/>
          </w:tcPr>
          <w:p w14:paraId="2561E51E"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w:t>
            </w:r>
          </w:p>
        </w:tc>
        <w:tc>
          <w:tcPr>
            <w:tcW w:w="1185" w:type="dxa"/>
          </w:tcPr>
          <w:p w14:paraId="379F688C" w14:textId="6E9C75E6" w:rsidR="0068709E" w:rsidRPr="00CA4ABC" w:rsidRDefault="005C2052" w:rsidP="00365825">
            <w:pPr>
              <w:rPr>
                <w:rFonts w:cstheme="minorHAnsi"/>
                <w:color w:val="000000" w:themeColor="text1"/>
                <w:sz w:val="20"/>
                <w:szCs w:val="20"/>
              </w:rPr>
            </w:pPr>
            <w:r w:rsidRPr="00CA4ABC">
              <w:rPr>
                <w:rFonts w:cstheme="minorHAnsi"/>
                <w:color w:val="000000" w:themeColor="text1"/>
                <w:sz w:val="20"/>
                <w:szCs w:val="20"/>
              </w:rPr>
              <w:t>&lt;0.05*</w:t>
            </w:r>
          </w:p>
        </w:tc>
      </w:tr>
      <w:tr w:rsidR="0068709E" w:rsidRPr="00CA4ABC" w14:paraId="32365D87" w14:textId="77777777" w:rsidTr="00422AA2">
        <w:trPr>
          <w:trHeight w:val="388"/>
        </w:trPr>
        <w:tc>
          <w:tcPr>
            <w:tcW w:w="2001" w:type="dxa"/>
          </w:tcPr>
          <w:p w14:paraId="6BF1FDB4" w14:textId="77777777" w:rsidR="0068709E" w:rsidRPr="00CA4ABC" w:rsidRDefault="0068709E" w:rsidP="00422AA2">
            <w:pPr>
              <w:rPr>
                <w:rFonts w:cstheme="minorHAnsi"/>
                <w:b/>
                <w:bCs/>
                <w:color w:val="000000" w:themeColor="text1"/>
                <w:sz w:val="20"/>
                <w:szCs w:val="20"/>
              </w:rPr>
            </w:pPr>
            <w:r w:rsidRPr="00CA4ABC">
              <w:rPr>
                <w:rFonts w:cstheme="minorHAnsi"/>
                <w:b/>
                <w:bCs/>
                <w:color w:val="000000" w:themeColor="text1"/>
                <w:sz w:val="20"/>
                <w:szCs w:val="20"/>
              </w:rPr>
              <w:t>Carbohydrate (g)</w:t>
            </w:r>
          </w:p>
        </w:tc>
        <w:tc>
          <w:tcPr>
            <w:tcW w:w="1227" w:type="dxa"/>
          </w:tcPr>
          <w:p w14:paraId="3D9ECA9E"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206.84 (97.0)</w:t>
            </w:r>
          </w:p>
        </w:tc>
        <w:tc>
          <w:tcPr>
            <w:tcW w:w="1125" w:type="dxa"/>
          </w:tcPr>
          <w:p w14:paraId="0FCFDC5A"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48.6 (12.3)</w:t>
            </w:r>
          </w:p>
        </w:tc>
        <w:tc>
          <w:tcPr>
            <w:tcW w:w="1433" w:type="dxa"/>
          </w:tcPr>
          <w:p w14:paraId="34453114" w14:textId="17005B0D"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1</w:t>
            </w:r>
            <w:r w:rsidR="00D7556A" w:rsidRPr="00CA4ABC">
              <w:rPr>
                <w:rFonts w:cstheme="minorHAnsi"/>
                <w:color w:val="000000" w:themeColor="text1"/>
                <w:sz w:val="20"/>
                <w:szCs w:val="20"/>
              </w:rPr>
              <w:t>6</w:t>
            </w:r>
            <w:r w:rsidRPr="00CA4ABC">
              <w:rPr>
                <w:rFonts w:cstheme="minorHAnsi"/>
                <w:color w:val="000000" w:themeColor="text1"/>
                <w:sz w:val="20"/>
                <w:szCs w:val="20"/>
              </w:rPr>
              <w:t>8.</w:t>
            </w:r>
            <w:r w:rsidR="00D7556A" w:rsidRPr="00CA4ABC">
              <w:rPr>
                <w:rFonts w:cstheme="minorHAnsi"/>
                <w:color w:val="000000" w:themeColor="text1"/>
                <w:sz w:val="20"/>
                <w:szCs w:val="20"/>
              </w:rPr>
              <w:t>0</w:t>
            </w:r>
            <w:r w:rsidRPr="00CA4ABC">
              <w:rPr>
                <w:rFonts w:cstheme="minorHAnsi"/>
                <w:color w:val="000000" w:themeColor="text1"/>
                <w:sz w:val="20"/>
                <w:szCs w:val="20"/>
              </w:rPr>
              <w:t xml:space="preserve"> (71.</w:t>
            </w:r>
            <w:r w:rsidR="00D7556A" w:rsidRPr="00CA4ABC">
              <w:rPr>
                <w:rFonts w:cstheme="minorHAnsi"/>
                <w:color w:val="000000" w:themeColor="text1"/>
                <w:sz w:val="20"/>
                <w:szCs w:val="20"/>
              </w:rPr>
              <w:t>7</w:t>
            </w:r>
            <w:r w:rsidRPr="00CA4ABC">
              <w:rPr>
                <w:rFonts w:cstheme="minorHAnsi"/>
                <w:color w:val="000000" w:themeColor="text1"/>
                <w:sz w:val="20"/>
                <w:szCs w:val="20"/>
              </w:rPr>
              <w:t>)</w:t>
            </w:r>
          </w:p>
        </w:tc>
        <w:tc>
          <w:tcPr>
            <w:tcW w:w="1125" w:type="dxa"/>
          </w:tcPr>
          <w:p w14:paraId="5D789193"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51.5 (12.2)</w:t>
            </w:r>
          </w:p>
        </w:tc>
        <w:tc>
          <w:tcPr>
            <w:tcW w:w="1345" w:type="dxa"/>
          </w:tcPr>
          <w:p w14:paraId="75758EEA" w14:textId="1979868C" w:rsidR="0068709E" w:rsidRPr="00CA4ABC" w:rsidRDefault="00D7556A" w:rsidP="00365825">
            <w:pPr>
              <w:rPr>
                <w:rFonts w:cstheme="minorHAnsi"/>
                <w:color w:val="000000" w:themeColor="text1"/>
                <w:sz w:val="20"/>
                <w:szCs w:val="20"/>
              </w:rPr>
            </w:pPr>
            <w:r w:rsidRPr="00CA4ABC">
              <w:rPr>
                <w:rFonts w:cstheme="minorHAnsi"/>
                <w:color w:val="000000" w:themeColor="text1"/>
                <w:sz w:val="20"/>
                <w:szCs w:val="20"/>
              </w:rPr>
              <w:t>261.8</w:t>
            </w:r>
            <w:r w:rsidR="0068709E" w:rsidRPr="00CA4ABC">
              <w:rPr>
                <w:rFonts w:cstheme="minorHAnsi"/>
                <w:color w:val="000000" w:themeColor="text1"/>
                <w:sz w:val="20"/>
                <w:szCs w:val="20"/>
              </w:rPr>
              <w:t xml:space="preserve"> (</w:t>
            </w:r>
            <w:r w:rsidRPr="00CA4ABC">
              <w:rPr>
                <w:rFonts w:cstheme="minorHAnsi"/>
                <w:color w:val="000000" w:themeColor="text1"/>
                <w:sz w:val="20"/>
                <w:szCs w:val="20"/>
              </w:rPr>
              <w:t>242.2</w:t>
            </w:r>
            <w:r w:rsidR="0068709E" w:rsidRPr="00CA4ABC">
              <w:rPr>
                <w:rFonts w:cstheme="minorHAnsi"/>
                <w:color w:val="000000" w:themeColor="text1"/>
                <w:sz w:val="20"/>
                <w:szCs w:val="20"/>
              </w:rPr>
              <w:t>)</w:t>
            </w:r>
          </w:p>
        </w:tc>
        <w:tc>
          <w:tcPr>
            <w:tcW w:w="1185" w:type="dxa"/>
          </w:tcPr>
          <w:p w14:paraId="39F89108"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45.2 (12.3)</w:t>
            </w:r>
          </w:p>
        </w:tc>
        <w:tc>
          <w:tcPr>
            <w:tcW w:w="1185" w:type="dxa"/>
          </w:tcPr>
          <w:p w14:paraId="3B652482" w14:textId="071B2865" w:rsidR="0068709E" w:rsidRPr="00CA4ABC" w:rsidRDefault="005C2052" w:rsidP="005C2052">
            <w:pPr>
              <w:rPr>
                <w:rFonts w:cstheme="minorHAnsi"/>
                <w:color w:val="000000" w:themeColor="text1"/>
                <w:sz w:val="20"/>
                <w:szCs w:val="20"/>
              </w:rPr>
            </w:pPr>
            <w:r w:rsidRPr="00CA4ABC">
              <w:rPr>
                <w:rFonts w:cstheme="minorHAnsi"/>
                <w:color w:val="000000" w:themeColor="text1"/>
                <w:sz w:val="20"/>
                <w:szCs w:val="20"/>
              </w:rPr>
              <w:t>&lt;0.05*</w:t>
            </w:r>
          </w:p>
        </w:tc>
      </w:tr>
      <w:tr w:rsidR="0068709E" w:rsidRPr="00CA4ABC" w14:paraId="12304B12" w14:textId="77777777" w:rsidTr="00422AA2">
        <w:trPr>
          <w:trHeight w:val="370"/>
        </w:trPr>
        <w:tc>
          <w:tcPr>
            <w:tcW w:w="2001" w:type="dxa"/>
          </w:tcPr>
          <w:p w14:paraId="6AAED6C3" w14:textId="77777777" w:rsidR="0068709E" w:rsidRPr="00CA4ABC" w:rsidRDefault="0068709E" w:rsidP="00422AA2">
            <w:pPr>
              <w:rPr>
                <w:rFonts w:cstheme="minorHAnsi"/>
                <w:b/>
                <w:bCs/>
                <w:color w:val="000000" w:themeColor="text1"/>
                <w:sz w:val="20"/>
                <w:szCs w:val="20"/>
              </w:rPr>
            </w:pPr>
            <w:r w:rsidRPr="00CA4ABC">
              <w:rPr>
                <w:rFonts w:cstheme="minorHAnsi"/>
                <w:b/>
                <w:bCs/>
                <w:color w:val="000000" w:themeColor="text1"/>
                <w:sz w:val="20"/>
                <w:szCs w:val="20"/>
              </w:rPr>
              <w:t xml:space="preserve">Fat (g) </w:t>
            </w:r>
          </w:p>
        </w:tc>
        <w:tc>
          <w:tcPr>
            <w:tcW w:w="1227" w:type="dxa"/>
          </w:tcPr>
          <w:p w14:paraId="5071E50F"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70.0 (40.95)</w:t>
            </w:r>
          </w:p>
        </w:tc>
        <w:tc>
          <w:tcPr>
            <w:tcW w:w="1125" w:type="dxa"/>
          </w:tcPr>
          <w:p w14:paraId="3C6D51B5" w14:textId="77777777" w:rsidR="0068709E" w:rsidRPr="00CA4ABC" w:rsidRDefault="0068709E" w:rsidP="00365825">
            <w:pPr>
              <w:rPr>
                <w:rFonts w:eastAsia="Arial" w:cstheme="minorHAnsi"/>
                <w:color w:val="000000" w:themeColor="text1"/>
                <w:sz w:val="20"/>
                <w:szCs w:val="20"/>
              </w:rPr>
            </w:pPr>
            <w:r w:rsidRPr="00CA4ABC">
              <w:rPr>
                <w:rFonts w:eastAsia="Arial" w:cstheme="minorHAnsi"/>
                <w:color w:val="000000" w:themeColor="text1"/>
                <w:sz w:val="20"/>
                <w:szCs w:val="20"/>
              </w:rPr>
              <w:t>35.4 (10.0)</w:t>
            </w:r>
          </w:p>
        </w:tc>
        <w:tc>
          <w:tcPr>
            <w:tcW w:w="1433" w:type="dxa"/>
          </w:tcPr>
          <w:p w14:paraId="48E45DC0" w14:textId="41DA1A98" w:rsidR="0068709E" w:rsidRPr="00CA4ABC" w:rsidRDefault="005C2052" w:rsidP="00365825">
            <w:pPr>
              <w:rPr>
                <w:rFonts w:eastAsia="Arial" w:cstheme="minorHAnsi"/>
                <w:color w:val="000000" w:themeColor="text1"/>
                <w:sz w:val="20"/>
                <w:szCs w:val="20"/>
              </w:rPr>
            </w:pPr>
            <w:r w:rsidRPr="00CA4ABC">
              <w:rPr>
                <w:rFonts w:eastAsia="Arial" w:cstheme="minorHAnsi"/>
                <w:color w:val="000000" w:themeColor="text1"/>
                <w:sz w:val="20"/>
                <w:szCs w:val="20"/>
              </w:rPr>
              <w:t>49</w:t>
            </w:r>
            <w:r w:rsidR="0068709E" w:rsidRPr="00CA4ABC">
              <w:rPr>
                <w:rFonts w:eastAsia="Arial" w:cstheme="minorHAnsi"/>
                <w:color w:val="000000" w:themeColor="text1"/>
                <w:sz w:val="20"/>
                <w:szCs w:val="20"/>
              </w:rPr>
              <w:t>.</w:t>
            </w:r>
            <w:r w:rsidRPr="00CA4ABC">
              <w:rPr>
                <w:rFonts w:eastAsia="Arial" w:cstheme="minorHAnsi"/>
                <w:color w:val="000000" w:themeColor="text1"/>
                <w:sz w:val="20"/>
                <w:szCs w:val="20"/>
              </w:rPr>
              <w:t>3</w:t>
            </w:r>
            <w:r w:rsidR="0068709E" w:rsidRPr="00CA4ABC">
              <w:rPr>
                <w:rFonts w:eastAsia="Arial" w:cstheme="minorHAnsi"/>
                <w:color w:val="000000" w:themeColor="text1"/>
                <w:sz w:val="20"/>
                <w:szCs w:val="20"/>
              </w:rPr>
              <w:t xml:space="preserve"> (2</w:t>
            </w:r>
            <w:r w:rsidRPr="00CA4ABC">
              <w:rPr>
                <w:rFonts w:eastAsia="Arial" w:cstheme="minorHAnsi"/>
                <w:color w:val="000000" w:themeColor="text1"/>
                <w:sz w:val="20"/>
                <w:szCs w:val="20"/>
              </w:rPr>
              <w:t>5</w:t>
            </w:r>
            <w:r w:rsidR="0068709E" w:rsidRPr="00CA4ABC">
              <w:rPr>
                <w:rFonts w:eastAsia="Arial" w:cstheme="minorHAnsi"/>
                <w:color w:val="000000" w:themeColor="text1"/>
                <w:sz w:val="20"/>
                <w:szCs w:val="20"/>
              </w:rPr>
              <w:t>.</w:t>
            </w:r>
            <w:r w:rsidRPr="00CA4ABC">
              <w:rPr>
                <w:rFonts w:eastAsia="Arial" w:cstheme="minorHAnsi"/>
                <w:color w:val="000000" w:themeColor="text1"/>
                <w:sz w:val="20"/>
                <w:szCs w:val="20"/>
              </w:rPr>
              <w:t>7</w:t>
            </w:r>
            <w:r w:rsidR="0068709E" w:rsidRPr="00CA4ABC">
              <w:rPr>
                <w:rFonts w:eastAsia="Arial" w:cstheme="minorHAnsi"/>
                <w:color w:val="000000" w:themeColor="text1"/>
                <w:sz w:val="20"/>
                <w:szCs w:val="20"/>
              </w:rPr>
              <w:t>)</w:t>
            </w:r>
          </w:p>
        </w:tc>
        <w:tc>
          <w:tcPr>
            <w:tcW w:w="1125" w:type="dxa"/>
          </w:tcPr>
          <w:p w14:paraId="7BED7626"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34.6 (10.1)</w:t>
            </w:r>
          </w:p>
        </w:tc>
        <w:tc>
          <w:tcPr>
            <w:tcW w:w="1345" w:type="dxa"/>
          </w:tcPr>
          <w:p w14:paraId="5FDA831E" w14:textId="17008AC1" w:rsidR="0068709E" w:rsidRPr="00CA4ABC" w:rsidRDefault="005C2052" w:rsidP="00365825">
            <w:pPr>
              <w:rPr>
                <w:rFonts w:cstheme="minorHAnsi"/>
                <w:color w:val="000000" w:themeColor="text1"/>
                <w:sz w:val="20"/>
                <w:szCs w:val="20"/>
              </w:rPr>
            </w:pPr>
            <w:r w:rsidRPr="00CA4ABC">
              <w:rPr>
                <w:rFonts w:cstheme="minorHAnsi"/>
                <w:color w:val="000000" w:themeColor="text1"/>
                <w:sz w:val="20"/>
                <w:szCs w:val="20"/>
              </w:rPr>
              <w:t>93</w:t>
            </w:r>
            <w:r w:rsidR="0068709E" w:rsidRPr="00CA4ABC">
              <w:rPr>
                <w:rFonts w:cstheme="minorHAnsi"/>
                <w:color w:val="000000" w:themeColor="text1"/>
                <w:sz w:val="20"/>
                <w:szCs w:val="20"/>
              </w:rPr>
              <w:t>.</w:t>
            </w:r>
            <w:r w:rsidRPr="00CA4ABC">
              <w:rPr>
                <w:rFonts w:cstheme="minorHAnsi"/>
                <w:color w:val="000000" w:themeColor="text1"/>
                <w:sz w:val="20"/>
                <w:szCs w:val="20"/>
              </w:rPr>
              <w:t>7</w:t>
            </w:r>
            <w:r w:rsidR="0068709E" w:rsidRPr="00CA4ABC">
              <w:rPr>
                <w:rFonts w:cstheme="minorHAnsi"/>
                <w:color w:val="000000" w:themeColor="text1"/>
                <w:sz w:val="20"/>
                <w:szCs w:val="20"/>
              </w:rPr>
              <w:t xml:space="preserve"> (</w:t>
            </w:r>
            <w:r w:rsidRPr="00CA4ABC">
              <w:rPr>
                <w:rFonts w:cstheme="minorHAnsi"/>
                <w:color w:val="000000" w:themeColor="text1"/>
                <w:sz w:val="20"/>
                <w:szCs w:val="20"/>
              </w:rPr>
              <w:t>7</w:t>
            </w:r>
            <w:r w:rsidR="0068709E" w:rsidRPr="00CA4ABC">
              <w:rPr>
                <w:rFonts w:cstheme="minorHAnsi"/>
                <w:color w:val="000000" w:themeColor="text1"/>
                <w:sz w:val="20"/>
                <w:szCs w:val="20"/>
              </w:rPr>
              <w:t>7.</w:t>
            </w:r>
            <w:r w:rsidRPr="00CA4ABC">
              <w:rPr>
                <w:rFonts w:cstheme="minorHAnsi"/>
                <w:color w:val="000000" w:themeColor="text1"/>
                <w:sz w:val="20"/>
                <w:szCs w:val="20"/>
              </w:rPr>
              <w:t>2</w:t>
            </w:r>
            <w:r w:rsidR="0068709E" w:rsidRPr="00CA4ABC">
              <w:rPr>
                <w:rFonts w:cstheme="minorHAnsi"/>
                <w:color w:val="000000" w:themeColor="text1"/>
                <w:sz w:val="20"/>
                <w:szCs w:val="20"/>
              </w:rPr>
              <w:t>)</w:t>
            </w:r>
          </w:p>
        </w:tc>
        <w:tc>
          <w:tcPr>
            <w:tcW w:w="1185" w:type="dxa"/>
          </w:tcPr>
          <w:p w14:paraId="5CE504B7"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36.6 (10.0)</w:t>
            </w:r>
          </w:p>
        </w:tc>
        <w:tc>
          <w:tcPr>
            <w:tcW w:w="1185" w:type="dxa"/>
          </w:tcPr>
          <w:p w14:paraId="769A22A7" w14:textId="277DF62A" w:rsidR="0068709E" w:rsidRPr="00CA4ABC" w:rsidRDefault="005C2052" w:rsidP="00365825">
            <w:pPr>
              <w:rPr>
                <w:rFonts w:cstheme="minorHAnsi"/>
                <w:color w:val="000000" w:themeColor="text1"/>
                <w:sz w:val="20"/>
                <w:szCs w:val="20"/>
              </w:rPr>
            </w:pPr>
            <w:r w:rsidRPr="00CA4ABC">
              <w:rPr>
                <w:rFonts w:cstheme="minorHAnsi"/>
                <w:color w:val="000000" w:themeColor="text1"/>
                <w:sz w:val="20"/>
                <w:szCs w:val="20"/>
              </w:rPr>
              <w:t>&lt;0.05*</w:t>
            </w:r>
          </w:p>
        </w:tc>
      </w:tr>
      <w:tr w:rsidR="0068709E" w:rsidRPr="00CA4ABC" w14:paraId="7E3D9B37" w14:textId="77777777" w:rsidTr="00422AA2">
        <w:trPr>
          <w:trHeight w:val="388"/>
        </w:trPr>
        <w:tc>
          <w:tcPr>
            <w:tcW w:w="2001" w:type="dxa"/>
          </w:tcPr>
          <w:p w14:paraId="61BCA251" w14:textId="77777777" w:rsidR="0068709E" w:rsidRPr="00CA4ABC" w:rsidRDefault="0068709E" w:rsidP="00422AA2">
            <w:pPr>
              <w:rPr>
                <w:rFonts w:cstheme="minorHAnsi"/>
                <w:b/>
                <w:bCs/>
                <w:color w:val="000000" w:themeColor="text1"/>
                <w:sz w:val="20"/>
                <w:szCs w:val="20"/>
              </w:rPr>
            </w:pPr>
            <w:r w:rsidRPr="00CA4ABC">
              <w:rPr>
                <w:rFonts w:cstheme="minorHAnsi"/>
                <w:b/>
                <w:bCs/>
                <w:color w:val="000000" w:themeColor="text1"/>
                <w:sz w:val="20"/>
                <w:szCs w:val="20"/>
              </w:rPr>
              <w:t>Protein (g)</w:t>
            </w:r>
          </w:p>
        </w:tc>
        <w:tc>
          <w:tcPr>
            <w:tcW w:w="1227" w:type="dxa"/>
          </w:tcPr>
          <w:p w14:paraId="1CABE0C8"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73.85 (36.5)</w:t>
            </w:r>
          </w:p>
        </w:tc>
        <w:tc>
          <w:tcPr>
            <w:tcW w:w="1125" w:type="dxa"/>
          </w:tcPr>
          <w:p w14:paraId="08DB2CF4" w14:textId="77777777" w:rsidR="0068709E" w:rsidRPr="00CA4ABC" w:rsidRDefault="0068709E" w:rsidP="00365825">
            <w:pPr>
              <w:rPr>
                <w:rFonts w:eastAsia="Arial" w:cstheme="minorHAnsi"/>
                <w:color w:val="000000" w:themeColor="text1"/>
                <w:sz w:val="20"/>
                <w:szCs w:val="20"/>
              </w:rPr>
            </w:pPr>
            <w:r w:rsidRPr="00CA4ABC">
              <w:rPr>
                <w:rFonts w:eastAsia="Arial" w:cstheme="minorHAnsi"/>
                <w:color w:val="000000" w:themeColor="text1"/>
                <w:sz w:val="20"/>
                <w:szCs w:val="20"/>
              </w:rPr>
              <w:t>17.4 (6.3)</w:t>
            </w:r>
          </w:p>
        </w:tc>
        <w:tc>
          <w:tcPr>
            <w:tcW w:w="1433" w:type="dxa"/>
          </w:tcPr>
          <w:p w14:paraId="5B584D61" w14:textId="1685A92B" w:rsidR="0068709E" w:rsidRPr="00CA4ABC" w:rsidRDefault="005C2052" w:rsidP="00365825">
            <w:pPr>
              <w:rPr>
                <w:rFonts w:eastAsia="Arial" w:cstheme="minorHAnsi"/>
                <w:color w:val="000000" w:themeColor="text1"/>
                <w:sz w:val="20"/>
                <w:szCs w:val="20"/>
              </w:rPr>
            </w:pPr>
            <w:r w:rsidRPr="00CA4ABC">
              <w:rPr>
                <w:rFonts w:eastAsia="Arial" w:cstheme="minorHAnsi"/>
                <w:color w:val="000000" w:themeColor="text1"/>
                <w:sz w:val="20"/>
                <w:szCs w:val="20"/>
              </w:rPr>
              <w:t>43</w:t>
            </w:r>
            <w:r w:rsidR="0068709E" w:rsidRPr="00CA4ABC">
              <w:rPr>
                <w:rFonts w:eastAsia="Arial" w:cstheme="minorHAnsi"/>
                <w:color w:val="000000" w:themeColor="text1"/>
                <w:sz w:val="20"/>
                <w:szCs w:val="20"/>
              </w:rPr>
              <w:t>.</w:t>
            </w:r>
            <w:r w:rsidRPr="00CA4ABC">
              <w:rPr>
                <w:rFonts w:eastAsia="Arial" w:cstheme="minorHAnsi"/>
                <w:color w:val="000000" w:themeColor="text1"/>
                <w:sz w:val="20"/>
                <w:szCs w:val="20"/>
              </w:rPr>
              <w:t>8</w:t>
            </w:r>
            <w:r w:rsidR="0068709E" w:rsidRPr="00CA4ABC">
              <w:rPr>
                <w:rFonts w:eastAsia="Arial" w:cstheme="minorHAnsi"/>
                <w:color w:val="000000" w:themeColor="text1"/>
                <w:sz w:val="20"/>
                <w:szCs w:val="20"/>
              </w:rPr>
              <w:t xml:space="preserve"> (16.2)</w:t>
            </w:r>
          </w:p>
        </w:tc>
        <w:tc>
          <w:tcPr>
            <w:tcW w:w="1125" w:type="dxa"/>
          </w:tcPr>
          <w:p w14:paraId="659D59AD"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15.3 (5.7)</w:t>
            </w:r>
          </w:p>
        </w:tc>
        <w:tc>
          <w:tcPr>
            <w:tcW w:w="1345" w:type="dxa"/>
          </w:tcPr>
          <w:p w14:paraId="60864113" w14:textId="68B1B711" w:rsidR="0068709E" w:rsidRPr="00CA4ABC" w:rsidRDefault="005C2052" w:rsidP="00365825">
            <w:pPr>
              <w:rPr>
                <w:rFonts w:cstheme="minorHAnsi"/>
                <w:color w:val="000000" w:themeColor="text1"/>
                <w:sz w:val="20"/>
                <w:szCs w:val="20"/>
              </w:rPr>
            </w:pPr>
            <w:r w:rsidRPr="00CA4ABC">
              <w:rPr>
                <w:rFonts w:cstheme="minorHAnsi"/>
                <w:color w:val="000000" w:themeColor="text1"/>
                <w:sz w:val="20"/>
                <w:szCs w:val="20"/>
              </w:rPr>
              <w:t>105</w:t>
            </w:r>
            <w:r w:rsidR="0068709E" w:rsidRPr="00CA4ABC">
              <w:rPr>
                <w:rFonts w:cstheme="minorHAnsi"/>
                <w:color w:val="000000" w:themeColor="text1"/>
                <w:sz w:val="20"/>
                <w:szCs w:val="20"/>
              </w:rPr>
              <w:t>.</w:t>
            </w:r>
            <w:r w:rsidRPr="00CA4ABC">
              <w:rPr>
                <w:rFonts w:cstheme="minorHAnsi"/>
                <w:color w:val="000000" w:themeColor="text1"/>
                <w:sz w:val="20"/>
                <w:szCs w:val="20"/>
              </w:rPr>
              <w:t>9</w:t>
            </w:r>
            <w:r w:rsidR="0068709E" w:rsidRPr="00CA4ABC">
              <w:rPr>
                <w:rFonts w:cstheme="minorHAnsi"/>
                <w:color w:val="000000" w:themeColor="text1"/>
                <w:sz w:val="20"/>
                <w:szCs w:val="20"/>
              </w:rPr>
              <w:t xml:space="preserve"> (3</w:t>
            </w:r>
            <w:r w:rsidRPr="00CA4ABC">
              <w:rPr>
                <w:rFonts w:cstheme="minorHAnsi"/>
                <w:color w:val="000000" w:themeColor="text1"/>
                <w:sz w:val="20"/>
                <w:szCs w:val="20"/>
              </w:rPr>
              <w:t>8</w:t>
            </w:r>
            <w:r w:rsidR="0068709E" w:rsidRPr="00CA4ABC">
              <w:rPr>
                <w:rFonts w:cstheme="minorHAnsi"/>
                <w:color w:val="000000" w:themeColor="text1"/>
                <w:sz w:val="20"/>
                <w:szCs w:val="20"/>
              </w:rPr>
              <w:t>.</w:t>
            </w:r>
            <w:r w:rsidRPr="00CA4ABC">
              <w:rPr>
                <w:rFonts w:cstheme="minorHAnsi"/>
                <w:color w:val="000000" w:themeColor="text1"/>
                <w:sz w:val="20"/>
                <w:szCs w:val="20"/>
              </w:rPr>
              <w:t>4</w:t>
            </w:r>
            <w:r w:rsidR="0068709E" w:rsidRPr="00CA4ABC">
              <w:rPr>
                <w:rFonts w:cstheme="minorHAnsi"/>
                <w:color w:val="000000" w:themeColor="text1"/>
                <w:sz w:val="20"/>
                <w:szCs w:val="20"/>
              </w:rPr>
              <w:t>)</w:t>
            </w:r>
          </w:p>
        </w:tc>
        <w:tc>
          <w:tcPr>
            <w:tcW w:w="1185" w:type="dxa"/>
          </w:tcPr>
          <w:p w14:paraId="197B6014"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19.7 (6.2)</w:t>
            </w:r>
          </w:p>
        </w:tc>
        <w:tc>
          <w:tcPr>
            <w:tcW w:w="1185" w:type="dxa"/>
          </w:tcPr>
          <w:p w14:paraId="2D21A181" w14:textId="093DB291" w:rsidR="0068709E" w:rsidRPr="00CA4ABC" w:rsidRDefault="005C2052" w:rsidP="00365825">
            <w:pPr>
              <w:rPr>
                <w:rFonts w:cstheme="minorHAnsi"/>
                <w:color w:val="000000" w:themeColor="text1"/>
                <w:sz w:val="20"/>
                <w:szCs w:val="20"/>
              </w:rPr>
            </w:pPr>
            <w:r w:rsidRPr="00CA4ABC">
              <w:rPr>
                <w:rFonts w:cstheme="minorHAnsi"/>
                <w:color w:val="000000" w:themeColor="text1"/>
                <w:sz w:val="20"/>
                <w:szCs w:val="20"/>
              </w:rPr>
              <w:t>&lt;0.05*</w:t>
            </w:r>
          </w:p>
        </w:tc>
      </w:tr>
      <w:tr w:rsidR="0068709E" w:rsidRPr="00CA4ABC" w14:paraId="7125ACE5" w14:textId="77777777" w:rsidTr="00422AA2">
        <w:trPr>
          <w:trHeight w:val="388"/>
        </w:trPr>
        <w:tc>
          <w:tcPr>
            <w:tcW w:w="2001" w:type="dxa"/>
          </w:tcPr>
          <w:p w14:paraId="1C788684" w14:textId="77777777" w:rsidR="0068709E" w:rsidRPr="00CA4ABC" w:rsidRDefault="0068709E" w:rsidP="00422AA2">
            <w:pPr>
              <w:rPr>
                <w:rFonts w:cstheme="minorHAnsi"/>
                <w:b/>
                <w:bCs/>
                <w:color w:val="000000" w:themeColor="text1"/>
                <w:sz w:val="20"/>
                <w:szCs w:val="20"/>
              </w:rPr>
            </w:pPr>
            <w:r w:rsidRPr="00CA4ABC">
              <w:rPr>
                <w:rFonts w:cstheme="minorHAnsi"/>
                <w:b/>
                <w:bCs/>
                <w:color w:val="000000" w:themeColor="text1"/>
                <w:sz w:val="20"/>
                <w:szCs w:val="20"/>
              </w:rPr>
              <w:t xml:space="preserve">Protein intake </w:t>
            </w:r>
            <w:sdt>
              <w:sdtPr>
                <w:rPr>
                  <w:rFonts w:cstheme="minorHAnsi"/>
                  <w:b/>
                  <w:bCs/>
                  <w:color w:val="000000" w:themeColor="text1"/>
                  <w:sz w:val="20"/>
                  <w:szCs w:val="20"/>
                </w:rPr>
                <w:tag w:val="goog_rdk_52"/>
                <w:id w:val="-1750954940"/>
              </w:sdtPr>
              <w:sdtEndPr/>
              <w:sdtContent/>
            </w:sdt>
            <w:r w:rsidRPr="00CA4ABC">
              <w:rPr>
                <w:rFonts w:cstheme="minorHAnsi"/>
                <w:b/>
                <w:bCs/>
                <w:color w:val="000000" w:themeColor="text1"/>
                <w:sz w:val="20"/>
                <w:szCs w:val="20"/>
              </w:rPr>
              <w:t xml:space="preserve">adjusted for body mass  (g/kg BM)   </w:t>
            </w:r>
          </w:p>
        </w:tc>
        <w:tc>
          <w:tcPr>
            <w:tcW w:w="1227" w:type="dxa"/>
          </w:tcPr>
          <w:p w14:paraId="56CD4168"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1.11 (0.57)</w:t>
            </w:r>
          </w:p>
        </w:tc>
        <w:tc>
          <w:tcPr>
            <w:tcW w:w="1125" w:type="dxa"/>
          </w:tcPr>
          <w:p w14:paraId="1B530940" w14:textId="77777777" w:rsidR="0068709E" w:rsidRPr="00CA4ABC" w:rsidRDefault="0068709E" w:rsidP="00365825">
            <w:pPr>
              <w:rPr>
                <w:rFonts w:eastAsia="Arial" w:cstheme="minorHAnsi"/>
                <w:color w:val="000000" w:themeColor="text1"/>
                <w:sz w:val="20"/>
                <w:szCs w:val="20"/>
              </w:rPr>
            </w:pPr>
            <w:r w:rsidRPr="00CA4ABC">
              <w:rPr>
                <w:rFonts w:eastAsia="Arial" w:cstheme="minorHAnsi"/>
                <w:color w:val="000000" w:themeColor="text1"/>
                <w:sz w:val="20"/>
                <w:szCs w:val="20"/>
              </w:rPr>
              <w:t>-</w:t>
            </w:r>
          </w:p>
        </w:tc>
        <w:tc>
          <w:tcPr>
            <w:tcW w:w="1433" w:type="dxa"/>
          </w:tcPr>
          <w:p w14:paraId="5B96A740" w14:textId="7EDD1FAC" w:rsidR="0068709E" w:rsidRPr="00CA4ABC" w:rsidRDefault="0068709E" w:rsidP="00365825">
            <w:pPr>
              <w:rPr>
                <w:rFonts w:eastAsia="Arial" w:cstheme="minorHAnsi"/>
                <w:color w:val="000000" w:themeColor="text1"/>
                <w:sz w:val="20"/>
                <w:szCs w:val="20"/>
              </w:rPr>
            </w:pPr>
            <w:r w:rsidRPr="00CA4ABC">
              <w:rPr>
                <w:rFonts w:eastAsia="Arial" w:cstheme="minorHAnsi"/>
                <w:color w:val="000000" w:themeColor="text1"/>
                <w:sz w:val="20"/>
                <w:szCs w:val="20"/>
              </w:rPr>
              <w:t>0.</w:t>
            </w:r>
            <w:r w:rsidR="003B0B89" w:rsidRPr="00CA4ABC">
              <w:rPr>
                <w:rFonts w:eastAsia="Arial" w:cstheme="minorHAnsi"/>
                <w:color w:val="000000" w:themeColor="text1"/>
                <w:sz w:val="20"/>
                <w:szCs w:val="20"/>
              </w:rPr>
              <w:t>58</w:t>
            </w:r>
            <w:r w:rsidRPr="00CA4ABC">
              <w:rPr>
                <w:rFonts w:eastAsia="Arial" w:cstheme="minorHAnsi"/>
                <w:color w:val="000000" w:themeColor="text1"/>
                <w:sz w:val="20"/>
                <w:szCs w:val="20"/>
              </w:rPr>
              <w:t xml:space="preserve"> (0.1</w:t>
            </w:r>
            <w:r w:rsidR="003B0B89" w:rsidRPr="00CA4ABC">
              <w:rPr>
                <w:rFonts w:eastAsia="Arial" w:cstheme="minorHAnsi"/>
                <w:color w:val="000000" w:themeColor="text1"/>
                <w:sz w:val="20"/>
                <w:szCs w:val="20"/>
              </w:rPr>
              <w:t>6</w:t>
            </w:r>
            <w:r w:rsidRPr="00CA4ABC">
              <w:rPr>
                <w:rFonts w:eastAsia="Arial" w:cstheme="minorHAnsi"/>
                <w:color w:val="000000" w:themeColor="text1"/>
                <w:sz w:val="20"/>
                <w:szCs w:val="20"/>
              </w:rPr>
              <w:t>)</w:t>
            </w:r>
          </w:p>
        </w:tc>
        <w:tc>
          <w:tcPr>
            <w:tcW w:w="1125" w:type="dxa"/>
          </w:tcPr>
          <w:p w14:paraId="3D9B3BA2"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w:t>
            </w:r>
          </w:p>
        </w:tc>
        <w:tc>
          <w:tcPr>
            <w:tcW w:w="1345" w:type="dxa"/>
          </w:tcPr>
          <w:p w14:paraId="074B9996" w14:textId="1B85FF15"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1.</w:t>
            </w:r>
            <w:r w:rsidR="003B0B89" w:rsidRPr="00CA4ABC">
              <w:rPr>
                <w:rFonts w:cstheme="minorHAnsi"/>
                <w:color w:val="000000" w:themeColor="text1"/>
                <w:sz w:val="20"/>
                <w:szCs w:val="20"/>
              </w:rPr>
              <w:t>66</w:t>
            </w:r>
            <w:r w:rsidRPr="00CA4ABC">
              <w:rPr>
                <w:rFonts w:cstheme="minorHAnsi"/>
                <w:color w:val="000000" w:themeColor="text1"/>
                <w:sz w:val="20"/>
                <w:szCs w:val="20"/>
              </w:rPr>
              <w:t xml:space="preserve"> (0.5</w:t>
            </w:r>
            <w:r w:rsidR="003B0B89" w:rsidRPr="00CA4ABC">
              <w:rPr>
                <w:rFonts w:cstheme="minorHAnsi"/>
                <w:color w:val="000000" w:themeColor="text1"/>
                <w:sz w:val="20"/>
                <w:szCs w:val="20"/>
              </w:rPr>
              <w:t>6</w:t>
            </w:r>
            <w:r w:rsidRPr="00CA4ABC">
              <w:rPr>
                <w:rFonts w:cstheme="minorHAnsi"/>
                <w:color w:val="000000" w:themeColor="text1"/>
                <w:sz w:val="20"/>
                <w:szCs w:val="20"/>
              </w:rPr>
              <w:t>)</w:t>
            </w:r>
          </w:p>
        </w:tc>
        <w:tc>
          <w:tcPr>
            <w:tcW w:w="1185" w:type="dxa"/>
          </w:tcPr>
          <w:p w14:paraId="7A4FB9E6" w14:textId="77777777" w:rsidR="0068709E" w:rsidRPr="00CA4ABC" w:rsidRDefault="0068709E" w:rsidP="00365825">
            <w:pPr>
              <w:rPr>
                <w:rFonts w:cstheme="minorHAnsi"/>
                <w:color w:val="000000" w:themeColor="text1"/>
                <w:sz w:val="20"/>
                <w:szCs w:val="20"/>
              </w:rPr>
            </w:pPr>
            <w:r w:rsidRPr="00CA4ABC">
              <w:rPr>
                <w:rFonts w:cstheme="minorHAnsi"/>
                <w:color w:val="000000" w:themeColor="text1"/>
                <w:sz w:val="20"/>
                <w:szCs w:val="20"/>
              </w:rPr>
              <w:t>-</w:t>
            </w:r>
          </w:p>
        </w:tc>
        <w:tc>
          <w:tcPr>
            <w:tcW w:w="1185" w:type="dxa"/>
          </w:tcPr>
          <w:p w14:paraId="5F9BA56A" w14:textId="13D0F654" w:rsidR="0068709E" w:rsidRPr="00CA4ABC" w:rsidRDefault="003B0B89" w:rsidP="00365825">
            <w:pPr>
              <w:rPr>
                <w:rFonts w:cstheme="minorHAnsi"/>
                <w:color w:val="000000" w:themeColor="text1"/>
                <w:sz w:val="20"/>
                <w:szCs w:val="20"/>
              </w:rPr>
            </w:pPr>
            <w:r w:rsidRPr="00CA4ABC">
              <w:rPr>
                <w:rFonts w:cstheme="minorHAnsi"/>
                <w:color w:val="000000" w:themeColor="text1"/>
                <w:sz w:val="20"/>
                <w:szCs w:val="20"/>
              </w:rPr>
              <w:t>&lt;0.05</w:t>
            </w:r>
            <w:r w:rsidR="005C2052" w:rsidRPr="00CA4ABC">
              <w:rPr>
                <w:rFonts w:cstheme="minorHAnsi"/>
                <w:color w:val="000000" w:themeColor="text1"/>
                <w:sz w:val="20"/>
                <w:szCs w:val="20"/>
              </w:rPr>
              <w:t>*</w:t>
            </w:r>
          </w:p>
        </w:tc>
      </w:tr>
    </w:tbl>
    <w:p w14:paraId="73E8451E" w14:textId="688BB9F2" w:rsidR="0068709E" w:rsidRPr="008C235B" w:rsidRDefault="0068709E" w:rsidP="0068709E">
      <w:pPr>
        <w:pStyle w:val="Caption"/>
        <w:spacing w:line="360" w:lineRule="auto"/>
        <w:rPr>
          <w:rFonts w:cstheme="minorHAnsi"/>
          <w:i w:val="0"/>
          <w:iCs w:val="0"/>
          <w:color w:val="000000" w:themeColor="text1"/>
          <w:sz w:val="24"/>
          <w:szCs w:val="24"/>
        </w:rPr>
        <w:sectPr w:rsidR="0068709E" w:rsidRPr="008C235B" w:rsidSect="0068709E">
          <w:type w:val="continuous"/>
          <w:pgSz w:w="11900" w:h="16840"/>
          <w:pgMar w:top="1440" w:right="1440" w:bottom="1440" w:left="1440" w:header="708" w:footer="708" w:gutter="0"/>
          <w:cols w:space="708"/>
          <w:docGrid w:linePitch="360"/>
        </w:sectPr>
      </w:pPr>
      <w:bookmarkStart w:id="128" w:name="_Ref121297743"/>
      <w:bookmarkStart w:id="129" w:name="_Ref121297726"/>
      <w:bookmarkStart w:id="130" w:name="_Toc122956572"/>
      <w:r w:rsidRPr="008C235B">
        <w:rPr>
          <w:rFonts w:cstheme="minorHAnsi"/>
          <w:i w:val="0"/>
          <w:iCs w:val="0"/>
          <w:color w:val="000000" w:themeColor="text1"/>
          <w:sz w:val="24"/>
          <w:szCs w:val="24"/>
        </w:rPr>
        <w:t xml:space="preserve">Table </w:t>
      </w:r>
      <w:r w:rsidRPr="008C235B">
        <w:rPr>
          <w:rFonts w:cstheme="minorHAnsi"/>
          <w:i w:val="0"/>
          <w:iCs w:val="0"/>
          <w:color w:val="000000" w:themeColor="text1"/>
          <w:sz w:val="24"/>
          <w:szCs w:val="24"/>
        </w:rPr>
        <w:fldChar w:fldCharType="begin"/>
      </w:r>
      <w:r w:rsidRPr="008C235B">
        <w:rPr>
          <w:rFonts w:cstheme="minorHAnsi"/>
          <w:i w:val="0"/>
          <w:iCs w:val="0"/>
          <w:color w:val="000000" w:themeColor="text1"/>
          <w:sz w:val="24"/>
          <w:szCs w:val="24"/>
        </w:rPr>
        <w:instrText xml:space="preserve"> SEQ Table \* ARABIC </w:instrText>
      </w:r>
      <w:r w:rsidRPr="008C235B">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7</w:t>
      </w:r>
      <w:r w:rsidRPr="008C235B">
        <w:rPr>
          <w:rFonts w:cstheme="minorHAnsi"/>
          <w:i w:val="0"/>
          <w:iCs w:val="0"/>
          <w:color w:val="000000" w:themeColor="text1"/>
          <w:sz w:val="24"/>
          <w:szCs w:val="24"/>
        </w:rPr>
        <w:fldChar w:fldCharType="end"/>
      </w:r>
      <w:bookmarkEnd w:id="128"/>
      <w:r w:rsidR="008C235B" w:rsidRPr="008C235B">
        <w:rPr>
          <w:rFonts w:cstheme="minorHAnsi"/>
          <w:i w:val="0"/>
          <w:iCs w:val="0"/>
          <w:color w:val="000000" w:themeColor="text1"/>
          <w:sz w:val="24"/>
          <w:szCs w:val="24"/>
        </w:rPr>
        <w:t>. A</w:t>
      </w:r>
      <w:r w:rsidRPr="008C235B">
        <w:rPr>
          <w:rFonts w:cstheme="minorHAnsi"/>
          <w:i w:val="0"/>
          <w:iCs w:val="0"/>
          <w:color w:val="000000" w:themeColor="text1"/>
          <w:sz w:val="24"/>
          <w:szCs w:val="24"/>
        </w:rPr>
        <w:t>verage dietary intake data, based on 24-hour recall responses, for all participants (with misreporters removed) (n=306).</w:t>
      </w:r>
      <w:bookmarkEnd w:id="129"/>
      <w:bookmarkEnd w:id="130"/>
    </w:p>
    <w:p w14:paraId="0A351896" w14:textId="37D6F0E1"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 xml:space="preserve"> </w:t>
      </w:r>
    </w:p>
    <w:p w14:paraId="41107515" w14:textId="7CADA40D" w:rsidR="0068709E" w:rsidRPr="00CA4ABC" w:rsidRDefault="0068709E" w:rsidP="005D4B99">
      <w:pPr>
        <w:spacing w:line="360" w:lineRule="auto"/>
        <w:ind w:firstLine="720"/>
        <w:rPr>
          <w:rFonts w:cstheme="minorHAnsi"/>
          <w:color w:val="000000" w:themeColor="text1"/>
        </w:rPr>
        <w:sectPr w:rsidR="0068709E" w:rsidRPr="00CA4ABC" w:rsidSect="0068709E">
          <w:type w:val="continuous"/>
          <w:pgSz w:w="11900" w:h="16840"/>
          <w:pgMar w:top="1440" w:right="1440" w:bottom="1440" w:left="1440" w:header="708" w:footer="708" w:gutter="0"/>
          <w:cols w:space="708"/>
          <w:docGrid w:linePitch="360"/>
        </w:sectPr>
      </w:pPr>
    </w:p>
    <w:p w14:paraId="0C80420E" w14:textId="2967321E" w:rsidR="00F13BED" w:rsidRPr="00CA4ABC" w:rsidRDefault="00D323D0" w:rsidP="004053D7">
      <w:pPr>
        <w:pStyle w:val="Heading3"/>
        <w:spacing w:line="360" w:lineRule="auto"/>
        <w:rPr>
          <w:rFonts w:asciiTheme="minorHAnsi" w:hAnsiTheme="minorHAnsi" w:cstheme="minorHAnsi"/>
          <w:color w:val="000000" w:themeColor="text1"/>
        </w:rPr>
      </w:pPr>
      <w:bookmarkStart w:id="131" w:name="_Toc135384300"/>
      <w:r w:rsidRPr="00CA4ABC">
        <w:rPr>
          <w:rFonts w:asciiTheme="minorHAnsi" w:hAnsiTheme="minorHAnsi" w:cstheme="minorHAnsi"/>
          <w:color w:val="000000" w:themeColor="text1"/>
        </w:rPr>
        <w:lastRenderedPageBreak/>
        <w:t>3.5.4</w:t>
      </w:r>
      <w:r w:rsidR="00A63B28" w:rsidRPr="00CA4ABC">
        <w:rPr>
          <w:rFonts w:asciiTheme="minorHAnsi" w:hAnsiTheme="minorHAnsi" w:cstheme="minorHAnsi"/>
          <w:color w:val="000000" w:themeColor="text1"/>
        </w:rPr>
        <w:t xml:space="preserve">.1 </w:t>
      </w:r>
      <w:r w:rsidR="00F13BED" w:rsidRPr="00CA4ABC">
        <w:rPr>
          <w:rFonts w:asciiTheme="minorHAnsi" w:hAnsiTheme="minorHAnsi" w:cstheme="minorHAnsi"/>
          <w:color w:val="000000" w:themeColor="text1"/>
        </w:rPr>
        <w:t>Protein intakes</w:t>
      </w:r>
      <w:bookmarkEnd w:id="131"/>
    </w:p>
    <w:p w14:paraId="2F72C7B0" w14:textId="72866033"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Further exploration for all participants w</w:t>
      </w:r>
      <w:r w:rsidR="00AC128E" w:rsidRPr="00CA4ABC">
        <w:rPr>
          <w:rFonts w:cstheme="minorHAnsi"/>
          <w:color w:val="000000" w:themeColor="text1"/>
        </w:rPr>
        <w:t>as</w:t>
      </w:r>
      <w:r w:rsidRPr="00CA4ABC">
        <w:rPr>
          <w:rFonts w:cstheme="minorHAnsi"/>
          <w:color w:val="000000" w:themeColor="text1"/>
        </w:rPr>
        <w:t xml:space="preserve"> carried out to identify </w:t>
      </w:r>
      <w:r w:rsidR="001920B8" w:rsidRPr="00CA4ABC">
        <w:rPr>
          <w:rFonts w:cstheme="minorHAnsi"/>
          <w:color w:val="000000" w:themeColor="text1"/>
        </w:rPr>
        <w:t>participants</w:t>
      </w:r>
      <w:r w:rsidRPr="00CA4ABC">
        <w:rPr>
          <w:rFonts w:cstheme="minorHAnsi"/>
          <w:color w:val="000000" w:themeColor="text1"/>
        </w:rPr>
        <w:t xml:space="preserve"> achieving protein guidelines, as well as looking at protein intakes across age groups; younger (18-54 years) and older (55 years old +). This data is </w:t>
      </w:r>
      <w:r w:rsidR="00A63B28" w:rsidRPr="00CA4ABC">
        <w:rPr>
          <w:rFonts w:cstheme="minorHAnsi"/>
          <w:color w:val="000000" w:themeColor="text1"/>
        </w:rPr>
        <w:t>summarised</w:t>
      </w:r>
      <w:r w:rsidRPr="00CA4ABC">
        <w:rPr>
          <w:rFonts w:cstheme="minorHAnsi"/>
          <w:color w:val="000000" w:themeColor="text1"/>
        </w:rPr>
        <w:t xml:space="preserve"> in </w:t>
      </w:r>
      <w:r w:rsidR="0051083F" w:rsidRPr="00CA4ABC">
        <w:rPr>
          <w:rFonts w:cstheme="minorHAnsi"/>
          <w:color w:val="000000" w:themeColor="text1"/>
        </w:rPr>
        <w:fldChar w:fldCharType="begin"/>
      </w:r>
      <w:r w:rsidR="0051083F" w:rsidRPr="00CA4ABC">
        <w:rPr>
          <w:rFonts w:cstheme="minorHAnsi"/>
          <w:color w:val="000000" w:themeColor="text1"/>
        </w:rPr>
        <w:instrText xml:space="preserve"> REF _Ref121298027 \h </w:instrText>
      </w:r>
      <w:r w:rsidR="00B37ED2" w:rsidRPr="00CA4ABC">
        <w:rPr>
          <w:rFonts w:cstheme="minorHAnsi"/>
          <w:color w:val="000000" w:themeColor="text1"/>
        </w:rPr>
        <w:instrText xml:space="preserve"> \* MERGEFORMAT </w:instrText>
      </w:r>
      <w:r w:rsidR="0051083F" w:rsidRPr="00CA4ABC">
        <w:rPr>
          <w:rFonts w:cstheme="minorHAnsi"/>
          <w:color w:val="000000" w:themeColor="text1"/>
        </w:rPr>
      </w:r>
      <w:r w:rsidR="0051083F"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8</w:t>
      </w:r>
      <w:r w:rsidR="0051083F" w:rsidRPr="00CA4ABC">
        <w:rPr>
          <w:rFonts w:cstheme="minorHAnsi"/>
          <w:color w:val="000000" w:themeColor="text1"/>
        </w:rPr>
        <w:fldChar w:fldCharType="end"/>
      </w:r>
      <w:r w:rsidRPr="00CA4ABC">
        <w:rPr>
          <w:rFonts w:cstheme="minorHAnsi"/>
          <w:color w:val="000000" w:themeColor="text1"/>
        </w:rPr>
        <w:t xml:space="preserve">. 214 participants </w:t>
      </w:r>
      <w:r w:rsidR="00AC128E" w:rsidRPr="00CA4ABC">
        <w:rPr>
          <w:rFonts w:cstheme="minorHAnsi"/>
          <w:color w:val="000000" w:themeColor="text1"/>
        </w:rPr>
        <w:t>met</w:t>
      </w:r>
      <w:r w:rsidRPr="00CA4ABC">
        <w:rPr>
          <w:rFonts w:cstheme="minorHAnsi"/>
          <w:color w:val="000000" w:themeColor="text1"/>
        </w:rPr>
        <w:t xml:space="preserve"> UK RNI guidelines (0.75g/kg BM/d). 156 and 108 </w:t>
      </w:r>
      <w:r w:rsidR="00AC128E" w:rsidRPr="00CA4ABC">
        <w:rPr>
          <w:rFonts w:cstheme="minorHAnsi"/>
          <w:color w:val="000000" w:themeColor="text1"/>
        </w:rPr>
        <w:t>met</w:t>
      </w:r>
      <w:r w:rsidRPr="00CA4ABC">
        <w:rPr>
          <w:rFonts w:cstheme="minorHAnsi"/>
          <w:color w:val="000000" w:themeColor="text1"/>
        </w:rPr>
        <w:t xml:space="preserve"> higher guidelines of 1g and 1.2g/kg BM</w:t>
      </w:r>
      <w:r w:rsidR="005D4B99" w:rsidRPr="00CA4ABC">
        <w:rPr>
          <w:rFonts w:cstheme="minorHAnsi"/>
          <w:color w:val="000000" w:themeColor="text1"/>
        </w:rPr>
        <w:t>/</w:t>
      </w:r>
      <w:r w:rsidRPr="00CA4ABC">
        <w:rPr>
          <w:rFonts w:cstheme="minorHAnsi"/>
          <w:color w:val="000000" w:themeColor="text1"/>
        </w:rPr>
        <w:t>d, respectively, promoted by ESPEN</w:t>
      </w:r>
      <w:r w:rsidR="00A63B28" w:rsidRPr="00CA4ABC">
        <w:rPr>
          <w:rFonts w:cstheme="minorHAnsi"/>
          <w:color w:val="000000" w:themeColor="text1"/>
        </w:rPr>
        <w:t xml:space="preserve"> </w:t>
      </w:r>
      <w:r w:rsidR="00A63B28"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{"citationItems":[{"id":"ITEM-1","itemData":{"DOI":"10.1016/j.clnu.2014.04.007","ISSN":"15321983","abstract":"The aging process is associated with gradual and progressive loss of muscle mass along with lowered strength and physical endurance. This condition, sarcopenia, has been widely observed with aging in sedentary adults. Regular aerobic and resistance exercise programs have been shown to counteract most aspects of sarcopenia. In addition, good nutrition, especially adequate protein and energy intake, can help limit and treat age-related declines in muscle mass, strength, and functional abilities. Protein nutrition in combination with exercise is considered optimal for maintaining muscle function. With the goal of providing recommendations for health care professionals to help older adults sustain muscle strength and function into older age, the European Society for Clinical Nutrition and Metabolism (ESPEN) hosted a Workshop on Protein Requirements in the Elderly, held in Dubrovnik on November 24 and 25, 2013. Based on the evidence presented and discussed, the following recommendations are made (a) for healthy older people, the diet should provide at least 1.0-1.2g protein/kg body weight/day, (b) for older people who are malnourished or at risk of malnutrition because they have acute or chronic illness, the diet should provide 1.2-1.5g protein/kg body weight/day, with even higher intake for individuals with severe illness or injury, and (c) daily physical activity or exercise (resistance training, aerobic exercise) should be undertaken by all older people, for as long as possible.","author":[{"dropping-particle":"","family":"Deutz","given":"Nicolaas E.P.","non-dropping-particle":"","parse-names":false,"suffix":""},{"dropping-particle":"","family":"Bauer","given":"Jürgen M.","non-dropping-particle":"","parse-names":false,"suffix":""},{"dropping-particle":"","family":"Barazzoni","given":"Rocco","non-dropping-particle":"","parse-names":false,"suffix":""},{"dropping-particle":"","family":"Biolo","given":"Gianni","non-dropping-particle":"","parse-names":false,"suffix":""},{"dropping-particle":"","family":"Boirie","given":"Yves","non-dropping-particle":"","parse-names":false,"suffix":""},{"dropping-particle":"","family":"Bosy-Westphal","given":"Anja","non-dropping-particle":"","parse-names":false,"suffix":""},{"dropping-particle":"","family":"Cederholm","given":"Tommy","non-dropping-particle":"","parse-names":false,"suffix":""},{"dropping-particle":"","family":"Cruz-Jentoft","given":"Alfonso","non-dropping-particle":"","parse-names":false,"suffix":""},{"dropping-particle":"","family":"Krznariç","given":"Zeljko","non-dropping-particle":"","parse-names":false,"suffix":""},{"dropping-particle":"","family":"Nair","given":"K. Sreekumaran","non-dropping-particle":"","parse-names":false,"suffix":""},{"dropping-particle":"","family":"Singer","given":"Pierre","non-dropping-particle":"","parse-names":false,"suffix":""},{"dropping-particle":"","family":"Teta","given":"Daniel","non-dropping-particle":"","parse-names":false,"suffix":""},{"dropping-particle":"","family":"Tipton","given":"Kevin","non-dropping-particle":"","parse-names":false,"suffix":""},{"dropping-particle":"","family":"Calder","given":"Philip C.","non-dropping-particle":"","parse-names":false,"suffix":""}],"container-title":"Clinical Nutrition","id":"ITEM-1","issued":{"date-parts":[["2014"]]},"title":"Protein intake and exercise for optimal muscle function with aging: Recommendations from the ESPEN Expert Group","type":"article-journal"},"uris":["http://www.mendeley.com/documents/?uuid=73b791c1-3d5a-31ed-b150-70a06082da9b"]}],"mendeley":{"formattedCitation":"(88)","plainTextFormattedCitation":"(88)","previouslyFormattedCitation":"(88)"},"properties":{"noteIndex":0},"schema":"https://github.com/citation-style-language/schema/raw/master/csl-citation.json"}</w:instrText>
      </w:r>
      <w:r w:rsidR="00A63B28" w:rsidRPr="00CA4ABC">
        <w:rPr>
          <w:rFonts w:cstheme="minorHAnsi"/>
          <w:color w:val="000000" w:themeColor="text1"/>
        </w:rPr>
        <w:fldChar w:fldCharType="separate"/>
      </w:r>
      <w:r w:rsidR="00057AE3" w:rsidRPr="00057AE3">
        <w:rPr>
          <w:rFonts w:cstheme="minorHAnsi"/>
          <w:noProof/>
          <w:color w:val="000000" w:themeColor="text1"/>
        </w:rPr>
        <w:t>(88)</w:t>
      </w:r>
      <w:r w:rsidR="00A63B28" w:rsidRPr="00CA4ABC">
        <w:rPr>
          <w:rFonts w:cstheme="minorHAnsi"/>
          <w:color w:val="000000" w:themeColor="text1"/>
        </w:rPr>
        <w:fldChar w:fldCharType="end"/>
      </w:r>
      <w:r w:rsidRPr="00CA4ABC">
        <w:rPr>
          <w:rFonts w:cstheme="minorHAnsi"/>
          <w:color w:val="000000" w:themeColor="text1"/>
        </w:rPr>
        <w:t xml:space="preserve">. </w:t>
      </w:r>
    </w:p>
    <w:p w14:paraId="3F1AF84C" w14:textId="16F90E10" w:rsidR="00F13BED" w:rsidRPr="00CA4ABC" w:rsidRDefault="0057276C" w:rsidP="004053D7">
      <w:pPr>
        <w:spacing w:line="360" w:lineRule="auto"/>
        <w:rPr>
          <w:rFonts w:cstheme="minorHAnsi"/>
          <w:color w:val="000000" w:themeColor="text1"/>
        </w:rPr>
      </w:pPr>
      <w:r w:rsidRPr="00CA4ABC">
        <w:rPr>
          <w:rFonts w:cstheme="minorHAnsi"/>
          <w:b/>
          <w:bCs/>
          <w:noProof/>
          <w:color w:val="000000" w:themeColor="text1"/>
        </w:rPr>
        <mc:AlternateContent>
          <mc:Choice Requires="wps">
            <w:drawing>
              <wp:anchor distT="0" distB="0" distL="114300" distR="114300" simplePos="0" relativeHeight="251695104" behindDoc="0" locked="0" layoutInCell="1" allowOverlap="1" wp14:anchorId="73906050" wp14:editId="2157703E">
                <wp:simplePos x="0" y="0"/>
                <wp:positionH relativeFrom="column">
                  <wp:posOffset>1842770</wp:posOffset>
                </wp:positionH>
                <wp:positionV relativeFrom="paragraph">
                  <wp:posOffset>252871</wp:posOffset>
                </wp:positionV>
                <wp:extent cx="0" cy="2483485"/>
                <wp:effectExtent l="12700" t="0" r="25400" b="31115"/>
                <wp:wrapNone/>
                <wp:docPr id="3" name="Straight Connector 3"/>
                <wp:cNvGraphicFramePr/>
                <a:graphic xmlns:a="http://schemas.openxmlformats.org/drawingml/2006/main">
                  <a:graphicData uri="http://schemas.microsoft.com/office/word/2010/wordprocessingShape">
                    <wps:wsp>
                      <wps:cNvCnPr/>
                      <wps:spPr>
                        <a:xfrm flipH="1">
                          <a:off x="0" y="0"/>
                          <a:ext cx="0" cy="2483485"/>
                        </a:xfrm>
                        <a:prstGeom prst="line">
                          <a:avLst/>
                        </a:prstGeom>
                        <a:ln w="41275"/>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line w14:anchorId="291DE7B3" id="Straight Connector 3" o:spid="_x0000_s1026"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1pt,19.9pt" to="145.1pt,215.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" strokecolor="black [3200]" strokeweight="3.25pt">
                <v:stroke joinstyle="miter"/>
              </v:line>
            </w:pict>
          </mc:Fallback>
        </mc:AlternateContent>
      </w:r>
    </w:p>
    <w:tbl>
      <w:tblPr>
        <w:tblStyle w:val="TableGrid"/>
        <w:tblW w:w="11058" w:type="dxa"/>
        <w:tblInd w:w="-998" w:type="dxa"/>
        <w:tblLook w:val="04A0" w:firstRow="1" w:lastRow="0" w:firstColumn="1" w:lastColumn="0" w:noHBand="0" w:noVBand="1"/>
      </w:tblPr>
      <w:tblGrid>
        <w:gridCol w:w="2127"/>
        <w:gridCol w:w="1789"/>
        <w:gridCol w:w="1784"/>
        <w:gridCol w:w="1688"/>
        <w:gridCol w:w="1688"/>
        <w:gridCol w:w="1982"/>
      </w:tblGrid>
      <w:tr w:rsidR="004053D7" w:rsidRPr="00CA4ABC" w14:paraId="1D1FC41F" w14:textId="77777777" w:rsidTr="00E66222">
        <w:trPr>
          <w:trHeight w:val="714"/>
        </w:trPr>
        <w:tc>
          <w:tcPr>
            <w:tcW w:w="2127" w:type="dxa"/>
          </w:tcPr>
          <w:p w14:paraId="08B44F75" w14:textId="77777777" w:rsidR="00F13BED" w:rsidRPr="00CA4ABC" w:rsidRDefault="00F13BED" w:rsidP="005D4B99">
            <w:pPr>
              <w:rPr>
                <w:rFonts w:cstheme="minorHAnsi"/>
                <w:color w:val="000000" w:themeColor="text1"/>
              </w:rPr>
            </w:pPr>
          </w:p>
        </w:tc>
        <w:tc>
          <w:tcPr>
            <w:tcW w:w="1789" w:type="dxa"/>
          </w:tcPr>
          <w:p w14:paraId="0858F8CD" w14:textId="430E4EFD" w:rsidR="00F13BED" w:rsidRPr="00CA4ABC" w:rsidRDefault="00F13BED" w:rsidP="005D4B99">
            <w:pPr>
              <w:rPr>
                <w:rFonts w:cstheme="minorHAnsi"/>
                <w:b/>
                <w:bCs/>
                <w:color w:val="000000" w:themeColor="text1"/>
              </w:rPr>
            </w:pPr>
            <w:r w:rsidRPr="00CA4ABC">
              <w:rPr>
                <w:rFonts w:cstheme="minorHAnsi"/>
                <w:b/>
                <w:bCs/>
                <w:color w:val="000000" w:themeColor="text1"/>
              </w:rPr>
              <w:t>All participants</w:t>
            </w:r>
          </w:p>
        </w:tc>
        <w:tc>
          <w:tcPr>
            <w:tcW w:w="1784" w:type="dxa"/>
          </w:tcPr>
          <w:p w14:paraId="584D73EA"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Consuming &gt;0.75g/kg BM</w:t>
            </w:r>
          </w:p>
        </w:tc>
        <w:tc>
          <w:tcPr>
            <w:tcW w:w="1688" w:type="dxa"/>
          </w:tcPr>
          <w:p w14:paraId="2E64AEA0"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Consuming &gt;1g/kg BM</w:t>
            </w:r>
          </w:p>
        </w:tc>
        <w:tc>
          <w:tcPr>
            <w:tcW w:w="1688" w:type="dxa"/>
          </w:tcPr>
          <w:p w14:paraId="678C0910" w14:textId="77777777" w:rsidR="00F13BED" w:rsidRPr="00CA4ABC" w:rsidRDefault="00F13BED" w:rsidP="005D4B99">
            <w:pPr>
              <w:rPr>
                <w:rFonts w:cstheme="minorHAnsi"/>
                <w:b/>
                <w:bCs/>
                <w:color w:val="000000" w:themeColor="text1"/>
              </w:rPr>
            </w:pPr>
            <w:r w:rsidRPr="00CA4ABC">
              <w:rPr>
                <w:rFonts w:cstheme="minorHAnsi"/>
                <w:b/>
                <w:bCs/>
                <w:color w:val="000000" w:themeColor="text1"/>
              </w:rPr>
              <w:t>Consuming &gt;1.2g/kg BM</w:t>
            </w:r>
          </w:p>
        </w:tc>
        <w:tc>
          <w:tcPr>
            <w:tcW w:w="1982" w:type="dxa"/>
          </w:tcPr>
          <w:p w14:paraId="02449BF5" w14:textId="7A028D65" w:rsidR="00F13BED" w:rsidRPr="00CA4ABC" w:rsidRDefault="00E66222" w:rsidP="005D4B99">
            <w:pPr>
              <w:rPr>
                <w:rFonts w:cstheme="minorHAnsi"/>
                <w:b/>
                <w:bCs/>
                <w:color w:val="000000" w:themeColor="text1"/>
              </w:rPr>
            </w:pPr>
            <w:r w:rsidRPr="00CA4ABC">
              <w:rPr>
                <w:rFonts w:cstheme="minorHAnsi"/>
                <w:b/>
                <w:bCs/>
                <w:color w:val="000000" w:themeColor="text1"/>
              </w:rPr>
              <w:t>A calculation of</w:t>
            </w:r>
            <w:r w:rsidR="002F5214" w:rsidRPr="00CA4ABC">
              <w:rPr>
                <w:rFonts w:cstheme="minorHAnsi"/>
                <w:b/>
                <w:bCs/>
                <w:color w:val="000000" w:themeColor="text1"/>
              </w:rPr>
              <w:t xml:space="preserve"> </w:t>
            </w:r>
            <w:r w:rsidR="00F13BED" w:rsidRPr="00CA4ABC">
              <w:rPr>
                <w:rFonts w:cstheme="minorHAnsi"/>
                <w:b/>
                <w:bCs/>
                <w:color w:val="000000" w:themeColor="text1"/>
              </w:rPr>
              <w:t>&gt;0.3</w:t>
            </w:r>
            <w:r w:rsidRPr="00CA4ABC">
              <w:rPr>
                <w:rFonts w:cstheme="minorHAnsi"/>
                <w:b/>
                <w:bCs/>
                <w:color w:val="000000" w:themeColor="text1"/>
              </w:rPr>
              <w:t xml:space="preserve"> by protein screener</w:t>
            </w:r>
            <w:r w:rsidR="002F5214" w:rsidRPr="00CA4ABC">
              <w:rPr>
                <w:rFonts w:cstheme="minorHAnsi"/>
                <w:b/>
                <w:bCs/>
                <w:color w:val="000000" w:themeColor="text1"/>
              </w:rPr>
              <w:t xml:space="preserve"> (i.e. </w:t>
            </w:r>
            <w:r w:rsidRPr="00CA4ABC">
              <w:rPr>
                <w:rFonts w:cstheme="minorHAnsi"/>
                <w:b/>
                <w:bCs/>
                <w:color w:val="000000" w:themeColor="text1"/>
              </w:rPr>
              <w:t>predicted</w:t>
            </w:r>
            <w:r w:rsidR="0057276C" w:rsidRPr="00CA4ABC">
              <w:rPr>
                <w:rFonts w:cstheme="minorHAnsi"/>
                <w:b/>
                <w:bCs/>
                <w:color w:val="000000" w:themeColor="text1"/>
              </w:rPr>
              <w:t xml:space="preserve"> as</w:t>
            </w:r>
            <w:r w:rsidR="002F5214" w:rsidRPr="00CA4ABC">
              <w:rPr>
                <w:rFonts w:cstheme="minorHAnsi"/>
                <w:b/>
                <w:bCs/>
                <w:color w:val="000000" w:themeColor="text1"/>
              </w:rPr>
              <w:t xml:space="preserve"> protein deficien</w:t>
            </w:r>
            <w:r w:rsidR="0057276C" w:rsidRPr="00CA4ABC">
              <w:rPr>
                <w:rFonts w:cstheme="minorHAnsi"/>
                <w:b/>
                <w:bCs/>
                <w:color w:val="000000" w:themeColor="text1"/>
              </w:rPr>
              <w:t>t</w:t>
            </w:r>
            <w:r w:rsidR="002F5214" w:rsidRPr="00CA4ABC">
              <w:rPr>
                <w:rFonts w:cstheme="minorHAnsi"/>
                <w:b/>
                <w:bCs/>
                <w:color w:val="000000" w:themeColor="text1"/>
              </w:rPr>
              <w:t>)</w:t>
            </w:r>
          </w:p>
        </w:tc>
      </w:tr>
      <w:tr w:rsidR="004053D7" w:rsidRPr="00CA4ABC" w14:paraId="6BACD22B" w14:textId="77777777" w:rsidTr="00E66222">
        <w:trPr>
          <w:trHeight w:val="440"/>
        </w:trPr>
        <w:tc>
          <w:tcPr>
            <w:tcW w:w="2127" w:type="dxa"/>
          </w:tcPr>
          <w:p w14:paraId="6FA11217" w14:textId="143B06EB" w:rsidR="00F13BED" w:rsidRPr="00CA4ABC" w:rsidRDefault="00F13BED" w:rsidP="005D4B99">
            <w:pPr>
              <w:rPr>
                <w:rFonts w:cstheme="minorHAnsi"/>
                <w:b/>
                <w:bCs/>
                <w:color w:val="000000" w:themeColor="text1"/>
              </w:rPr>
            </w:pPr>
            <w:r w:rsidRPr="00CA4ABC">
              <w:rPr>
                <w:rFonts w:cstheme="minorHAnsi"/>
                <w:b/>
                <w:bCs/>
                <w:color w:val="000000" w:themeColor="text1"/>
              </w:rPr>
              <w:t>Average protein Intakes [Mean (SD)]</w:t>
            </w:r>
            <w:r w:rsidR="0051083F" w:rsidRPr="00CA4ABC">
              <w:rPr>
                <w:rFonts w:cstheme="minorHAnsi"/>
                <w:b/>
                <w:bCs/>
                <w:color w:val="000000" w:themeColor="text1"/>
              </w:rPr>
              <w:t xml:space="preserve"> (g/kg Bm/d)</w:t>
            </w:r>
          </w:p>
        </w:tc>
        <w:tc>
          <w:tcPr>
            <w:tcW w:w="1789" w:type="dxa"/>
          </w:tcPr>
          <w:p w14:paraId="113FFB23" w14:textId="77777777" w:rsidR="00F13BED" w:rsidRPr="00CA4ABC" w:rsidRDefault="00F13BED" w:rsidP="005D4B99">
            <w:pPr>
              <w:rPr>
                <w:rFonts w:cstheme="minorHAnsi"/>
                <w:color w:val="000000" w:themeColor="text1"/>
              </w:rPr>
            </w:pPr>
            <w:r w:rsidRPr="00CA4ABC">
              <w:rPr>
                <w:rFonts w:cstheme="minorHAnsi"/>
                <w:color w:val="000000" w:themeColor="text1"/>
              </w:rPr>
              <w:t>1.11 (0.57)</w:t>
            </w:r>
          </w:p>
        </w:tc>
        <w:tc>
          <w:tcPr>
            <w:tcW w:w="1784" w:type="dxa"/>
          </w:tcPr>
          <w:p w14:paraId="5E922E14" w14:textId="77777777" w:rsidR="00F13BED" w:rsidRPr="00CA4ABC" w:rsidRDefault="00F13BED" w:rsidP="005D4B99">
            <w:pPr>
              <w:rPr>
                <w:rFonts w:cstheme="minorHAnsi"/>
                <w:color w:val="000000" w:themeColor="text1"/>
              </w:rPr>
            </w:pPr>
            <w:r w:rsidRPr="00CA4ABC">
              <w:rPr>
                <w:rFonts w:cstheme="minorHAnsi"/>
                <w:color w:val="000000" w:themeColor="text1"/>
              </w:rPr>
              <w:t>1.34 (0.52)]</w:t>
            </w:r>
          </w:p>
        </w:tc>
        <w:tc>
          <w:tcPr>
            <w:tcW w:w="1688" w:type="dxa"/>
          </w:tcPr>
          <w:p w14:paraId="28FE903B" w14:textId="77777777" w:rsidR="00F13BED" w:rsidRPr="00CA4ABC" w:rsidRDefault="00F13BED" w:rsidP="005D4B99">
            <w:pPr>
              <w:tabs>
                <w:tab w:val="center" w:pos="736"/>
              </w:tabs>
              <w:rPr>
                <w:rFonts w:cstheme="minorHAnsi"/>
                <w:color w:val="000000" w:themeColor="text1"/>
              </w:rPr>
            </w:pPr>
            <w:r w:rsidRPr="00CA4ABC">
              <w:rPr>
                <w:rFonts w:cstheme="minorHAnsi"/>
                <w:color w:val="000000" w:themeColor="text1"/>
              </w:rPr>
              <w:t>1.52 (0.51)</w:t>
            </w:r>
          </w:p>
        </w:tc>
        <w:tc>
          <w:tcPr>
            <w:tcW w:w="1688" w:type="dxa"/>
          </w:tcPr>
          <w:p w14:paraId="48EFEE8A" w14:textId="64F069B4" w:rsidR="00F13BED" w:rsidRPr="00CA4ABC" w:rsidRDefault="00F13BED" w:rsidP="005D4B99">
            <w:pPr>
              <w:rPr>
                <w:rFonts w:cstheme="minorHAnsi"/>
                <w:color w:val="000000" w:themeColor="text1"/>
              </w:rPr>
            </w:pPr>
            <w:r w:rsidRPr="00CA4ABC">
              <w:rPr>
                <w:rFonts w:cstheme="minorHAnsi"/>
                <w:color w:val="000000" w:themeColor="text1"/>
              </w:rPr>
              <w:t>1.69 (0.51)</w:t>
            </w:r>
          </w:p>
        </w:tc>
        <w:tc>
          <w:tcPr>
            <w:tcW w:w="1982" w:type="dxa"/>
          </w:tcPr>
          <w:p w14:paraId="379F0C6F" w14:textId="77777777" w:rsidR="00F13BED" w:rsidRPr="00CA4ABC" w:rsidRDefault="00F13BED" w:rsidP="005D4B99">
            <w:pPr>
              <w:rPr>
                <w:rFonts w:cstheme="minorHAnsi"/>
                <w:color w:val="000000" w:themeColor="text1"/>
              </w:rPr>
            </w:pPr>
            <w:r w:rsidRPr="00CA4ABC">
              <w:rPr>
                <w:rFonts w:cstheme="minorHAnsi"/>
                <w:color w:val="000000" w:themeColor="text1"/>
              </w:rPr>
              <w:t>0.88 (0.44)</w:t>
            </w:r>
          </w:p>
        </w:tc>
      </w:tr>
      <w:tr w:rsidR="002F5214" w:rsidRPr="00CA4ABC" w14:paraId="79BE938F" w14:textId="77777777" w:rsidTr="00E66222">
        <w:trPr>
          <w:trHeight w:val="440"/>
        </w:trPr>
        <w:tc>
          <w:tcPr>
            <w:tcW w:w="2127" w:type="dxa"/>
          </w:tcPr>
          <w:p w14:paraId="29752866" w14:textId="77777777" w:rsidR="002F5214" w:rsidRPr="00CA4ABC" w:rsidRDefault="002F5214" w:rsidP="005D4B99">
            <w:pPr>
              <w:rPr>
                <w:rFonts w:cstheme="minorHAnsi"/>
                <w:b/>
                <w:bCs/>
                <w:color w:val="000000" w:themeColor="text1"/>
              </w:rPr>
            </w:pPr>
          </w:p>
        </w:tc>
        <w:tc>
          <w:tcPr>
            <w:tcW w:w="1789" w:type="dxa"/>
          </w:tcPr>
          <w:p w14:paraId="0E9B88BB" w14:textId="77777777" w:rsidR="002F5214" w:rsidRPr="00CA4ABC" w:rsidRDefault="002F5214" w:rsidP="005D4B99">
            <w:pPr>
              <w:rPr>
                <w:rFonts w:cstheme="minorHAnsi"/>
                <w:color w:val="000000" w:themeColor="text1"/>
              </w:rPr>
            </w:pPr>
          </w:p>
        </w:tc>
        <w:tc>
          <w:tcPr>
            <w:tcW w:w="7142" w:type="dxa"/>
            <w:gridSpan w:val="4"/>
          </w:tcPr>
          <w:p w14:paraId="27D03644" w14:textId="08A0E884" w:rsidR="002F5214" w:rsidRPr="00CA4ABC" w:rsidRDefault="002F5214" w:rsidP="002F5214">
            <w:pPr>
              <w:jc w:val="center"/>
              <w:rPr>
                <w:rFonts w:cstheme="minorHAnsi"/>
                <w:b/>
                <w:bCs/>
                <w:color w:val="000000" w:themeColor="text1"/>
              </w:rPr>
            </w:pPr>
            <w:r w:rsidRPr="00CA4ABC">
              <w:rPr>
                <w:rFonts w:cstheme="minorHAnsi"/>
                <w:b/>
                <w:bCs/>
                <w:color w:val="000000" w:themeColor="text1"/>
              </w:rPr>
              <w:t>Number (n) of participants falling into these categories.</w:t>
            </w:r>
          </w:p>
        </w:tc>
      </w:tr>
      <w:tr w:rsidR="004053D7" w:rsidRPr="00CA4ABC" w14:paraId="70B95AE3" w14:textId="77777777" w:rsidTr="00E66222">
        <w:trPr>
          <w:trHeight w:val="440"/>
        </w:trPr>
        <w:tc>
          <w:tcPr>
            <w:tcW w:w="2127" w:type="dxa"/>
          </w:tcPr>
          <w:p w14:paraId="60079F46" w14:textId="6DD206F4" w:rsidR="00F13BED" w:rsidRPr="00CA4ABC" w:rsidRDefault="00F13BED" w:rsidP="005D4B99">
            <w:pPr>
              <w:rPr>
                <w:rFonts w:cstheme="minorHAnsi"/>
                <w:b/>
                <w:bCs/>
                <w:color w:val="000000" w:themeColor="text1"/>
              </w:rPr>
            </w:pPr>
            <w:r w:rsidRPr="00CA4ABC">
              <w:rPr>
                <w:rFonts w:cstheme="minorHAnsi"/>
                <w:b/>
                <w:bCs/>
                <w:color w:val="000000" w:themeColor="text1"/>
              </w:rPr>
              <w:t>Younger (n=18</w:t>
            </w:r>
            <w:r w:rsidR="008F19BC" w:rsidRPr="00CA4ABC">
              <w:rPr>
                <w:rFonts w:cstheme="minorHAnsi"/>
                <w:b/>
                <w:bCs/>
                <w:color w:val="000000" w:themeColor="text1"/>
              </w:rPr>
              <w:t>3</w:t>
            </w:r>
            <w:r w:rsidRPr="00CA4ABC">
              <w:rPr>
                <w:rFonts w:cstheme="minorHAnsi"/>
                <w:b/>
                <w:bCs/>
                <w:color w:val="000000" w:themeColor="text1"/>
              </w:rPr>
              <w:t>)</w:t>
            </w:r>
          </w:p>
        </w:tc>
        <w:tc>
          <w:tcPr>
            <w:tcW w:w="1789" w:type="dxa"/>
          </w:tcPr>
          <w:p w14:paraId="1F7630C0" w14:textId="77777777" w:rsidR="00F13BED" w:rsidRPr="00CA4ABC" w:rsidRDefault="00F13BED" w:rsidP="005D4B99">
            <w:pPr>
              <w:rPr>
                <w:rFonts w:cstheme="minorHAnsi"/>
                <w:color w:val="000000" w:themeColor="text1"/>
              </w:rPr>
            </w:pPr>
            <w:r w:rsidRPr="00CA4ABC">
              <w:rPr>
                <w:rFonts w:cstheme="minorHAnsi"/>
                <w:color w:val="000000" w:themeColor="text1"/>
              </w:rPr>
              <w:t>1.15 (0.59)</w:t>
            </w:r>
          </w:p>
        </w:tc>
        <w:tc>
          <w:tcPr>
            <w:tcW w:w="1784" w:type="dxa"/>
          </w:tcPr>
          <w:p w14:paraId="1438F3F2" w14:textId="77777777" w:rsidR="00F13BED" w:rsidRPr="00CA4ABC" w:rsidRDefault="00F13BED" w:rsidP="005D4B99">
            <w:pPr>
              <w:rPr>
                <w:rFonts w:cstheme="minorHAnsi"/>
                <w:color w:val="000000" w:themeColor="text1"/>
              </w:rPr>
            </w:pPr>
            <w:r w:rsidRPr="00CA4ABC">
              <w:rPr>
                <w:rFonts w:cstheme="minorHAnsi"/>
                <w:color w:val="000000" w:themeColor="text1"/>
              </w:rPr>
              <w:t>134</w:t>
            </w:r>
          </w:p>
        </w:tc>
        <w:tc>
          <w:tcPr>
            <w:tcW w:w="1688" w:type="dxa"/>
          </w:tcPr>
          <w:p w14:paraId="67F3353F" w14:textId="77777777" w:rsidR="00F13BED" w:rsidRPr="00CA4ABC" w:rsidRDefault="00F13BED" w:rsidP="005D4B99">
            <w:pPr>
              <w:rPr>
                <w:rFonts w:cstheme="minorHAnsi"/>
                <w:color w:val="000000" w:themeColor="text1"/>
              </w:rPr>
            </w:pPr>
            <w:r w:rsidRPr="00CA4ABC">
              <w:rPr>
                <w:rFonts w:cstheme="minorHAnsi"/>
                <w:color w:val="000000" w:themeColor="text1"/>
              </w:rPr>
              <w:t>99</w:t>
            </w:r>
          </w:p>
        </w:tc>
        <w:tc>
          <w:tcPr>
            <w:tcW w:w="1688" w:type="dxa"/>
          </w:tcPr>
          <w:p w14:paraId="784EA3C6" w14:textId="7FF22C78" w:rsidR="00F13BED" w:rsidRPr="00CA4ABC" w:rsidRDefault="00F13BED" w:rsidP="005D4B99">
            <w:pPr>
              <w:rPr>
                <w:rFonts w:cstheme="minorHAnsi"/>
                <w:color w:val="000000" w:themeColor="text1"/>
              </w:rPr>
            </w:pPr>
            <w:r w:rsidRPr="00CA4ABC">
              <w:rPr>
                <w:rFonts w:cstheme="minorHAnsi"/>
                <w:color w:val="000000" w:themeColor="text1"/>
              </w:rPr>
              <w:t>70</w:t>
            </w:r>
          </w:p>
        </w:tc>
        <w:tc>
          <w:tcPr>
            <w:tcW w:w="1982" w:type="dxa"/>
          </w:tcPr>
          <w:p w14:paraId="7BEDE6BA" w14:textId="2E940A15" w:rsidR="00F13BED" w:rsidRPr="00CA4ABC" w:rsidRDefault="00F13BED" w:rsidP="005D4B99">
            <w:pPr>
              <w:rPr>
                <w:rFonts w:cstheme="minorHAnsi"/>
                <w:color w:val="000000" w:themeColor="text1"/>
              </w:rPr>
            </w:pPr>
            <w:r w:rsidRPr="00CA4ABC">
              <w:rPr>
                <w:rFonts w:cstheme="minorHAnsi"/>
                <w:color w:val="000000" w:themeColor="text1"/>
              </w:rPr>
              <w:t>59</w:t>
            </w:r>
          </w:p>
        </w:tc>
      </w:tr>
      <w:tr w:rsidR="004053D7" w:rsidRPr="00CA4ABC" w14:paraId="51ABB37E" w14:textId="77777777" w:rsidTr="00E66222">
        <w:trPr>
          <w:trHeight w:val="440"/>
        </w:trPr>
        <w:tc>
          <w:tcPr>
            <w:tcW w:w="2127" w:type="dxa"/>
          </w:tcPr>
          <w:p w14:paraId="11E0B745" w14:textId="2D61C12B" w:rsidR="00F13BED" w:rsidRPr="00CA4ABC" w:rsidRDefault="00F13BED" w:rsidP="005D4B99">
            <w:pPr>
              <w:rPr>
                <w:rFonts w:cstheme="minorHAnsi"/>
                <w:b/>
                <w:bCs/>
                <w:color w:val="000000" w:themeColor="text1"/>
              </w:rPr>
            </w:pPr>
            <w:r w:rsidRPr="00CA4ABC">
              <w:rPr>
                <w:rFonts w:cstheme="minorHAnsi"/>
                <w:b/>
                <w:bCs/>
                <w:color w:val="000000" w:themeColor="text1"/>
              </w:rPr>
              <w:t>Older (55</w:t>
            </w:r>
            <w:r w:rsidR="008F19BC" w:rsidRPr="00CA4ABC">
              <w:rPr>
                <w:rFonts w:cstheme="minorHAnsi"/>
                <w:b/>
                <w:bCs/>
                <w:color w:val="000000" w:themeColor="text1"/>
              </w:rPr>
              <w:t xml:space="preserve"> </w:t>
            </w:r>
            <w:r w:rsidRPr="00CA4ABC">
              <w:rPr>
                <w:rFonts w:cstheme="minorHAnsi"/>
                <w:b/>
                <w:bCs/>
                <w:color w:val="000000" w:themeColor="text1"/>
              </w:rPr>
              <w:t>years+) (n=123)</w:t>
            </w:r>
          </w:p>
        </w:tc>
        <w:tc>
          <w:tcPr>
            <w:tcW w:w="1789" w:type="dxa"/>
          </w:tcPr>
          <w:p w14:paraId="74E38ED5" w14:textId="77777777" w:rsidR="00F13BED" w:rsidRPr="00CA4ABC" w:rsidRDefault="00F13BED" w:rsidP="005D4B99">
            <w:pPr>
              <w:rPr>
                <w:rFonts w:cstheme="minorHAnsi"/>
                <w:color w:val="000000" w:themeColor="text1"/>
              </w:rPr>
            </w:pPr>
            <w:r w:rsidRPr="00CA4ABC">
              <w:rPr>
                <w:rFonts w:cstheme="minorHAnsi"/>
                <w:color w:val="000000" w:themeColor="text1"/>
              </w:rPr>
              <w:t>1.04 (0.54)</w:t>
            </w:r>
          </w:p>
        </w:tc>
        <w:tc>
          <w:tcPr>
            <w:tcW w:w="1784" w:type="dxa"/>
          </w:tcPr>
          <w:p w14:paraId="58EB6721" w14:textId="77777777" w:rsidR="00F13BED" w:rsidRPr="00CA4ABC" w:rsidRDefault="00F13BED" w:rsidP="005D4B99">
            <w:pPr>
              <w:rPr>
                <w:rFonts w:cstheme="minorHAnsi"/>
                <w:color w:val="000000" w:themeColor="text1"/>
              </w:rPr>
            </w:pPr>
            <w:r w:rsidRPr="00CA4ABC">
              <w:rPr>
                <w:rFonts w:cstheme="minorHAnsi"/>
                <w:color w:val="000000" w:themeColor="text1"/>
              </w:rPr>
              <w:t>80</w:t>
            </w:r>
          </w:p>
        </w:tc>
        <w:tc>
          <w:tcPr>
            <w:tcW w:w="1688" w:type="dxa"/>
          </w:tcPr>
          <w:p w14:paraId="59E0509A" w14:textId="77777777" w:rsidR="00F13BED" w:rsidRPr="00CA4ABC" w:rsidRDefault="00F13BED" w:rsidP="005D4B99">
            <w:pPr>
              <w:rPr>
                <w:rFonts w:cstheme="minorHAnsi"/>
                <w:color w:val="000000" w:themeColor="text1"/>
              </w:rPr>
            </w:pPr>
            <w:r w:rsidRPr="00CA4ABC">
              <w:rPr>
                <w:rFonts w:cstheme="minorHAnsi"/>
                <w:color w:val="000000" w:themeColor="text1"/>
              </w:rPr>
              <w:t>57</w:t>
            </w:r>
          </w:p>
        </w:tc>
        <w:tc>
          <w:tcPr>
            <w:tcW w:w="1688" w:type="dxa"/>
          </w:tcPr>
          <w:p w14:paraId="0D810834" w14:textId="55A590D7" w:rsidR="00F13BED" w:rsidRPr="00CA4ABC" w:rsidRDefault="00F13BED" w:rsidP="005D4B99">
            <w:pPr>
              <w:rPr>
                <w:rFonts w:cstheme="minorHAnsi"/>
                <w:color w:val="000000" w:themeColor="text1"/>
              </w:rPr>
            </w:pPr>
            <w:r w:rsidRPr="00CA4ABC">
              <w:rPr>
                <w:rFonts w:cstheme="minorHAnsi"/>
                <w:color w:val="000000" w:themeColor="text1"/>
              </w:rPr>
              <w:t>38</w:t>
            </w:r>
          </w:p>
        </w:tc>
        <w:tc>
          <w:tcPr>
            <w:tcW w:w="1982" w:type="dxa"/>
          </w:tcPr>
          <w:p w14:paraId="2A2467B7" w14:textId="77777777" w:rsidR="00F13BED" w:rsidRPr="00CA4ABC" w:rsidRDefault="00F13BED" w:rsidP="005D4B99">
            <w:pPr>
              <w:rPr>
                <w:rFonts w:cstheme="minorHAnsi"/>
                <w:color w:val="000000" w:themeColor="text1"/>
              </w:rPr>
            </w:pPr>
            <w:r w:rsidRPr="00CA4ABC">
              <w:rPr>
                <w:rFonts w:cstheme="minorHAnsi"/>
                <w:color w:val="000000" w:themeColor="text1"/>
              </w:rPr>
              <w:t>35</w:t>
            </w:r>
          </w:p>
        </w:tc>
      </w:tr>
    </w:tbl>
    <w:p w14:paraId="4311C4B6" w14:textId="467598C1" w:rsidR="00F13BED" w:rsidRPr="00CA4ABC" w:rsidRDefault="00F13BED" w:rsidP="004053D7">
      <w:pPr>
        <w:spacing w:line="360" w:lineRule="auto"/>
        <w:rPr>
          <w:rFonts w:cstheme="minorHAnsi"/>
          <w:color w:val="000000" w:themeColor="text1"/>
        </w:rPr>
      </w:pPr>
    </w:p>
    <w:p w14:paraId="1BB44F17" w14:textId="60685E32" w:rsidR="00F13BED" w:rsidRPr="0084010A" w:rsidRDefault="0051083F" w:rsidP="004053D7">
      <w:pPr>
        <w:pStyle w:val="Caption"/>
        <w:spacing w:line="360" w:lineRule="auto"/>
        <w:rPr>
          <w:rFonts w:cstheme="minorHAnsi"/>
          <w:i w:val="0"/>
          <w:iCs w:val="0"/>
          <w:color w:val="000000" w:themeColor="text1"/>
          <w:sz w:val="24"/>
          <w:szCs w:val="24"/>
        </w:rPr>
      </w:pPr>
      <w:bookmarkStart w:id="132" w:name="_Ref121298027"/>
      <w:bookmarkStart w:id="133" w:name="_Toc122956573"/>
      <w:r w:rsidRPr="0084010A">
        <w:rPr>
          <w:rFonts w:cstheme="minorHAnsi"/>
          <w:i w:val="0"/>
          <w:iCs w:val="0"/>
          <w:color w:val="000000" w:themeColor="text1"/>
          <w:sz w:val="24"/>
          <w:szCs w:val="24"/>
        </w:rPr>
        <w:t xml:space="preserve">Table </w:t>
      </w:r>
      <w:r w:rsidRPr="0084010A">
        <w:rPr>
          <w:rFonts w:cstheme="minorHAnsi"/>
          <w:i w:val="0"/>
          <w:iCs w:val="0"/>
          <w:color w:val="000000" w:themeColor="text1"/>
          <w:sz w:val="24"/>
          <w:szCs w:val="24"/>
        </w:rPr>
        <w:fldChar w:fldCharType="begin"/>
      </w:r>
      <w:r w:rsidRPr="0084010A">
        <w:rPr>
          <w:rFonts w:cstheme="minorHAnsi"/>
          <w:i w:val="0"/>
          <w:iCs w:val="0"/>
          <w:color w:val="000000" w:themeColor="text1"/>
          <w:sz w:val="24"/>
          <w:szCs w:val="24"/>
        </w:rPr>
        <w:instrText xml:space="preserve"> SEQ Table \* ARABIC </w:instrText>
      </w:r>
      <w:r w:rsidRPr="0084010A">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8</w:t>
      </w:r>
      <w:r w:rsidRPr="0084010A">
        <w:rPr>
          <w:rFonts w:cstheme="minorHAnsi"/>
          <w:i w:val="0"/>
          <w:iCs w:val="0"/>
          <w:color w:val="000000" w:themeColor="text1"/>
          <w:sz w:val="24"/>
          <w:szCs w:val="24"/>
        </w:rPr>
        <w:fldChar w:fldCharType="end"/>
      </w:r>
      <w:bookmarkEnd w:id="132"/>
      <w:r w:rsidR="0084010A" w:rsidRPr="0084010A">
        <w:rPr>
          <w:rFonts w:cstheme="minorHAnsi"/>
          <w:i w:val="0"/>
          <w:iCs w:val="0"/>
          <w:color w:val="000000" w:themeColor="text1"/>
          <w:sz w:val="24"/>
          <w:szCs w:val="24"/>
        </w:rPr>
        <w:t xml:space="preserve">. </w:t>
      </w:r>
      <w:r w:rsidRPr="0084010A">
        <w:rPr>
          <w:rFonts w:cstheme="minorHAnsi"/>
          <w:i w:val="0"/>
          <w:iCs w:val="0"/>
          <w:color w:val="000000" w:themeColor="text1"/>
          <w:sz w:val="24"/>
          <w:szCs w:val="24"/>
        </w:rPr>
        <w:t xml:space="preserve"> </w:t>
      </w:r>
      <w:r w:rsidR="0084010A" w:rsidRPr="0084010A">
        <w:rPr>
          <w:rFonts w:cstheme="minorHAnsi"/>
          <w:i w:val="0"/>
          <w:iCs w:val="0"/>
          <w:color w:val="000000" w:themeColor="text1"/>
          <w:sz w:val="24"/>
          <w:szCs w:val="24"/>
        </w:rPr>
        <w:t>F</w:t>
      </w:r>
      <w:r w:rsidRPr="0084010A">
        <w:rPr>
          <w:rFonts w:cstheme="minorHAnsi"/>
          <w:i w:val="0"/>
          <w:iCs w:val="0"/>
          <w:color w:val="000000" w:themeColor="text1"/>
          <w:sz w:val="24"/>
          <w:szCs w:val="24"/>
        </w:rPr>
        <w:t>urther exploration of protein intakes of participants, including the number of individuals meeting various protein intake.</w:t>
      </w:r>
      <w:bookmarkEnd w:id="133"/>
      <w:r w:rsidR="004B3255" w:rsidRPr="0084010A">
        <w:rPr>
          <w:rFonts w:cstheme="minorHAnsi"/>
          <w:i w:val="0"/>
          <w:iCs w:val="0"/>
          <w:noProof/>
          <w:color w:val="000000" w:themeColor="text1"/>
        </w:rPr>
        <w:t xml:space="preserve"> </w:t>
      </w:r>
    </w:p>
    <w:p w14:paraId="746AF2AF" w14:textId="474D8879" w:rsidR="0051083F" w:rsidRPr="00CA4ABC" w:rsidRDefault="005D4B99" w:rsidP="004053D7">
      <w:pPr>
        <w:spacing w:line="360" w:lineRule="auto"/>
        <w:rPr>
          <w:rFonts w:cstheme="minorHAnsi"/>
          <w:color w:val="000000" w:themeColor="text1"/>
        </w:rPr>
      </w:pPr>
      <w:r w:rsidRPr="00CA4ABC">
        <w:rPr>
          <w:rFonts w:cstheme="minorHAnsi"/>
          <w:color w:val="000000" w:themeColor="text1"/>
        </w:rPr>
        <w:t>*</w:t>
      </w:r>
      <w:r w:rsidR="0051083F" w:rsidRPr="00CA4ABC">
        <w:rPr>
          <w:rFonts w:cstheme="minorHAnsi"/>
          <w:color w:val="000000" w:themeColor="text1"/>
        </w:rPr>
        <w:t>Data presented as number of participants or protein intakes as g/kg BM/d</w:t>
      </w:r>
    </w:p>
    <w:p w14:paraId="6F4AD814" w14:textId="77777777" w:rsidR="00F13BED" w:rsidRPr="00CA4ABC" w:rsidRDefault="00F13BED" w:rsidP="004053D7">
      <w:pPr>
        <w:spacing w:line="360" w:lineRule="auto"/>
        <w:rPr>
          <w:rFonts w:cstheme="minorHAnsi"/>
          <w:color w:val="000000" w:themeColor="text1"/>
        </w:rPr>
      </w:pPr>
    </w:p>
    <w:p w14:paraId="25507659" w14:textId="77777777" w:rsidR="00F13BED" w:rsidRPr="00CA4ABC" w:rsidRDefault="00F13BED" w:rsidP="004053D7">
      <w:pPr>
        <w:spacing w:line="360" w:lineRule="auto"/>
        <w:rPr>
          <w:rFonts w:cstheme="minorHAnsi"/>
          <w:color w:val="000000" w:themeColor="text1"/>
        </w:rPr>
      </w:pPr>
    </w:p>
    <w:p w14:paraId="1AD8EA35" w14:textId="77777777" w:rsidR="00F13BED" w:rsidRPr="00CA4ABC" w:rsidRDefault="00F13BED" w:rsidP="004053D7">
      <w:pPr>
        <w:spacing w:line="360" w:lineRule="auto"/>
        <w:rPr>
          <w:rFonts w:cstheme="minorHAnsi"/>
          <w:color w:val="000000" w:themeColor="text1"/>
        </w:rPr>
      </w:pPr>
    </w:p>
    <w:p w14:paraId="6E28C380" w14:textId="77777777" w:rsidR="00F13BED" w:rsidRPr="00CA4ABC" w:rsidRDefault="00F13BED" w:rsidP="004053D7">
      <w:pPr>
        <w:spacing w:line="360" w:lineRule="auto"/>
        <w:rPr>
          <w:rFonts w:cstheme="minorHAnsi"/>
          <w:color w:val="000000" w:themeColor="text1"/>
        </w:rPr>
      </w:pPr>
    </w:p>
    <w:p w14:paraId="2CE0F0B9" w14:textId="612938EE" w:rsidR="00F13BED" w:rsidRPr="00CA4ABC" w:rsidRDefault="0051083F" w:rsidP="004053D7">
      <w:pPr>
        <w:pStyle w:val="Heading3"/>
        <w:spacing w:line="360" w:lineRule="auto"/>
        <w:rPr>
          <w:rFonts w:asciiTheme="minorHAnsi" w:hAnsiTheme="minorHAnsi" w:cstheme="minorHAnsi"/>
          <w:color w:val="000000" w:themeColor="text1"/>
        </w:rPr>
      </w:pPr>
      <w:bookmarkStart w:id="134" w:name="_Toc135384301"/>
      <w:r w:rsidRPr="00CA4ABC">
        <w:rPr>
          <w:rFonts w:asciiTheme="minorHAnsi" w:hAnsiTheme="minorHAnsi" w:cstheme="minorHAnsi"/>
          <w:color w:val="000000" w:themeColor="text1"/>
        </w:rPr>
        <w:lastRenderedPageBreak/>
        <w:t>3.</w:t>
      </w:r>
      <w:r w:rsidR="00D323D0" w:rsidRPr="00CA4ABC">
        <w:rPr>
          <w:rFonts w:asciiTheme="minorHAnsi" w:hAnsiTheme="minorHAnsi" w:cstheme="minorHAnsi"/>
          <w:color w:val="000000" w:themeColor="text1"/>
        </w:rPr>
        <w:t>5.5</w:t>
      </w:r>
      <w:r w:rsidRPr="00CA4ABC">
        <w:rPr>
          <w:rFonts w:asciiTheme="minorHAnsi" w:hAnsiTheme="minorHAnsi" w:cstheme="minorHAnsi"/>
          <w:color w:val="000000" w:themeColor="text1"/>
        </w:rPr>
        <w:t xml:space="preserve"> </w:t>
      </w:r>
      <w:r w:rsidR="00F13BED" w:rsidRPr="00CA4ABC">
        <w:rPr>
          <w:rFonts w:asciiTheme="minorHAnsi" w:hAnsiTheme="minorHAnsi" w:cstheme="minorHAnsi"/>
          <w:color w:val="000000" w:themeColor="text1"/>
        </w:rPr>
        <w:t xml:space="preserve">Validation </w:t>
      </w:r>
      <w:r w:rsidR="00C668FA" w:rsidRPr="00CA4ABC">
        <w:rPr>
          <w:rFonts w:asciiTheme="minorHAnsi" w:hAnsiTheme="minorHAnsi" w:cstheme="minorHAnsi"/>
          <w:color w:val="000000" w:themeColor="text1"/>
        </w:rPr>
        <w:t>Analysis</w:t>
      </w:r>
      <w:bookmarkEnd w:id="134"/>
    </w:p>
    <w:tbl>
      <w:tblPr>
        <w:tblStyle w:val="TableGrid"/>
        <w:tblpPr w:leftFromText="180" w:rightFromText="180" w:vertAnchor="text" w:horzAnchor="page" w:tblpX="454" w:tblpY="3729"/>
        <w:tblW w:w="11143" w:type="dxa"/>
        <w:tblLayout w:type="fixed"/>
        <w:tblLook w:val="0400" w:firstRow="0" w:lastRow="0" w:firstColumn="0" w:lastColumn="0" w:noHBand="0" w:noVBand="1"/>
      </w:tblPr>
      <w:tblGrid>
        <w:gridCol w:w="2046"/>
        <w:gridCol w:w="849"/>
        <w:gridCol w:w="1221"/>
        <w:gridCol w:w="1068"/>
        <w:gridCol w:w="907"/>
        <w:gridCol w:w="1275"/>
        <w:gridCol w:w="1219"/>
        <w:gridCol w:w="1329"/>
        <w:gridCol w:w="1229"/>
      </w:tblGrid>
      <w:tr w:rsidR="004053D7" w:rsidRPr="00CA4ABC" w14:paraId="3D556D8B" w14:textId="77777777" w:rsidTr="007E4F25">
        <w:trPr>
          <w:trHeight w:val="16"/>
        </w:trPr>
        <w:tc>
          <w:tcPr>
            <w:tcW w:w="11143" w:type="dxa"/>
            <w:gridSpan w:val="9"/>
          </w:tcPr>
          <w:p w14:paraId="0512CD2A" w14:textId="4AC23BC6" w:rsidR="001809E2" w:rsidRPr="00CA4ABC" w:rsidRDefault="001809E2" w:rsidP="005D4B99">
            <w:pPr>
              <w:jc w:val="center"/>
              <w:rPr>
                <w:rFonts w:cstheme="minorHAnsi"/>
                <w:color w:val="000000" w:themeColor="text1"/>
                <w:sz w:val="20"/>
                <w:szCs w:val="20"/>
              </w:rPr>
            </w:pPr>
            <w:r w:rsidRPr="00CA4ABC">
              <w:rPr>
                <w:rFonts w:cstheme="minorHAnsi"/>
                <w:b/>
                <w:i/>
                <w:color w:val="000000" w:themeColor="text1"/>
                <w:sz w:val="20"/>
                <w:szCs w:val="20"/>
              </w:rPr>
              <w:t>(</w:t>
            </w:r>
            <w:r w:rsidR="002F5214" w:rsidRPr="00CA4ABC">
              <w:rPr>
                <w:rFonts w:cstheme="minorHAnsi"/>
                <w:b/>
                <w:i/>
                <w:color w:val="000000" w:themeColor="text1"/>
                <w:sz w:val="20"/>
                <w:szCs w:val="20"/>
              </w:rPr>
              <w:t>n</w:t>
            </w:r>
            <w:r w:rsidRPr="00CA4ABC">
              <w:rPr>
                <w:rFonts w:cstheme="minorHAnsi"/>
                <w:b/>
                <w:i/>
                <w:color w:val="000000" w:themeColor="text1"/>
                <w:sz w:val="20"/>
                <w:szCs w:val="20"/>
              </w:rPr>
              <w:t xml:space="preserve"> = 291)</w:t>
            </w:r>
          </w:p>
        </w:tc>
      </w:tr>
      <w:tr w:rsidR="004053D7" w:rsidRPr="00CA4ABC" w14:paraId="10DE69C8" w14:textId="77777777" w:rsidTr="007E4F25">
        <w:trPr>
          <w:trHeight w:val="16"/>
        </w:trPr>
        <w:tc>
          <w:tcPr>
            <w:tcW w:w="2046" w:type="dxa"/>
            <w:vMerge w:val="restart"/>
          </w:tcPr>
          <w:p w14:paraId="11584A8F" w14:textId="77777777" w:rsidR="001809E2" w:rsidRPr="00CA4ABC" w:rsidRDefault="001809E2" w:rsidP="005D4B99">
            <w:pPr>
              <w:jc w:val="center"/>
              <w:rPr>
                <w:rFonts w:cstheme="minorHAnsi"/>
                <w:i/>
                <w:color w:val="000000" w:themeColor="text1"/>
                <w:sz w:val="20"/>
                <w:szCs w:val="20"/>
              </w:rPr>
            </w:pPr>
          </w:p>
        </w:tc>
        <w:tc>
          <w:tcPr>
            <w:tcW w:w="849" w:type="dxa"/>
            <w:vMerge w:val="restart"/>
          </w:tcPr>
          <w:p w14:paraId="03311A5B" w14:textId="77777777" w:rsidR="001809E2" w:rsidRPr="00CA4ABC" w:rsidRDefault="001809E2" w:rsidP="005D4B99">
            <w:pPr>
              <w:jc w:val="center"/>
              <w:rPr>
                <w:rFonts w:cstheme="minorHAnsi"/>
                <w:b/>
                <w:bCs/>
                <w:color w:val="000000" w:themeColor="text1"/>
                <w:sz w:val="20"/>
                <w:szCs w:val="20"/>
              </w:rPr>
            </w:pPr>
            <w:r w:rsidRPr="00CA4ABC">
              <w:rPr>
                <w:rFonts w:cstheme="minorHAnsi"/>
                <w:b/>
                <w:bCs/>
                <w:color w:val="000000" w:themeColor="text1"/>
                <w:sz w:val="20"/>
                <w:szCs w:val="20"/>
              </w:rPr>
              <w:t>n</w:t>
            </w:r>
          </w:p>
        </w:tc>
        <w:tc>
          <w:tcPr>
            <w:tcW w:w="1221" w:type="dxa"/>
            <w:vMerge w:val="restart"/>
          </w:tcPr>
          <w:p w14:paraId="0DCCD6B3" w14:textId="77777777" w:rsidR="001809E2" w:rsidRPr="00CA4ABC" w:rsidRDefault="001809E2" w:rsidP="005D4B99">
            <w:pPr>
              <w:jc w:val="center"/>
              <w:rPr>
                <w:rFonts w:cstheme="minorHAnsi"/>
                <w:b/>
                <w:bCs/>
                <w:color w:val="000000" w:themeColor="text1"/>
                <w:sz w:val="20"/>
                <w:szCs w:val="20"/>
              </w:rPr>
            </w:pPr>
            <w:r w:rsidRPr="00CA4ABC">
              <w:rPr>
                <w:rFonts w:cstheme="minorHAnsi"/>
                <w:b/>
                <w:bCs/>
                <w:color w:val="000000" w:themeColor="text1"/>
                <w:sz w:val="20"/>
                <w:szCs w:val="20"/>
              </w:rPr>
              <w:t>Mean (SD) intakes (g/kg BM)</w:t>
            </w:r>
          </w:p>
        </w:tc>
        <w:tc>
          <w:tcPr>
            <w:tcW w:w="7027" w:type="dxa"/>
            <w:gridSpan w:val="6"/>
          </w:tcPr>
          <w:p w14:paraId="06554901" w14:textId="77777777" w:rsidR="001809E2" w:rsidRPr="00CA4ABC" w:rsidRDefault="001809E2" w:rsidP="005D4B99">
            <w:pPr>
              <w:jc w:val="center"/>
              <w:rPr>
                <w:rFonts w:cstheme="minorHAnsi"/>
                <w:b/>
                <w:bCs/>
                <w:color w:val="000000" w:themeColor="text1"/>
                <w:sz w:val="20"/>
                <w:szCs w:val="20"/>
              </w:rPr>
            </w:pPr>
            <w:r w:rsidRPr="00CA4ABC">
              <w:rPr>
                <w:rFonts w:cstheme="minorHAnsi"/>
                <w:b/>
                <w:bCs/>
                <w:color w:val="000000" w:themeColor="text1"/>
                <w:sz w:val="20"/>
                <w:szCs w:val="20"/>
              </w:rPr>
              <w:t>Probability:</w:t>
            </w:r>
          </w:p>
        </w:tc>
      </w:tr>
      <w:tr w:rsidR="004053D7" w:rsidRPr="00CA4ABC" w14:paraId="37CF08EB" w14:textId="77777777" w:rsidTr="007E4F25">
        <w:trPr>
          <w:trHeight w:val="16"/>
        </w:trPr>
        <w:tc>
          <w:tcPr>
            <w:tcW w:w="2046" w:type="dxa"/>
            <w:vMerge/>
          </w:tcPr>
          <w:p w14:paraId="3F8CDCE5" w14:textId="77777777" w:rsidR="001809E2" w:rsidRPr="00CA4ABC" w:rsidRDefault="001809E2" w:rsidP="005D4B99">
            <w:pPr>
              <w:jc w:val="center"/>
              <w:rPr>
                <w:rFonts w:cstheme="minorHAnsi"/>
                <w:color w:val="000000" w:themeColor="text1"/>
                <w:sz w:val="20"/>
                <w:szCs w:val="20"/>
              </w:rPr>
            </w:pPr>
          </w:p>
        </w:tc>
        <w:tc>
          <w:tcPr>
            <w:tcW w:w="849" w:type="dxa"/>
            <w:vMerge/>
          </w:tcPr>
          <w:p w14:paraId="1A0322B9" w14:textId="77777777" w:rsidR="001809E2" w:rsidRPr="00CA4ABC" w:rsidRDefault="001809E2" w:rsidP="005D4B99">
            <w:pPr>
              <w:jc w:val="center"/>
              <w:rPr>
                <w:rFonts w:cstheme="minorHAnsi"/>
                <w:color w:val="000000" w:themeColor="text1"/>
                <w:sz w:val="20"/>
                <w:szCs w:val="20"/>
              </w:rPr>
            </w:pPr>
          </w:p>
        </w:tc>
        <w:tc>
          <w:tcPr>
            <w:tcW w:w="1221" w:type="dxa"/>
            <w:vMerge/>
          </w:tcPr>
          <w:p w14:paraId="0557CB68" w14:textId="77777777" w:rsidR="001809E2" w:rsidRPr="00CA4ABC" w:rsidRDefault="001809E2" w:rsidP="005D4B99">
            <w:pPr>
              <w:jc w:val="center"/>
              <w:rPr>
                <w:rFonts w:cstheme="minorHAnsi"/>
                <w:color w:val="000000" w:themeColor="text1"/>
                <w:sz w:val="20"/>
                <w:szCs w:val="20"/>
              </w:rPr>
            </w:pPr>
          </w:p>
        </w:tc>
        <w:tc>
          <w:tcPr>
            <w:tcW w:w="1068" w:type="dxa"/>
          </w:tcPr>
          <w:p w14:paraId="1423111A" w14:textId="77777777" w:rsidR="001809E2" w:rsidRPr="00CA4ABC" w:rsidRDefault="00EB542D" w:rsidP="005D4B99">
            <w:pPr>
              <w:jc w:val="center"/>
              <w:rPr>
                <w:rFonts w:cstheme="minorHAnsi"/>
                <w:color w:val="000000" w:themeColor="text1"/>
                <w:sz w:val="20"/>
                <w:szCs w:val="20"/>
              </w:rPr>
            </w:pPr>
            <w:sdt>
              <w:sdtPr>
                <w:rPr>
                  <w:rFonts w:cstheme="minorHAnsi"/>
                  <w:color w:val="000000" w:themeColor="text1"/>
                  <w:sz w:val="20"/>
                  <w:szCs w:val="20"/>
                </w:rPr>
                <w:tag w:val="goog_rdk_55"/>
                <w:id w:val="2060745900"/>
              </w:sdtPr>
              <w:sdtEndPr/>
              <w:sdtContent>
                <w:r w:rsidR="001809E2" w:rsidRPr="00CA4ABC">
                  <w:rPr>
                    <w:rFonts w:eastAsia="Gungsuh" w:cstheme="minorHAnsi"/>
                    <w:color w:val="000000" w:themeColor="text1"/>
                    <w:sz w:val="20"/>
                    <w:szCs w:val="20"/>
                  </w:rPr>
                  <w:t xml:space="preserve">≤0.1 </w:t>
                </w:r>
              </w:sdtContent>
            </w:sdt>
          </w:p>
        </w:tc>
        <w:tc>
          <w:tcPr>
            <w:tcW w:w="907" w:type="dxa"/>
          </w:tcPr>
          <w:p w14:paraId="2053CE64"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&gt;0.1</w:t>
            </w:r>
          </w:p>
        </w:tc>
        <w:tc>
          <w:tcPr>
            <w:tcW w:w="1275" w:type="dxa"/>
          </w:tcPr>
          <w:p w14:paraId="4A2191CB" w14:textId="77777777" w:rsidR="001809E2" w:rsidRPr="00CA4ABC" w:rsidRDefault="00EB542D" w:rsidP="005D4B99">
            <w:pPr>
              <w:jc w:val="center"/>
              <w:rPr>
                <w:rFonts w:cstheme="minorHAnsi"/>
                <w:color w:val="000000" w:themeColor="text1"/>
                <w:sz w:val="20"/>
                <w:szCs w:val="20"/>
              </w:rPr>
            </w:pPr>
            <w:sdt>
              <w:sdtPr>
                <w:rPr>
                  <w:rFonts w:cstheme="minorHAnsi"/>
                  <w:color w:val="000000" w:themeColor="text1"/>
                  <w:sz w:val="20"/>
                  <w:szCs w:val="20"/>
                </w:rPr>
                <w:tag w:val="goog_rdk_56"/>
                <w:id w:val="792564341"/>
              </w:sdtPr>
              <w:sdtEndPr/>
              <w:sdtContent>
                <w:r w:rsidR="001809E2" w:rsidRPr="00CA4ABC">
                  <w:rPr>
                    <w:rFonts w:eastAsia="Gungsuh" w:cstheme="minorHAnsi"/>
                    <w:color w:val="000000" w:themeColor="text1"/>
                    <w:sz w:val="20"/>
                    <w:szCs w:val="20"/>
                  </w:rPr>
                  <w:t xml:space="preserve">≤0.2 </w:t>
                </w:r>
              </w:sdtContent>
            </w:sdt>
          </w:p>
        </w:tc>
        <w:tc>
          <w:tcPr>
            <w:tcW w:w="1219" w:type="dxa"/>
          </w:tcPr>
          <w:p w14:paraId="04E2ECD2"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&gt;0.2</w:t>
            </w:r>
          </w:p>
        </w:tc>
        <w:tc>
          <w:tcPr>
            <w:tcW w:w="1329" w:type="dxa"/>
          </w:tcPr>
          <w:p w14:paraId="10A3E020" w14:textId="77777777" w:rsidR="001809E2" w:rsidRPr="00CA4ABC" w:rsidRDefault="00EB542D" w:rsidP="005D4B99">
            <w:pPr>
              <w:jc w:val="center"/>
              <w:rPr>
                <w:rFonts w:cstheme="minorHAnsi"/>
                <w:color w:val="000000" w:themeColor="text1"/>
                <w:sz w:val="20"/>
                <w:szCs w:val="20"/>
              </w:rPr>
            </w:pPr>
            <w:sdt>
              <w:sdtPr>
                <w:rPr>
                  <w:rFonts w:cstheme="minorHAnsi"/>
                  <w:color w:val="000000" w:themeColor="text1"/>
                  <w:sz w:val="20"/>
                  <w:szCs w:val="20"/>
                </w:rPr>
                <w:tag w:val="goog_rdk_57"/>
                <w:id w:val="-396132617"/>
              </w:sdtPr>
              <w:sdtEndPr/>
              <w:sdtContent>
                <w:r w:rsidR="001809E2" w:rsidRPr="00CA4ABC">
                  <w:rPr>
                    <w:rFonts w:eastAsia="Gungsuh" w:cstheme="minorHAnsi"/>
                    <w:color w:val="000000" w:themeColor="text1"/>
                    <w:sz w:val="20"/>
                    <w:szCs w:val="20"/>
                  </w:rPr>
                  <w:t xml:space="preserve">≤0.3 </w:t>
                </w:r>
              </w:sdtContent>
            </w:sdt>
          </w:p>
        </w:tc>
        <w:tc>
          <w:tcPr>
            <w:tcW w:w="1229" w:type="dxa"/>
          </w:tcPr>
          <w:p w14:paraId="79D9E910"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&gt;0.3</w:t>
            </w:r>
          </w:p>
        </w:tc>
      </w:tr>
      <w:tr w:rsidR="004053D7" w:rsidRPr="00CA4ABC" w14:paraId="08A1ABC9" w14:textId="77777777" w:rsidTr="007E4F25">
        <w:trPr>
          <w:trHeight w:val="16"/>
        </w:trPr>
        <w:tc>
          <w:tcPr>
            <w:tcW w:w="2046" w:type="dxa"/>
          </w:tcPr>
          <w:p w14:paraId="1C95EDD3" w14:textId="77777777" w:rsidR="001809E2" w:rsidRPr="00CA4ABC" w:rsidRDefault="001809E2" w:rsidP="005D4B99">
            <w:pPr>
              <w:jc w:val="center"/>
              <w:rPr>
                <w:rFonts w:cstheme="minorHAnsi"/>
                <w:b/>
                <w:bCs/>
                <w:color w:val="000000" w:themeColor="text1"/>
                <w:sz w:val="20"/>
                <w:szCs w:val="20"/>
              </w:rPr>
            </w:pPr>
            <w:r w:rsidRPr="00CA4ABC">
              <w:rPr>
                <w:rFonts w:cstheme="minorHAnsi"/>
                <w:b/>
                <w:bCs/>
                <w:color w:val="000000" w:themeColor="text1"/>
                <w:sz w:val="20"/>
                <w:szCs w:val="20"/>
              </w:rPr>
              <w:t>All participants</w:t>
            </w:r>
          </w:p>
        </w:tc>
        <w:tc>
          <w:tcPr>
            <w:tcW w:w="849" w:type="dxa"/>
          </w:tcPr>
          <w:p w14:paraId="3ED171F2"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291</w:t>
            </w:r>
          </w:p>
        </w:tc>
        <w:tc>
          <w:tcPr>
            <w:tcW w:w="1221" w:type="dxa"/>
          </w:tcPr>
          <w:p w14:paraId="040D36E5"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1.11 (0.57)</w:t>
            </w:r>
          </w:p>
        </w:tc>
        <w:tc>
          <w:tcPr>
            <w:tcW w:w="1068" w:type="dxa"/>
          </w:tcPr>
          <w:p w14:paraId="09FFAAD7"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104</w:t>
            </w:r>
          </w:p>
        </w:tc>
        <w:tc>
          <w:tcPr>
            <w:tcW w:w="907" w:type="dxa"/>
          </w:tcPr>
          <w:p w14:paraId="30499DB3"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187</w:t>
            </w:r>
          </w:p>
        </w:tc>
        <w:tc>
          <w:tcPr>
            <w:tcW w:w="1275" w:type="dxa"/>
          </w:tcPr>
          <w:p w14:paraId="13339A39"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145</w:t>
            </w:r>
          </w:p>
        </w:tc>
        <w:tc>
          <w:tcPr>
            <w:tcW w:w="1219" w:type="dxa"/>
          </w:tcPr>
          <w:p w14:paraId="3DB0270B"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146</w:t>
            </w:r>
          </w:p>
        </w:tc>
        <w:tc>
          <w:tcPr>
            <w:tcW w:w="1329" w:type="dxa"/>
          </w:tcPr>
          <w:p w14:paraId="29D69C87"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169</w:t>
            </w:r>
          </w:p>
        </w:tc>
        <w:tc>
          <w:tcPr>
            <w:tcW w:w="1229" w:type="dxa"/>
          </w:tcPr>
          <w:p w14:paraId="293F9E1E"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122</w:t>
            </w:r>
          </w:p>
        </w:tc>
      </w:tr>
      <w:tr w:rsidR="004053D7" w:rsidRPr="00CA4ABC" w14:paraId="7ACA40A3" w14:textId="77777777" w:rsidTr="007E4F25">
        <w:trPr>
          <w:trHeight w:val="16"/>
        </w:trPr>
        <w:tc>
          <w:tcPr>
            <w:tcW w:w="2046" w:type="dxa"/>
          </w:tcPr>
          <w:p w14:paraId="3D47EB0D" w14:textId="77777777" w:rsidR="001809E2" w:rsidRPr="00CA4ABC" w:rsidRDefault="001809E2" w:rsidP="005D4B99">
            <w:pPr>
              <w:jc w:val="center"/>
              <w:rPr>
                <w:rFonts w:cstheme="minorHAnsi"/>
                <w:b/>
                <w:bCs/>
                <w:color w:val="000000" w:themeColor="text1"/>
                <w:sz w:val="20"/>
                <w:szCs w:val="20"/>
              </w:rPr>
            </w:pPr>
            <w:r w:rsidRPr="00CA4ABC">
              <w:rPr>
                <w:rFonts w:cstheme="minorHAnsi"/>
                <w:b/>
                <w:bCs/>
                <w:color w:val="000000" w:themeColor="text1"/>
                <w:sz w:val="20"/>
                <w:szCs w:val="20"/>
              </w:rPr>
              <w:t>Protein intake &gt;1.0g/kg adjusted BM/d</w:t>
            </w:r>
          </w:p>
        </w:tc>
        <w:tc>
          <w:tcPr>
            <w:tcW w:w="849" w:type="dxa"/>
          </w:tcPr>
          <w:p w14:paraId="0B1131EF"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156</w:t>
            </w:r>
          </w:p>
        </w:tc>
        <w:tc>
          <w:tcPr>
            <w:tcW w:w="1221" w:type="dxa"/>
          </w:tcPr>
          <w:p w14:paraId="2DB559FE"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1.52 (0.51)</w:t>
            </w:r>
          </w:p>
        </w:tc>
        <w:tc>
          <w:tcPr>
            <w:tcW w:w="1068" w:type="dxa"/>
          </w:tcPr>
          <w:p w14:paraId="214A39A5"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66</w:t>
            </w:r>
          </w:p>
        </w:tc>
        <w:tc>
          <w:tcPr>
            <w:tcW w:w="907" w:type="dxa"/>
          </w:tcPr>
          <w:p w14:paraId="379236A6"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81</w:t>
            </w:r>
          </w:p>
        </w:tc>
        <w:tc>
          <w:tcPr>
            <w:tcW w:w="1275" w:type="dxa"/>
          </w:tcPr>
          <w:p w14:paraId="7F47519F"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92</w:t>
            </w:r>
          </w:p>
        </w:tc>
        <w:tc>
          <w:tcPr>
            <w:tcW w:w="1219" w:type="dxa"/>
          </w:tcPr>
          <w:p w14:paraId="6E13405D"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55</w:t>
            </w:r>
          </w:p>
        </w:tc>
        <w:tc>
          <w:tcPr>
            <w:tcW w:w="1329" w:type="dxa"/>
          </w:tcPr>
          <w:p w14:paraId="73991682"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105</w:t>
            </w:r>
          </w:p>
        </w:tc>
        <w:tc>
          <w:tcPr>
            <w:tcW w:w="1229" w:type="dxa"/>
          </w:tcPr>
          <w:p w14:paraId="53017AA0"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42</w:t>
            </w:r>
          </w:p>
        </w:tc>
      </w:tr>
      <w:tr w:rsidR="004053D7" w:rsidRPr="00CA4ABC" w14:paraId="6ED73CCB" w14:textId="77777777" w:rsidTr="007E4F25">
        <w:trPr>
          <w:trHeight w:val="980"/>
        </w:trPr>
        <w:tc>
          <w:tcPr>
            <w:tcW w:w="2046" w:type="dxa"/>
          </w:tcPr>
          <w:p w14:paraId="3C1E985D" w14:textId="77777777" w:rsidR="001809E2" w:rsidRPr="00CA4ABC" w:rsidRDefault="001809E2" w:rsidP="005D4B99">
            <w:pPr>
              <w:jc w:val="center"/>
              <w:rPr>
                <w:rFonts w:cstheme="minorHAnsi"/>
                <w:b/>
                <w:bCs/>
                <w:color w:val="000000" w:themeColor="text1"/>
                <w:sz w:val="20"/>
                <w:szCs w:val="20"/>
              </w:rPr>
            </w:pPr>
            <w:r w:rsidRPr="00CA4ABC">
              <w:rPr>
                <w:rFonts w:cstheme="minorHAnsi"/>
                <w:b/>
                <w:bCs/>
                <w:color w:val="000000" w:themeColor="text1"/>
                <w:sz w:val="20"/>
                <w:szCs w:val="20"/>
              </w:rPr>
              <w:t xml:space="preserve">Protein intake </w:t>
            </w:r>
            <w:sdt>
              <w:sdtPr>
                <w:rPr>
                  <w:rFonts w:cstheme="minorHAnsi"/>
                  <w:b/>
                  <w:bCs/>
                  <w:color w:val="000000" w:themeColor="text1"/>
                  <w:sz w:val="20"/>
                  <w:szCs w:val="20"/>
                </w:rPr>
                <w:tag w:val="goog_rdk_58"/>
                <w:id w:val="703676505"/>
              </w:sdtPr>
              <w:sdtEndPr/>
              <w:sdtContent>
                <w:r w:rsidRPr="00CA4ABC">
                  <w:rPr>
                    <w:rFonts w:eastAsia="Gungsuh" w:cstheme="minorHAnsi"/>
                    <w:b/>
                    <w:bCs/>
                    <w:color w:val="000000" w:themeColor="text1"/>
                    <w:sz w:val="20"/>
                    <w:szCs w:val="20"/>
                  </w:rPr>
                  <w:t>≤1.0</w:t>
                </w:r>
              </w:sdtContent>
            </w:sdt>
            <w:r w:rsidRPr="00CA4ABC">
              <w:rPr>
                <w:rFonts w:cstheme="minorHAnsi"/>
                <w:b/>
                <w:bCs/>
                <w:color w:val="000000" w:themeColor="text1"/>
                <w:sz w:val="20"/>
                <w:szCs w:val="20"/>
              </w:rPr>
              <w:t>g/kg adjusted BM/d</w:t>
            </w:r>
          </w:p>
          <w:p w14:paraId="7CC7F808" w14:textId="77777777" w:rsidR="001809E2" w:rsidRPr="00CA4ABC" w:rsidRDefault="001809E2" w:rsidP="005D4B99">
            <w:pPr>
              <w:jc w:val="center"/>
              <w:rPr>
                <w:rFonts w:cstheme="minorHAnsi"/>
                <w:b/>
                <w:bCs/>
                <w:color w:val="000000" w:themeColor="text1"/>
                <w:sz w:val="20"/>
                <w:szCs w:val="20"/>
              </w:rPr>
            </w:pPr>
          </w:p>
        </w:tc>
        <w:tc>
          <w:tcPr>
            <w:tcW w:w="849" w:type="dxa"/>
          </w:tcPr>
          <w:p w14:paraId="1E83395A"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150</w:t>
            </w:r>
          </w:p>
        </w:tc>
        <w:tc>
          <w:tcPr>
            <w:tcW w:w="1221" w:type="dxa"/>
          </w:tcPr>
          <w:p w14:paraId="2B3C01A5"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0.68 (0.19)</w:t>
            </w:r>
          </w:p>
        </w:tc>
        <w:tc>
          <w:tcPr>
            <w:tcW w:w="1068" w:type="dxa"/>
          </w:tcPr>
          <w:p w14:paraId="3817E983"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38</w:t>
            </w:r>
          </w:p>
        </w:tc>
        <w:tc>
          <w:tcPr>
            <w:tcW w:w="907" w:type="dxa"/>
          </w:tcPr>
          <w:p w14:paraId="086626E0"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106</w:t>
            </w:r>
          </w:p>
        </w:tc>
        <w:tc>
          <w:tcPr>
            <w:tcW w:w="1275" w:type="dxa"/>
          </w:tcPr>
          <w:p w14:paraId="51EE2283"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53</w:t>
            </w:r>
          </w:p>
        </w:tc>
        <w:tc>
          <w:tcPr>
            <w:tcW w:w="1219" w:type="dxa"/>
          </w:tcPr>
          <w:p w14:paraId="37AECBD7"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91</w:t>
            </w:r>
          </w:p>
        </w:tc>
        <w:tc>
          <w:tcPr>
            <w:tcW w:w="1329" w:type="dxa"/>
          </w:tcPr>
          <w:p w14:paraId="47CEBF30"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64</w:t>
            </w:r>
          </w:p>
        </w:tc>
        <w:tc>
          <w:tcPr>
            <w:tcW w:w="1229" w:type="dxa"/>
          </w:tcPr>
          <w:p w14:paraId="6189643C" w14:textId="77777777" w:rsidR="001809E2" w:rsidRPr="00CA4ABC" w:rsidRDefault="001809E2" w:rsidP="005D4B99">
            <w:pPr>
              <w:jc w:val="center"/>
              <w:rPr>
                <w:rFonts w:cstheme="minorHAnsi"/>
                <w:iCs/>
                <w:color w:val="000000" w:themeColor="text1"/>
                <w:sz w:val="20"/>
                <w:szCs w:val="20"/>
              </w:rPr>
            </w:pPr>
            <w:r w:rsidRPr="00CA4ABC">
              <w:rPr>
                <w:rFonts w:cstheme="minorHAnsi"/>
                <w:iCs/>
                <w:color w:val="000000" w:themeColor="text1"/>
                <w:sz w:val="20"/>
                <w:szCs w:val="20"/>
              </w:rPr>
              <w:t>80</w:t>
            </w:r>
          </w:p>
        </w:tc>
      </w:tr>
      <w:tr w:rsidR="004053D7" w:rsidRPr="00CA4ABC" w14:paraId="512B38AF" w14:textId="77777777" w:rsidTr="007E4F25">
        <w:trPr>
          <w:trHeight w:val="16"/>
        </w:trPr>
        <w:tc>
          <w:tcPr>
            <w:tcW w:w="2895" w:type="dxa"/>
            <w:gridSpan w:val="2"/>
          </w:tcPr>
          <w:p w14:paraId="52442045" w14:textId="77777777" w:rsidR="001809E2" w:rsidRPr="00CA4ABC" w:rsidRDefault="001809E2" w:rsidP="005D4B99">
            <w:pPr>
              <w:jc w:val="center"/>
              <w:rPr>
                <w:rFonts w:cstheme="minorHAnsi"/>
                <w:b/>
                <w:color w:val="000000" w:themeColor="text1"/>
                <w:sz w:val="20"/>
                <w:szCs w:val="20"/>
              </w:rPr>
            </w:pPr>
            <w:r w:rsidRPr="00CA4ABC">
              <w:rPr>
                <w:rFonts w:cstheme="minorHAnsi"/>
                <w:b/>
                <w:color w:val="000000" w:themeColor="text1"/>
                <w:sz w:val="20"/>
                <w:szCs w:val="20"/>
              </w:rPr>
              <w:t xml:space="preserve">Cut-off </w:t>
            </w:r>
            <w:sdt>
              <w:sdtPr>
                <w:rPr>
                  <w:rFonts w:cstheme="minorHAnsi"/>
                  <w:color w:val="000000" w:themeColor="text1"/>
                  <w:sz w:val="20"/>
                  <w:szCs w:val="20"/>
                </w:rPr>
                <w:tag w:val="goog_rdk_59"/>
                <w:id w:val="-446856515"/>
              </w:sdtPr>
              <w:sdtEndPr/>
              <w:sdtContent/>
            </w:sdt>
            <w:sdt>
              <w:sdtPr>
                <w:rPr>
                  <w:rFonts w:cstheme="minorHAnsi"/>
                  <w:color w:val="000000" w:themeColor="text1"/>
                  <w:sz w:val="20"/>
                  <w:szCs w:val="20"/>
                </w:rPr>
                <w:tag w:val="goog_rdk_60"/>
                <w:id w:val="-93868264"/>
              </w:sdtPr>
              <w:sdtEndPr/>
              <w:sdtContent/>
            </w:sdt>
            <w:sdt>
              <w:sdtPr>
                <w:rPr>
                  <w:rFonts w:cstheme="minorHAnsi"/>
                  <w:color w:val="000000" w:themeColor="text1"/>
                  <w:sz w:val="20"/>
                  <w:szCs w:val="20"/>
                </w:rPr>
                <w:tag w:val="goog_rdk_61"/>
                <w:id w:val="-1593233717"/>
              </w:sdtPr>
              <w:sdtEndPr/>
              <w:sdtContent>
                <w:r w:rsidRPr="00CA4ABC">
                  <w:rPr>
                    <w:rFonts w:cstheme="minorHAnsi"/>
                    <w:color w:val="000000" w:themeColor="text1"/>
                    <w:sz w:val="20"/>
                    <w:szCs w:val="20"/>
                  </w:rPr>
                  <w:t xml:space="preserve"> </w:t>
                </w:r>
              </w:sdtContent>
            </w:sdt>
            <w:r w:rsidRPr="00CA4ABC">
              <w:rPr>
                <w:rFonts w:cstheme="minorHAnsi"/>
                <w:b/>
                <w:color w:val="000000" w:themeColor="text1"/>
                <w:sz w:val="20"/>
                <w:szCs w:val="20"/>
              </w:rPr>
              <w:t>probability</w:t>
            </w:r>
          </w:p>
        </w:tc>
        <w:tc>
          <w:tcPr>
            <w:tcW w:w="3196" w:type="dxa"/>
            <w:gridSpan w:val="3"/>
          </w:tcPr>
          <w:p w14:paraId="1A96DFE5" w14:textId="77777777" w:rsidR="001809E2" w:rsidRPr="00CA4ABC" w:rsidRDefault="001809E2" w:rsidP="005D4B99">
            <w:pPr>
              <w:jc w:val="center"/>
              <w:rPr>
                <w:rFonts w:cstheme="minorHAnsi"/>
                <w:b/>
                <w:color w:val="000000" w:themeColor="text1"/>
                <w:sz w:val="20"/>
                <w:szCs w:val="20"/>
              </w:rPr>
            </w:pPr>
            <w:r w:rsidRPr="00CA4ABC">
              <w:rPr>
                <w:rFonts w:cstheme="minorHAnsi"/>
                <w:b/>
                <w:color w:val="000000" w:themeColor="text1"/>
                <w:sz w:val="20"/>
                <w:szCs w:val="20"/>
              </w:rPr>
              <w:t>&gt;0.1</w:t>
            </w:r>
          </w:p>
        </w:tc>
        <w:tc>
          <w:tcPr>
            <w:tcW w:w="2494" w:type="dxa"/>
            <w:gridSpan w:val="2"/>
          </w:tcPr>
          <w:p w14:paraId="29180C17" w14:textId="77777777" w:rsidR="001809E2" w:rsidRPr="00CA4ABC" w:rsidRDefault="001809E2" w:rsidP="005D4B99">
            <w:pPr>
              <w:jc w:val="center"/>
              <w:rPr>
                <w:rFonts w:cstheme="minorHAnsi"/>
                <w:b/>
                <w:color w:val="000000" w:themeColor="text1"/>
                <w:sz w:val="20"/>
                <w:szCs w:val="20"/>
              </w:rPr>
            </w:pPr>
            <w:r w:rsidRPr="00CA4ABC">
              <w:rPr>
                <w:rFonts w:cstheme="minorHAnsi"/>
                <w:b/>
                <w:color w:val="000000" w:themeColor="text1"/>
                <w:sz w:val="20"/>
                <w:szCs w:val="20"/>
              </w:rPr>
              <w:t>&gt;0.2</w:t>
            </w:r>
          </w:p>
        </w:tc>
        <w:tc>
          <w:tcPr>
            <w:tcW w:w="2558" w:type="dxa"/>
            <w:gridSpan w:val="2"/>
          </w:tcPr>
          <w:p w14:paraId="1A94952A" w14:textId="77777777" w:rsidR="001809E2" w:rsidRPr="00CA4ABC" w:rsidRDefault="001809E2" w:rsidP="005D4B99">
            <w:pPr>
              <w:jc w:val="center"/>
              <w:rPr>
                <w:rFonts w:cstheme="minorHAnsi"/>
                <w:b/>
                <w:color w:val="000000" w:themeColor="text1"/>
                <w:sz w:val="20"/>
                <w:szCs w:val="20"/>
              </w:rPr>
            </w:pPr>
            <w:r w:rsidRPr="00CA4ABC">
              <w:rPr>
                <w:rFonts w:cstheme="minorHAnsi"/>
                <w:b/>
                <w:color w:val="000000" w:themeColor="text1"/>
                <w:sz w:val="20"/>
                <w:szCs w:val="20"/>
              </w:rPr>
              <w:t>&gt;0.3</w:t>
            </w:r>
          </w:p>
        </w:tc>
      </w:tr>
      <w:tr w:rsidR="004053D7" w:rsidRPr="00CA4ABC" w14:paraId="2BD5E632" w14:textId="77777777" w:rsidTr="007E4F25">
        <w:trPr>
          <w:trHeight w:val="16"/>
        </w:trPr>
        <w:tc>
          <w:tcPr>
            <w:tcW w:w="2895" w:type="dxa"/>
            <w:gridSpan w:val="2"/>
          </w:tcPr>
          <w:p w14:paraId="022A75E8"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Sensitivity, % (95%CI)</w:t>
            </w:r>
          </w:p>
        </w:tc>
        <w:tc>
          <w:tcPr>
            <w:tcW w:w="3196" w:type="dxa"/>
            <w:gridSpan w:val="3"/>
          </w:tcPr>
          <w:p w14:paraId="31FA0113"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73.61% (65.62% to 80.60%)</w:t>
            </w:r>
          </w:p>
        </w:tc>
        <w:tc>
          <w:tcPr>
            <w:tcW w:w="2494" w:type="dxa"/>
            <w:gridSpan w:val="2"/>
          </w:tcPr>
          <w:p w14:paraId="5F080DCB"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63.19% (54.76% to 71.07%)</w:t>
            </w:r>
          </w:p>
        </w:tc>
        <w:tc>
          <w:tcPr>
            <w:tcW w:w="2558" w:type="dxa"/>
            <w:gridSpan w:val="2"/>
          </w:tcPr>
          <w:p w14:paraId="5306180F"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55.56% (47.05% to 63.83%)</w:t>
            </w:r>
          </w:p>
        </w:tc>
      </w:tr>
      <w:tr w:rsidR="004053D7" w:rsidRPr="00CA4ABC" w14:paraId="69BFF968" w14:textId="77777777" w:rsidTr="007E4F25">
        <w:trPr>
          <w:trHeight w:val="16"/>
        </w:trPr>
        <w:tc>
          <w:tcPr>
            <w:tcW w:w="2895" w:type="dxa"/>
            <w:gridSpan w:val="2"/>
          </w:tcPr>
          <w:p w14:paraId="47ECD179"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Specificity, % (95% CI)</w:t>
            </w:r>
          </w:p>
        </w:tc>
        <w:tc>
          <w:tcPr>
            <w:tcW w:w="3196" w:type="dxa"/>
            <w:gridSpan w:val="3"/>
          </w:tcPr>
          <w:p w14:paraId="632CE978"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44.90%</w:t>
            </w:r>
            <w:r w:rsidRPr="00CA4ABC">
              <w:rPr>
                <w:rFonts w:cstheme="minorHAnsi"/>
                <w:color w:val="000000" w:themeColor="text1"/>
                <w:sz w:val="20"/>
                <w:szCs w:val="20"/>
              </w:rPr>
              <w:t xml:space="preserve"> (</w:t>
            </w:r>
            <w:r w:rsidRPr="00CA4ABC">
              <w:rPr>
                <w:rFonts w:cstheme="minorHAnsi"/>
                <w:color w:val="000000" w:themeColor="text1"/>
                <w:sz w:val="20"/>
                <w:szCs w:val="20"/>
                <w:shd w:val="clear" w:color="auto" w:fill="FFFFFF"/>
              </w:rPr>
              <w:t>36.69% to 53.31%)</w:t>
            </w:r>
          </w:p>
        </w:tc>
        <w:tc>
          <w:tcPr>
            <w:tcW w:w="2494" w:type="dxa"/>
            <w:gridSpan w:val="2"/>
          </w:tcPr>
          <w:p w14:paraId="4D058A9E"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62.59% (54.23% to 70.42%)</w:t>
            </w:r>
          </w:p>
        </w:tc>
        <w:tc>
          <w:tcPr>
            <w:tcW w:w="2558" w:type="dxa"/>
            <w:gridSpan w:val="2"/>
          </w:tcPr>
          <w:p w14:paraId="68A3AA0F"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71.43% (63.40% to 78.57%)</w:t>
            </w:r>
          </w:p>
        </w:tc>
      </w:tr>
      <w:tr w:rsidR="004053D7" w:rsidRPr="00CA4ABC" w14:paraId="2FE560E7" w14:textId="77777777" w:rsidTr="007E4F25">
        <w:trPr>
          <w:trHeight w:val="16"/>
        </w:trPr>
        <w:tc>
          <w:tcPr>
            <w:tcW w:w="2895" w:type="dxa"/>
            <w:gridSpan w:val="2"/>
          </w:tcPr>
          <w:p w14:paraId="04D00392"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PPV, % (95% CI)</w:t>
            </w:r>
          </w:p>
        </w:tc>
        <w:tc>
          <w:tcPr>
            <w:tcW w:w="3196" w:type="dxa"/>
            <w:gridSpan w:val="3"/>
          </w:tcPr>
          <w:p w14:paraId="3B25A406"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56.68% (52.33% to 60.94%)</w:t>
            </w:r>
          </w:p>
        </w:tc>
        <w:tc>
          <w:tcPr>
            <w:tcW w:w="2494" w:type="dxa"/>
            <w:gridSpan w:val="2"/>
          </w:tcPr>
          <w:p w14:paraId="2E12458F"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62.33% (56.47% to 67.85%)</w:t>
            </w:r>
          </w:p>
        </w:tc>
        <w:tc>
          <w:tcPr>
            <w:tcW w:w="2558" w:type="dxa"/>
            <w:gridSpan w:val="2"/>
          </w:tcPr>
          <w:p w14:paraId="0E034E74"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65.57% (58.66% to 71.88%)</w:t>
            </w:r>
          </w:p>
        </w:tc>
      </w:tr>
      <w:tr w:rsidR="004053D7" w:rsidRPr="00CA4ABC" w14:paraId="020D3EA9" w14:textId="77777777" w:rsidTr="007E4F25">
        <w:trPr>
          <w:trHeight w:val="16"/>
        </w:trPr>
        <w:tc>
          <w:tcPr>
            <w:tcW w:w="2895" w:type="dxa"/>
            <w:gridSpan w:val="2"/>
          </w:tcPr>
          <w:p w14:paraId="0DC35091"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rPr>
              <w:t>NPV, % (95% CI)</w:t>
            </w:r>
          </w:p>
        </w:tc>
        <w:tc>
          <w:tcPr>
            <w:tcW w:w="3196" w:type="dxa"/>
            <w:gridSpan w:val="3"/>
          </w:tcPr>
          <w:p w14:paraId="18F68B91"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63.46% (55.62% to 70.65%)</w:t>
            </w:r>
          </w:p>
        </w:tc>
        <w:tc>
          <w:tcPr>
            <w:tcW w:w="2494" w:type="dxa"/>
            <w:gridSpan w:val="2"/>
          </w:tcPr>
          <w:p w14:paraId="4554F8B1"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63.45% (57.53% to 68.98%)</w:t>
            </w:r>
          </w:p>
        </w:tc>
        <w:tc>
          <w:tcPr>
            <w:tcW w:w="2558" w:type="dxa"/>
            <w:gridSpan w:val="2"/>
          </w:tcPr>
          <w:p w14:paraId="67D56EEC" w14:textId="77777777" w:rsidR="001809E2" w:rsidRPr="00CA4ABC" w:rsidRDefault="001809E2" w:rsidP="005D4B99">
            <w:pPr>
              <w:jc w:val="center"/>
              <w:rPr>
                <w:rFonts w:cstheme="minorHAnsi"/>
                <w:color w:val="000000" w:themeColor="text1"/>
                <w:sz w:val="20"/>
                <w:szCs w:val="20"/>
              </w:rPr>
            </w:pPr>
            <w:r w:rsidRPr="00CA4ABC">
              <w:rPr>
                <w:rFonts w:cstheme="minorHAnsi"/>
                <w:color w:val="000000" w:themeColor="text1"/>
                <w:sz w:val="20"/>
                <w:szCs w:val="20"/>
                <w:shd w:val="clear" w:color="auto" w:fill="FFFFFF"/>
              </w:rPr>
              <w:t>62.13% (57.10% to 66.92%)</w:t>
            </w:r>
          </w:p>
        </w:tc>
      </w:tr>
    </w:tbl>
    <w:p w14:paraId="4C7FC059" w14:textId="1B7A165D" w:rsidR="00F13BED" w:rsidRPr="00CA4ABC" w:rsidRDefault="00F13BED" w:rsidP="001920B8">
      <w:pPr>
        <w:spacing w:line="360" w:lineRule="auto"/>
        <w:ind w:firstLine="720"/>
        <w:rPr>
          <w:rFonts w:cstheme="minorHAnsi"/>
          <w:color w:val="000000" w:themeColor="text1"/>
          <w:shd w:val="clear" w:color="auto" w:fill="FFFFFF"/>
        </w:rPr>
      </w:pPr>
      <w:r w:rsidRPr="00CA4ABC">
        <w:rPr>
          <w:rFonts w:cstheme="minorHAnsi"/>
          <w:color w:val="000000" w:themeColor="text1"/>
          <w:shd w:val="clear" w:color="auto" w:fill="FFFFFF"/>
        </w:rPr>
        <w:t xml:space="preserve">The number of cases in each cell, sensitivity and specificity, </w:t>
      </w:r>
      <w:r w:rsidR="001809E2" w:rsidRPr="00CA4ABC">
        <w:rPr>
          <w:rFonts w:cstheme="minorHAnsi"/>
          <w:color w:val="000000" w:themeColor="text1"/>
          <w:shd w:val="clear" w:color="auto" w:fill="FFFFFF"/>
        </w:rPr>
        <w:t>positive predictive value (</w:t>
      </w:r>
      <w:r w:rsidRPr="00CA4ABC">
        <w:rPr>
          <w:rFonts w:cstheme="minorHAnsi"/>
          <w:color w:val="000000" w:themeColor="text1"/>
          <w:shd w:val="clear" w:color="auto" w:fill="FFFFFF"/>
        </w:rPr>
        <w:t>PPV</w:t>
      </w:r>
      <w:r w:rsidR="001809E2"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and </w:t>
      </w:r>
      <w:r w:rsidR="001809E2" w:rsidRPr="00CA4ABC">
        <w:rPr>
          <w:rFonts w:cstheme="minorHAnsi"/>
          <w:color w:val="000000" w:themeColor="text1"/>
          <w:shd w:val="clear" w:color="auto" w:fill="FFFFFF"/>
        </w:rPr>
        <w:t>negative predictive value (</w:t>
      </w:r>
      <w:r w:rsidRPr="00CA4ABC">
        <w:rPr>
          <w:rFonts w:cstheme="minorHAnsi"/>
          <w:color w:val="000000" w:themeColor="text1"/>
          <w:shd w:val="clear" w:color="auto" w:fill="FFFFFF"/>
        </w:rPr>
        <w:t>NPV</w:t>
      </w:r>
      <w:r w:rsidR="001809E2"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w:t>
      </w:r>
      <w:r w:rsidR="00C668FA" w:rsidRPr="00CA4ABC">
        <w:rPr>
          <w:rFonts w:cstheme="minorHAnsi"/>
          <w:color w:val="000000" w:themeColor="text1"/>
          <w:shd w:val="clear" w:color="auto" w:fill="FFFFFF"/>
        </w:rPr>
        <w:t>are</w:t>
      </w:r>
      <w:r w:rsidRPr="00CA4ABC">
        <w:rPr>
          <w:rFonts w:cstheme="minorHAnsi"/>
          <w:color w:val="000000" w:themeColor="text1"/>
          <w:shd w:val="clear" w:color="auto" w:fill="FFFFFF"/>
        </w:rPr>
        <w:t xml:space="preserve"> described for the probability cut-offs 0</w:t>
      </w:r>
      <w:r w:rsidRPr="00CA4ABC">
        <w:rPr>
          <w:rFonts w:ascii="Cambria Math" w:hAnsi="Cambria Math" w:cs="Cambria Math"/>
          <w:color w:val="000000" w:themeColor="text1"/>
          <w:shd w:val="clear" w:color="auto" w:fill="FFFFFF"/>
        </w:rPr>
        <w:t>⋅</w:t>
      </w:r>
      <w:r w:rsidRPr="00CA4ABC">
        <w:rPr>
          <w:rFonts w:cstheme="minorHAnsi"/>
          <w:color w:val="000000" w:themeColor="text1"/>
          <w:shd w:val="clear" w:color="auto" w:fill="FFFFFF"/>
        </w:rPr>
        <w:t>1, 0</w:t>
      </w:r>
      <w:r w:rsidRPr="00CA4ABC">
        <w:rPr>
          <w:rFonts w:ascii="Cambria Math" w:hAnsi="Cambria Math" w:cs="Cambria Math"/>
          <w:color w:val="000000" w:themeColor="text1"/>
          <w:shd w:val="clear" w:color="auto" w:fill="FFFFFF"/>
        </w:rPr>
        <w:t>⋅</w:t>
      </w:r>
      <w:r w:rsidRPr="00CA4ABC">
        <w:rPr>
          <w:rFonts w:cstheme="minorHAnsi"/>
          <w:color w:val="000000" w:themeColor="text1"/>
          <w:shd w:val="clear" w:color="auto" w:fill="FFFFFF"/>
        </w:rPr>
        <w:t>2 and 0</w:t>
      </w:r>
      <w:r w:rsidRPr="00CA4ABC">
        <w:rPr>
          <w:rFonts w:ascii="Cambria Math" w:hAnsi="Cambria Math" w:cs="Cambria Math"/>
          <w:color w:val="000000" w:themeColor="text1"/>
          <w:shd w:val="clear" w:color="auto" w:fill="FFFFFF"/>
        </w:rPr>
        <w:t>⋅</w:t>
      </w:r>
      <w:r w:rsidRPr="00CA4ABC">
        <w:rPr>
          <w:rFonts w:cstheme="minorHAnsi"/>
          <w:color w:val="000000" w:themeColor="text1"/>
          <w:shd w:val="clear" w:color="auto" w:fill="FFFFFF"/>
        </w:rPr>
        <w:t>3</w:t>
      </w:r>
      <w:r w:rsidR="001920B8" w:rsidRPr="00CA4ABC">
        <w:rPr>
          <w:rFonts w:cstheme="minorHAnsi"/>
          <w:color w:val="000000" w:themeColor="text1"/>
          <w:shd w:val="clear" w:color="auto" w:fill="FFFFFF"/>
        </w:rPr>
        <w:t xml:space="preserve"> (</w:t>
      </w:r>
      <w:r w:rsidR="001920B8" w:rsidRPr="00CA4ABC">
        <w:rPr>
          <w:rFonts w:cstheme="minorHAnsi"/>
          <w:color w:val="000000" w:themeColor="text1"/>
          <w:shd w:val="clear" w:color="auto" w:fill="FFFFFF"/>
        </w:rPr>
        <w:fldChar w:fldCharType="begin"/>
      </w:r>
      <w:r w:rsidR="001920B8" w:rsidRPr="00CA4ABC">
        <w:rPr>
          <w:rFonts w:cstheme="minorHAnsi"/>
          <w:color w:val="000000" w:themeColor="text1"/>
          <w:shd w:val="clear" w:color="auto" w:fill="FFFFFF"/>
        </w:rPr>
        <w:instrText xml:space="preserve"> REF _Ref123743067 \h </w:instrText>
      </w:r>
      <w:r w:rsidR="00CA4ABC">
        <w:rPr>
          <w:rFonts w:cstheme="minorHAnsi"/>
          <w:color w:val="000000" w:themeColor="text1"/>
          <w:shd w:val="clear" w:color="auto" w:fill="FFFFFF"/>
        </w:rPr>
        <w:instrText xml:space="preserve"> \* MERGEFORMAT </w:instrText>
      </w:r>
      <w:r w:rsidR="001920B8" w:rsidRPr="00CA4ABC">
        <w:rPr>
          <w:rFonts w:cstheme="minorHAnsi"/>
          <w:color w:val="000000" w:themeColor="text1"/>
          <w:shd w:val="clear" w:color="auto" w:fill="FFFFFF"/>
        </w:rPr>
      </w:r>
      <w:r w:rsidR="001920B8" w:rsidRPr="00CA4ABC">
        <w:rPr>
          <w:rFonts w:cstheme="minorHAnsi"/>
          <w:color w:val="000000" w:themeColor="text1"/>
          <w:shd w:val="clear" w:color="auto" w:fill="FFFFFF"/>
        </w:rPr>
        <w:fldChar w:fldCharType="separate"/>
      </w:r>
      <w:r w:rsidR="001920B8" w:rsidRPr="00CA4ABC">
        <w:rPr>
          <w:rFonts w:cstheme="minorHAnsi"/>
          <w:color w:val="000000" w:themeColor="text1"/>
        </w:rPr>
        <w:t xml:space="preserve">Table </w:t>
      </w:r>
      <w:r w:rsidR="001920B8" w:rsidRPr="00CA4ABC">
        <w:rPr>
          <w:rFonts w:cstheme="minorHAnsi"/>
          <w:noProof/>
          <w:color w:val="000000" w:themeColor="text1"/>
        </w:rPr>
        <w:t>9</w:t>
      </w:r>
      <w:r w:rsidR="001920B8"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w:t>
      </w:r>
      <w:r w:rsidR="001920B8"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w:t>
      </w:r>
      <w:r w:rsidR="001920B8" w:rsidRPr="00CA4ABC">
        <w:rPr>
          <w:rFonts w:cstheme="minorHAnsi"/>
          <w:color w:val="000000" w:themeColor="text1"/>
          <w:shd w:val="clear" w:color="auto" w:fill="FFFFFF"/>
        </w:rPr>
        <w:t xml:space="preserve">Sensitivity decreased as the cut-off point increased, deeming an optimal cut-off of &gt;0.1 </w:t>
      </w:r>
      <w:r w:rsidR="00A6626B"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{"citationItems":[{"id":"ITEM-1","itemData":{"DOI":"10.1111/j.1553-2712.1997.tb03793.x","ISSN":"10696563","PMID":"9262704","abstract":"Measures including sensitivity, specificity, and positive and negative predictive values have been traditionally used to assess a diagnostic test's ability to detect the presence or absence of disease. Receiver operating characteristic (ROC) curve analysis allows visual evaluation of the trade- offs between sensitivity and specificity associated with different values of the test result, or different 'cutpoints' for defining a positive result. The purpose of this article is to define, construct, and interpret a ROC curve using a hypothetical example applicable to emergency medicine practice.","author":[{"dropping-particle":"","family":"Grzybowski","given":"Mary","non-dropping-particle":"","parse-names":false,"suffix":""},{"dropping-particle":"","family":"Younger","given":"John G.","non-dropping-particle":"","parse-names":false,"suffix":""}],"container-title":"Academic Emergency Medicine","id":"ITEM-1","issue":"8","issued":{"date-parts":[["1997"]]},"page":"818-826","publisher":"Blackwell Publishing Inc.","title":"Statistical methodology: III. Receiver operating characteristic (ROC) curves","type":"article-journal","volume":"4"},"uris":["http://www.mendeley.com/documents/?uuid=2a9a312e-507b-3548-b0a1-370346078090"]}],"mendeley":{"formattedCitation":"(205)","plainTextFormattedCitation":"(205)","previouslyFormattedCitation":"(205)"},"properties":{"noteIndex":0},"schema":"https://github.com/citation-style-language/schema/raw/master/csl-citation.json"}</w:instrText>
      </w:r>
      <w:r w:rsidR="00A6626B"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(205)</w:t>
      </w:r>
      <w:r w:rsidR="00A6626B"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187 out of 291 (64.2%) participants were predicted by the protein screener tool to have protein intakes of ≤1 g/kg adjusted BM/d at the cut-off value 0</w:t>
      </w:r>
      <w:r w:rsidRPr="00CA4ABC">
        <w:rPr>
          <w:rFonts w:ascii="Cambria Math" w:hAnsi="Cambria Math" w:cs="Cambria Math"/>
          <w:color w:val="000000" w:themeColor="text1"/>
          <w:shd w:val="clear" w:color="auto" w:fill="FFFFFF"/>
        </w:rPr>
        <w:t>⋅</w:t>
      </w:r>
      <w:r w:rsidRPr="00CA4ABC">
        <w:rPr>
          <w:rFonts w:cstheme="minorHAnsi"/>
          <w:color w:val="000000" w:themeColor="text1"/>
          <w:shd w:val="clear" w:color="auto" w:fill="FFFFFF"/>
        </w:rPr>
        <w:t>1, of these</w:t>
      </w:r>
      <w:r w:rsidR="0043053F"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eighty-one did not have protein intakes of ≤1 g/kg adjusted BM/d as derived from their </w:t>
      </w:r>
      <w:r w:rsidR="0057276C" w:rsidRPr="00CA4ABC">
        <w:rPr>
          <w:rFonts w:cstheme="minorHAnsi"/>
          <w:color w:val="000000" w:themeColor="text1"/>
          <w:shd w:val="clear" w:color="auto" w:fill="FFFFFF"/>
        </w:rPr>
        <w:t>I</w:t>
      </w:r>
      <w:r w:rsidR="0051083F" w:rsidRPr="00CA4ABC">
        <w:rPr>
          <w:rFonts w:cstheme="minorHAnsi"/>
          <w:color w:val="000000" w:themeColor="text1"/>
          <w:shd w:val="clear" w:color="auto" w:fill="FFFFFF"/>
        </w:rPr>
        <w:t>ntake24 responses.</w:t>
      </w:r>
    </w:p>
    <w:p w14:paraId="5C02F9B0" w14:textId="77777777" w:rsidR="00F13BED" w:rsidRPr="00CA4ABC" w:rsidRDefault="00F13BED" w:rsidP="004053D7">
      <w:pPr>
        <w:spacing w:line="360" w:lineRule="auto"/>
        <w:rPr>
          <w:rFonts w:cstheme="minorHAnsi"/>
          <w:color w:val="000000" w:themeColor="text1"/>
        </w:rPr>
      </w:pPr>
    </w:p>
    <w:p w14:paraId="3AD37D3F" w14:textId="42F16CC6" w:rsidR="00F13BED" w:rsidRPr="0084010A" w:rsidRDefault="0051083F" w:rsidP="004053D7">
      <w:pPr>
        <w:pStyle w:val="Caption"/>
        <w:spacing w:line="360" w:lineRule="auto"/>
        <w:rPr>
          <w:rFonts w:cstheme="minorHAnsi"/>
          <w:i w:val="0"/>
          <w:iCs w:val="0"/>
          <w:color w:val="000000" w:themeColor="text1"/>
          <w:sz w:val="24"/>
          <w:szCs w:val="24"/>
        </w:rPr>
      </w:pPr>
      <w:bookmarkStart w:id="135" w:name="_Ref123743067"/>
      <w:bookmarkStart w:id="136" w:name="_Toc122956574"/>
      <w:r w:rsidRPr="0084010A">
        <w:rPr>
          <w:rFonts w:cstheme="minorHAnsi"/>
          <w:i w:val="0"/>
          <w:iCs w:val="0"/>
          <w:color w:val="000000" w:themeColor="text1"/>
          <w:sz w:val="24"/>
          <w:szCs w:val="24"/>
        </w:rPr>
        <w:t xml:space="preserve">Table </w:t>
      </w:r>
      <w:r w:rsidRPr="0084010A">
        <w:rPr>
          <w:rFonts w:cstheme="minorHAnsi"/>
          <w:i w:val="0"/>
          <w:iCs w:val="0"/>
          <w:color w:val="000000" w:themeColor="text1"/>
          <w:sz w:val="24"/>
          <w:szCs w:val="24"/>
        </w:rPr>
        <w:fldChar w:fldCharType="begin"/>
      </w:r>
      <w:r w:rsidRPr="0084010A">
        <w:rPr>
          <w:rFonts w:cstheme="minorHAnsi"/>
          <w:i w:val="0"/>
          <w:iCs w:val="0"/>
          <w:color w:val="000000" w:themeColor="text1"/>
          <w:sz w:val="24"/>
          <w:szCs w:val="24"/>
        </w:rPr>
        <w:instrText xml:space="preserve"> SEQ Table \* ARABIC </w:instrText>
      </w:r>
      <w:r w:rsidRPr="0084010A">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9</w:t>
      </w:r>
      <w:r w:rsidRPr="0084010A">
        <w:rPr>
          <w:rFonts w:cstheme="minorHAnsi"/>
          <w:i w:val="0"/>
          <w:iCs w:val="0"/>
          <w:color w:val="000000" w:themeColor="text1"/>
          <w:sz w:val="24"/>
          <w:szCs w:val="24"/>
        </w:rPr>
        <w:fldChar w:fldCharType="end"/>
      </w:r>
      <w:bookmarkEnd w:id="135"/>
      <w:r w:rsidR="0084010A" w:rsidRPr="0084010A">
        <w:rPr>
          <w:rFonts w:cstheme="minorHAnsi"/>
          <w:i w:val="0"/>
          <w:iCs w:val="0"/>
          <w:color w:val="000000" w:themeColor="text1"/>
          <w:sz w:val="24"/>
          <w:szCs w:val="24"/>
        </w:rPr>
        <w:t xml:space="preserve">. </w:t>
      </w:r>
      <w:r w:rsidRPr="0084010A">
        <w:rPr>
          <w:rFonts w:cstheme="minorHAnsi"/>
          <w:i w:val="0"/>
          <w:iCs w:val="0"/>
          <w:color w:val="000000" w:themeColor="text1"/>
          <w:sz w:val="24"/>
          <w:szCs w:val="24"/>
        </w:rPr>
        <w:t>Number of participants achieving above or below 1g/kg</w:t>
      </w:r>
      <w:r w:rsidR="001809E2" w:rsidRPr="0084010A">
        <w:rPr>
          <w:rFonts w:cstheme="minorHAnsi"/>
          <w:i w:val="0"/>
          <w:iCs w:val="0"/>
          <w:color w:val="000000" w:themeColor="text1"/>
          <w:sz w:val="24"/>
          <w:szCs w:val="24"/>
        </w:rPr>
        <w:t xml:space="preserve"> BM/d of protein, and the probability of the protein screener predicting this, at various cut-off points. </w:t>
      </w:r>
      <w:bookmarkEnd w:id="136"/>
      <w:r w:rsidR="0084010A" w:rsidRPr="0084010A">
        <w:rPr>
          <w:rFonts w:cstheme="minorHAnsi"/>
          <w:i w:val="0"/>
          <w:iCs w:val="0"/>
          <w:color w:val="000000" w:themeColor="text1"/>
          <w:sz w:val="24"/>
          <w:szCs w:val="24"/>
        </w:rPr>
        <w:t>The sensitivity, specificity, PPV and NPV were calculated based on these cut-offs.</w:t>
      </w:r>
    </w:p>
    <w:p w14:paraId="5E78AEDB" w14:textId="32C14B36" w:rsidR="00F13BED" w:rsidRPr="00CA4ABC" w:rsidRDefault="005D4B99" w:rsidP="004053D7">
      <w:pPr>
        <w:spacing w:line="360" w:lineRule="auto"/>
        <w:rPr>
          <w:rFonts w:cstheme="minorHAnsi"/>
          <w:color w:val="000000" w:themeColor="text1"/>
        </w:rPr>
      </w:pPr>
      <w:r w:rsidRPr="00CA4ABC">
        <w:rPr>
          <w:rFonts w:cstheme="minorHAnsi"/>
          <w:color w:val="000000" w:themeColor="text1"/>
          <w:shd w:val="clear" w:color="auto" w:fill="FFFFFF"/>
        </w:rPr>
        <w:t>*</w:t>
      </w:r>
      <w:r w:rsidR="00F13BED" w:rsidRPr="00CA4ABC">
        <w:rPr>
          <w:rFonts w:cstheme="minorHAnsi"/>
          <w:color w:val="000000" w:themeColor="text1"/>
          <w:shd w:val="clear" w:color="auto" w:fill="FFFFFF"/>
        </w:rPr>
        <w:t>PPV, Positive Predictive Value; NPV, Negative Predictive Value; CI, Confidence Interval</w:t>
      </w:r>
      <w:r w:rsidRPr="00CA4ABC">
        <w:rPr>
          <w:rFonts w:cstheme="minorHAnsi"/>
          <w:color w:val="000000" w:themeColor="text1"/>
          <w:shd w:val="clear" w:color="auto" w:fill="FFFFFF"/>
        </w:rPr>
        <w:t>.</w:t>
      </w:r>
    </w:p>
    <w:p w14:paraId="592F1905" w14:textId="77777777" w:rsidR="00F13BED" w:rsidRPr="00CA4ABC" w:rsidRDefault="00F13BED" w:rsidP="004053D7">
      <w:pPr>
        <w:spacing w:line="360" w:lineRule="auto"/>
        <w:rPr>
          <w:rFonts w:cstheme="minorHAnsi"/>
          <w:color w:val="000000" w:themeColor="text1"/>
        </w:rPr>
      </w:pPr>
    </w:p>
    <w:p w14:paraId="7EDFB10D" w14:textId="45CDF551" w:rsidR="00F13BED" w:rsidRPr="00CA4ABC" w:rsidRDefault="009B65CF" w:rsidP="004053D7">
      <w:pPr>
        <w:pStyle w:val="Heading3"/>
        <w:spacing w:line="360" w:lineRule="auto"/>
        <w:rPr>
          <w:rFonts w:asciiTheme="minorHAnsi" w:hAnsiTheme="minorHAnsi" w:cstheme="minorHAnsi"/>
          <w:color w:val="000000" w:themeColor="text1"/>
        </w:rPr>
      </w:pPr>
      <w:bookmarkStart w:id="137" w:name="_Toc135384302"/>
      <w:r w:rsidRPr="00CA4ABC">
        <w:rPr>
          <w:rFonts w:asciiTheme="minorHAnsi" w:hAnsiTheme="minorHAnsi" w:cstheme="minorHAnsi"/>
          <w:color w:val="000000" w:themeColor="text1"/>
        </w:rPr>
        <w:t xml:space="preserve">3.5.5.1 </w:t>
      </w:r>
      <w:r w:rsidR="00F13BED" w:rsidRPr="00CA4ABC">
        <w:rPr>
          <w:rFonts w:asciiTheme="minorHAnsi" w:hAnsiTheme="minorHAnsi" w:cstheme="minorHAnsi"/>
          <w:color w:val="000000" w:themeColor="text1"/>
        </w:rPr>
        <w:t>ROC analysis</w:t>
      </w:r>
      <w:bookmarkEnd w:id="137"/>
    </w:p>
    <w:p w14:paraId="66983090" w14:textId="2F82F448" w:rsidR="00F13BED" w:rsidRPr="00CA4ABC" w:rsidRDefault="00F13BED" w:rsidP="005D4B99">
      <w:pPr>
        <w:spacing w:line="360" w:lineRule="auto"/>
        <w:ind w:firstLine="720"/>
        <w:rPr>
          <w:rFonts w:cstheme="minorHAnsi"/>
          <w:color w:val="000000" w:themeColor="text1"/>
        </w:rPr>
      </w:pPr>
      <w:r w:rsidRPr="00CA4ABC">
        <w:rPr>
          <w:rFonts w:cstheme="minorHAnsi"/>
          <w:color w:val="000000" w:themeColor="text1"/>
        </w:rPr>
        <w:t>ROC analysis was carried out for 3 different cut-off points, in line with levels used by the Pro55+/SheffProScreener paper (1g/kg BM/d), UK RNI (0.75g/kg Bm/d) and higher levels supported by ESPEN levels</w:t>
      </w:r>
      <w:r w:rsidR="001920B8" w:rsidRPr="00CA4ABC">
        <w:rPr>
          <w:rFonts w:cstheme="minorHAnsi"/>
          <w:color w:val="000000" w:themeColor="text1"/>
        </w:rPr>
        <w:t xml:space="preserve"> (1.2g/kg BM/d)</w:t>
      </w:r>
      <w:r w:rsidRPr="00CA4ABC">
        <w:rPr>
          <w:rFonts w:cstheme="minorHAnsi"/>
          <w:color w:val="000000" w:themeColor="text1"/>
        </w:rPr>
        <w:t>, to try and identify when the screening tools accuracy was heightened. Area under the curve (AUC) was 0.658</w:t>
      </w:r>
      <w:r w:rsidR="007E4F25" w:rsidRPr="00CA4ABC">
        <w:rPr>
          <w:rFonts w:cstheme="minorHAnsi"/>
          <w:color w:val="000000" w:themeColor="text1"/>
        </w:rPr>
        <w:t xml:space="preserve"> (</w:t>
      </w:r>
      <w:r w:rsidR="006E7A2F" w:rsidRPr="00CA4ABC">
        <w:rPr>
          <w:rFonts w:cstheme="minorHAnsi"/>
          <w:color w:val="000000" w:themeColor="text1"/>
        </w:rPr>
        <w:fldChar w:fldCharType="begin"/>
      </w:r>
      <w:r w:rsidR="006E7A2F" w:rsidRPr="00CA4ABC">
        <w:rPr>
          <w:rFonts w:cstheme="minorHAnsi"/>
          <w:color w:val="000000" w:themeColor="text1"/>
        </w:rPr>
        <w:instrText xml:space="preserve"> REF _Ref122442631 \h </w:instrText>
      </w:r>
      <w:r w:rsidR="00B37ED2" w:rsidRPr="00CA4ABC">
        <w:rPr>
          <w:rFonts w:cstheme="minorHAnsi"/>
          <w:color w:val="000000" w:themeColor="text1"/>
        </w:rPr>
        <w:instrText xml:space="preserve"> \* MERGEFORMAT </w:instrText>
      </w:r>
      <w:r w:rsidR="006E7A2F" w:rsidRPr="00CA4ABC">
        <w:rPr>
          <w:rFonts w:cstheme="minorHAnsi"/>
          <w:color w:val="000000" w:themeColor="text1"/>
        </w:rPr>
      </w:r>
      <w:r w:rsidR="006E7A2F"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10</w:t>
      </w:r>
      <w:r w:rsidR="006E7A2F" w:rsidRPr="00CA4ABC">
        <w:rPr>
          <w:rFonts w:cstheme="minorHAnsi"/>
          <w:color w:val="000000" w:themeColor="text1"/>
        </w:rPr>
        <w:fldChar w:fldCharType="end"/>
      </w:r>
      <w:r w:rsidR="007E4F25" w:rsidRPr="00CA4ABC">
        <w:rPr>
          <w:rFonts w:cstheme="minorHAnsi"/>
          <w:color w:val="000000" w:themeColor="text1"/>
        </w:rPr>
        <w:t>)</w:t>
      </w:r>
      <w:r w:rsidRPr="00CA4ABC">
        <w:rPr>
          <w:rFonts w:cstheme="minorHAnsi"/>
          <w:color w:val="000000" w:themeColor="text1"/>
        </w:rPr>
        <w:t>, 0.645</w:t>
      </w:r>
      <w:r w:rsidR="007E4F25" w:rsidRPr="00CA4ABC">
        <w:rPr>
          <w:rFonts w:cstheme="minorHAnsi"/>
          <w:color w:val="000000" w:themeColor="text1"/>
        </w:rPr>
        <w:t xml:space="preserve"> (</w:t>
      </w:r>
      <w:r w:rsidR="006E7A2F" w:rsidRPr="00CA4ABC">
        <w:rPr>
          <w:rFonts w:cstheme="minorHAnsi"/>
          <w:color w:val="000000" w:themeColor="text1"/>
        </w:rPr>
        <w:fldChar w:fldCharType="begin"/>
      </w:r>
      <w:r w:rsidR="006E7A2F" w:rsidRPr="00CA4ABC">
        <w:rPr>
          <w:rFonts w:cstheme="minorHAnsi"/>
          <w:color w:val="000000" w:themeColor="text1"/>
        </w:rPr>
        <w:instrText xml:space="preserve"> REF _Ref122442644 \h </w:instrText>
      </w:r>
      <w:r w:rsidR="00B37ED2" w:rsidRPr="00CA4ABC">
        <w:rPr>
          <w:rFonts w:cstheme="minorHAnsi"/>
          <w:color w:val="000000" w:themeColor="text1"/>
        </w:rPr>
        <w:instrText xml:space="preserve"> \* MERGEFORMAT </w:instrText>
      </w:r>
      <w:r w:rsidR="006E7A2F" w:rsidRPr="00CA4ABC">
        <w:rPr>
          <w:rFonts w:cstheme="minorHAnsi"/>
          <w:color w:val="000000" w:themeColor="text1"/>
        </w:rPr>
      </w:r>
      <w:r w:rsidR="006E7A2F"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11</w:t>
      </w:r>
      <w:r w:rsidR="006E7A2F" w:rsidRPr="00CA4ABC">
        <w:rPr>
          <w:rFonts w:cstheme="minorHAnsi"/>
          <w:color w:val="000000" w:themeColor="text1"/>
        </w:rPr>
        <w:fldChar w:fldCharType="end"/>
      </w:r>
      <w:r w:rsidR="007E4F25" w:rsidRPr="00CA4ABC">
        <w:rPr>
          <w:rFonts w:cstheme="minorHAnsi"/>
          <w:color w:val="000000" w:themeColor="text1"/>
        </w:rPr>
        <w:t>)</w:t>
      </w:r>
      <w:r w:rsidRPr="00CA4ABC">
        <w:rPr>
          <w:rFonts w:cstheme="minorHAnsi"/>
          <w:color w:val="000000" w:themeColor="text1"/>
        </w:rPr>
        <w:t xml:space="preserve"> and 0.683</w:t>
      </w:r>
      <w:r w:rsidR="006E7A2F" w:rsidRPr="00CA4ABC">
        <w:rPr>
          <w:rFonts w:cstheme="minorHAnsi"/>
          <w:color w:val="000000" w:themeColor="text1"/>
        </w:rPr>
        <w:t xml:space="preserve"> (</w:t>
      </w:r>
      <w:r w:rsidR="006E7A2F" w:rsidRPr="00CA4ABC">
        <w:rPr>
          <w:rFonts w:cstheme="minorHAnsi"/>
          <w:color w:val="000000" w:themeColor="text1"/>
        </w:rPr>
        <w:fldChar w:fldCharType="begin"/>
      </w:r>
      <w:r w:rsidR="006E7A2F" w:rsidRPr="00CA4ABC">
        <w:rPr>
          <w:rFonts w:cstheme="minorHAnsi"/>
          <w:color w:val="000000" w:themeColor="text1"/>
        </w:rPr>
        <w:instrText xml:space="preserve"> REF _Ref122442656 \h </w:instrText>
      </w:r>
      <w:r w:rsidR="00B37ED2" w:rsidRPr="00CA4ABC">
        <w:rPr>
          <w:rFonts w:cstheme="minorHAnsi"/>
          <w:color w:val="000000" w:themeColor="text1"/>
        </w:rPr>
        <w:instrText xml:space="preserve"> \* MERGEFORMAT </w:instrText>
      </w:r>
      <w:r w:rsidR="006E7A2F" w:rsidRPr="00CA4ABC">
        <w:rPr>
          <w:rFonts w:cstheme="minorHAnsi"/>
          <w:color w:val="000000" w:themeColor="text1"/>
        </w:rPr>
      </w:r>
      <w:r w:rsidR="006E7A2F"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12</w:t>
      </w:r>
      <w:r w:rsidR="006E7A2F" w:rsidRPr="00CA4ABC">
        <w:rPr>
          <w:rFonts w:cstheme="minorHAnsi"/>
          <w:color w:val="000000" w:themeColor="text1"/>
        </w:rPr>
        <w:fldChar w:fldCharType="end"/>
      </w:r>
      <w:r w:rsidR="001920B8" w:rsidRPr="00CA4ABC">
        <w:rPr>
          <w:rFonts w:cstheme="minorHAnsi"/>
          <w:color w:val="000000" w:themeColor="text1"/>
        </w:rPr>
        <w:t>)</w:t>
      </w:r>
      <w:r w:rsidRPr="00CA4ABC">
        <w:rPr>
          <w:rFonts w:cstheme="minorHAnsi"/>
          <w:color w:val="000000" w:themeColor="text1"/>
        </w:rPr>
        <w:t>, respectively, revealing that an increase in the protein cut</w:t>
      </w:r>
      <w:r w:rsidR="0043053F" w:rsidRPr="00CA4ABC">
        <w:rPr>
          <w:rFonts w:cstheme="minorHAnsi"/>
          <w:color w:val="000000" w:themeColor="text1"/>
        </w:rPr>
        <w:t>-</w:t>
      </w:r>
      <w:r w:rsidRPr="00CA4ABC">
        <w:rPr>
          <w:rFonts w:cstheme="minorHAnsi"/>
          <w:color w:val="000000" w:themeColor="text1"/>
        </w:rPr>
        <w:t>off increased the likelihood of the tool correctly identify</w:t>
      </w:r>
      <w:r w:rsidR="0043053F" w:rsidRPr="00CA4ABC">
        <w:rPr>
          <w:rFonts w:cstheme="minorHAnsi"/>
          <w:color w:val="000000" w:themeColor="text1"/>
        </w:rPr>
        <w:t>ing</w:t>
      </w:r>
      <w:r w:rsidRPr="00CA4ABC">
        <w:rPr>
          <w:rFonts w:cstheme="minorHAnsi"/>
          <w:color w:val="000000" w:themeColor="text1"/>
        </w:rPr>
        <w:t xml:space="preserve"> a case.</w:t>
      </w:r>
      <w:r w:rsidR="007E4F25" w:rsidRPr="00CA4ABC">
        <w:rPr>
          <w:rFonts w:cstheme="minorHAnsi"/>
          <w:color w:val="000000" w:themeColor="text1"/>
        </w:rPr>
        <w:t xml:space="preserve"> </w:t>
      </w:r>
      <w:r w:rsidR="0043053F" w:rsidRPr="00CA4ABC">
        <w:rPr>
          <w:rFonts w:cstheme="minorHAnsi"/>
          <w:color w:val="000000" w:themeColor="text1"/>
        </w:rPr>
        <w:t xml:space="preserve">The table reports positive, </w:t>
      </w:r>
      <w:r w:rsidR="0043053F" w:rsidRPr="00CA4ABC">
        <w:rPr>
          <w:rFonts w:cstheme="minorHAnsi"/>
          <w:color w:val="000000" w:themeColor="text1"/>
        </w:rPr>
        <w:lastRenderedPageBreak/>
        <w:t>negative and missing values at each cut-off point</w:t>
      </w:r>
      <w:r w:rsidR="007E4F25" w:rsidRPr="00CA4ABC">
        <w:rPr>
          <w:rFonts w:cstheme="minorHAnsi"/>
          <w:color w:val="000000" w:themeColor="text1"/>
        </w:rPr>
        <w:t xml:space="preserve">. </w:t>
      </w:r>
      <w:r w:rsidRPr="00CA4ABC">
        <w:rPr>
          <w:rFonts w:cstheme="minorHAnsi"/>
          <w:color w:val="000000" w:themeColor="text1"/>
        </w:rPr>
        <w:t xml:space="preserve"> No cut-off led </w:t>
      </w:r>
      <w:r w:rsidR="001920B8" w:rsidRPr="00CA4ABC">
        <w:rPr>
          <w:rFonts w:cstheme="minorHAnsi"/>
          <w:color w:val="000000" w:themeColor="text1"/>
        </w:rPr>
        <w:t xml:space="preserve">to an </w:t>
      </w:r>
      <w:r w:rsidRPr="00CA4ABC">
        <w:rPr>
          <w:rFonts w:cstheme="minorHAnsi"/>
          <w:color w:val="000000" w:themeColor="text1"/>
        </w:rPr>
        <w:t>AUC</w:t>
      </w:r>
      <w:r w:rsidR="001920B8" w:rsidRPr="00CA4ABC">
        <w:rPr>
          <w:rFonts w:cstheme="minorHAnsi"/>
          <w:color w:val="000000" w:themeColor="text1"/>
        </w:rPr>
        <w:t xml:space="preserve"> of 0.7</w:t>
      </w:r>
      <w:r w:rsidR="00E76BBF" w:rsidRPr="00CA4ABC">
        <w:rPr>
          <w:rFonts w:cstheme="minorHAnsi"/>
          <w:color w:val="000000" w:themeColor="text1"/>
        </w:rPr>
        <w:t>. This</w:t>
      </w:r>
      <w:r w:rsidRPr="00CA4ABC">
        <w:rPr>
          <w:rFonts w:cstheme="minorHAnsi"/>
          <w:color w:val="000000" w:themeColor="text1"/>
        </w:rPr>
        <w:t xml:space="preserve"> is </w:t>
      </w:r>
      <w:r w:rsidR="00E76BBF" w:rsidRPr="00CA4ABC">
        <w:rPr>
          <w:rFonts w:cstheme="minorHAnsi"/>
          <w:color w:val="000000" w:themeColor="text1"/>
        </w:rPr>
        <w:t xml:space="preserve">the threshold </w:t>
      </w:r>
      <w:r w:rsidRPr="00CA4ABC">
        <w:rPr>
          <w:rFonts w:cstheme="minorHAnsi"/>
          <w:color w:val="000000" w:themeColor="text1"/>
        </w:rPr>
        <w:t xml:space="preserve">described as “fair” for using the tool for screening purposes. </w:t>
      </w:r>
    </w:p>
    <w:p w14:paraId="778BF36E" w14:textId="7E2FDB0F" w:rsidR="00F13BED" w:rsidRPr="00CA4ABC" w:rsidRDefault="00F13BED" w:rsidP="004053D7">
      <w:pPr>
        <w:spacing w:line="360" w:lineRule="auto"/>
        <w:rPr>
          <w:rFonts w:cstheme="minorHAnsi"/>
          <w:color w:val="000000" w:themeColor="text1"/>
        </w:rPr>
      </w:pPr>
    </w:p>
    <w:tbl>
      <w:tblPr>
        <w:tblStyle w:val="TableGrid"/>
        <w:tblW w:w="0" w:type="auto"/>
        <w:tblLook w:val="04A0" w:firstRow="1" w:lastRow="0" w:firstColumn="1" w:lastColumn="0" w:noHBand="0" w:noVBand="1"/>
      </w:tblPr>
      <w:tblGrid>
        <w:gridCol w:w="1802"/>
        <w:gridCol w:w="1802"/>
        <w:gridCol w:w="1802"/>
        <w:gridCol w:w="1802"/>
        <w:gridCol w:w="1802"/>
      </w:tblGrid>
      <w:tr w:rsidR="004053D7" w:rsidRPr="00CA4ABC" w14:paraId="1C16C823" w14:textId="77777777" w:rsidTr="007E4F25">
        <w:tc>
          <w:tcPr>
            <w:tcW w:w="1802" w:type="dxa"/>
          </w:tcPr>
          <w:p w14:paraId="1F4CB302" w14:textId="7AEC74DC" w:rsidR="007E4F25" w:rsidRPr="00CA4ABC" w:rsidRDefault="007E4F25" w:rsidP="0057276C">
            <w:pPr>
              <w:jc w:val="center"/>
              <w:rPr>
                <w:rFonts w:cstheme="minorHAnsi"/>
                <w:b/>
                <w:bCs/>
                <w:color w:val="000000" w:themeColor="text1"/>
              </w:rPr>
            </w:pPr>
            <w:r w:rsidRPr="00CA4ABC">
              <w:rPr>
                <w:rFonts w:cstheme="minorHAnsi"/>
                <w:b/>
                <w:bCs/>
                <w:color w:val="000000" w:themeColor="text1"/>
              </w:rPr>
              <w:t>Cut-off point</w:t>
            </w:r>
          </w:p>
        </w:tc>
        <w:tc>
          <w:tcPr>
            <w:tcW w:w="1802" w:type="dxa"/>
          </w:tcPr>
          <w:p w14:paraId="5C7C2060" w14:textId="6FD64DFB" w:rsidR="007E4F25" w:rsidRPr="00CA4ABC" w:rsidRDefault="007E4F25" w:rsidP="0057276C">
            <w:pPr>
              <w:jc w:val="center"/>
              <w:rPr>
                <w:rFonts w:cstheme="minorHAnsi"/>
                <w:b/>
                <w:bCs/>
                <w:color w:val="000000" w:themeColor="text1"/>
              </w:rPr>
            </w:pPr>
            <w:r w:rsidRPr="00CA4ABC">
              <w:rPr>
                <w:rFonts w:cstheme="minorHAnsi"/>
                <w:b/>
                <w:bCs/>
                <w:color w:val="000000" w:themeColor="text1"/>
              </w:rPr>
              <w:t>AUC</w:t>
            </w:r>
          </w:p>
        </w:tc>
        <w:tc>
          <w:tcPr>
            <w:tcW w:w="1802" w:type="dxa"/>
          </w:tcPr>
          <w:p w14:paraId="20F2FC1C" w14:textId="6110B046" w:rsidR="007E4F25" w:rsidRPr="00CA4ABC" w:rsidRDefault="007E4F25" w:rsidP="0057276C">
            <w:pPr>
              <w:jc w:val="center"/>
              <w:rPr>
                <w:rFonts w:cstheme="minorHAnsi"/>
                <w:b/>
                <w:bCs/>
                <w:color w:val="000000" w:themeColor="text1"/>
              </w:rPr>
            </w:pPr>
            <w:r w:rsidRPr="00CA4ABC">
              <w:rPr>
                <w:rFonts w:cstheme="minorHAnsi"/>
                <w:b/>
                <w:bCs/>
                <w:color w:val="000000" w:themeColor="text1"/>
              </w:rPr>
              <w:t>Positive values</w:t>
            </w:r>
          </w:p>
        </w:tc>
        <w:tc>
          <w:tcPr>
            <w:tcW w:w="1802" w:type="dxa"/>
          </w:tcPr>
          <w:p w14:paraId="24BE93F7" w14:textId="584755E1" w:rsidR="007E4F25" w:rsidRPr="00CA4ABC" w:rsidRDefault="007E4F25" w:rsidP="0057276C">
            <w:pPr>
              <w:jc w:val="center"/>
              <w:rPr>
                <w:rFonts w:cstheme="minorHAnsi"/>
                <w:b/>
                <w:bCs/>
                <w:color w:val="000000" w:themeColor="text1"/>
              </w:rPr>
            </w:pPr>
            <w:r w:rsidRPr="00CA4ABC">
              <w:rPr>
                <w:rFonts w:cstheme="minorHAnsi"/>
                <w:b/>
                <w:bCs/>
                <w:color w:val="000000" w:themeColor="text1"/>
              </w:rPr>
              <w:t>Negative values</w:t>
            </w:r>
          </w:p>
        </w:tc>
        <w:tc>
          <w:tcPr>
            <w:tcW w:w="1802" w:type="dxa"/>
          </w:tcPr>
          <w:p w14:paraId="3E3F43BF" w14:textId="2CD685F3" w:rsidR="007E4F25" w:rsidRPr="00CA4ABC" w:rsidRDefault="007E4F25" w:rsidP="0057276C">
            <w:pPr>
              <w:jc w:val="center"/>
              <w:rPr>
                <w:rFonts w:cstheme="minorHAnsi"/>
                <w:b/>
                <w:bCs/>
                <w:color w:val="000000" w:themeColor="text1"/>
              </w:rPr>
            </w:pPr>
            <w:r w:rsidRPr="00CA4ABC">
              <w:rPr>
                <w:rFonts w:cstheme="minorHAnsi"/>
                <w:b/>
                <w:bCs/>
                <w:color w:val="000000" w:themeColor="text1"/>
              </w:rPr>
              <w:t>Missing data</w:t>
            </w:r>
            <w:r w:rsidR="00CA0396" w:rsidRPr="00CA4ABC">
              <w:rPr>
                <w:rFonts w:cstheme="minorHAnsi"/>
                <w:b/>
                <w:bCs/>
                <w:color w:val="000000" w:themeColor="text1"/>
              </w:rPr>
              <w:t>#</w:t>
            </w:r>
          </w:p>
        </w:tc>
      </w:tr>
      <w:tr w:rsidR="00363C6A" w:rsidRPr="00CA4ABC" w14:paraId="6C9D6D3A" w14:textId="77777777" w:rsidTr="007E4F25">
        <w:tc>
          <w:tcPr>
            <w:tcW w:w="1802" w:type="dxa"/>
          </w:tcPr>
          <w:p w14:paraId="3108A0B6" w14:textId="78FFEF28" w:rsidR="00363C6A" w:rsidRPr="00CA4ABC" w:rsidRDefault="00363C6A" w:rsidP="005D4B99">
            <w:pPr>
              <w:rPr>
                <w:rFonts w:cstheme="minorHAnsi"/>
                <w:b/>
                <w:bCs/>
                <w:color w:val="000000" w:themeColor="text1"/>
              </w:rPr>
            </w:pPr>
            <w:r w:rsidRPr="00CA4ABC">
              <w:rPr>
                <w:rFonts w:cstheme="minorHAnsi"/>
                <w:b/>
                <w:bCs/>
                <w:color w:val="000000" w:themeColor="text1"/>
              </w:rPr>
              <w:t>0.75g/kg BM/d</w:t>
            </w:r>
          </w:p>
        </w:tc>
        <w:tc>
          <w:tcPr>
            <w:tcW w:w="1802" w:type="dxa"/>
          </w:tcPr>
          <w:p w14:paraId="330A3039" w14:textId="188B2EFF" w:rsidR="00363C6A" w:rsidRPr="00CA4ABC" w:rsidRDefault="00363C6A" w:rsidP="005D4B99">
            <w:pPr>
              <w:rPr>
                <w:rFonts w:cstheme="minorHAnsi"/>
                <w:color w:val="000000" w:themeColor="text1"/>
              </w:rPr>
            </w:pPr>
            <w:r w:rsidRPr="00CA4ABC">
              <w:rPr>
                <w:rFonts w:cstheme="minorHAnsi"/>
                <w:color w:val="000000" w:themeColor="text1"/>
              </w:rPr>
              <w:t>0.645</w:t>
            </w:r>
          </w:p>
        </w:tc>
        <w:tc>
          <w:tcPr>
            <w:tcW w:w="1802" w:type="dxa"/>
          </w:tcPr>
          <w:p w14:paraId="28E8C6D6" w14:textId="05BC9D9A" w:rsidR="00363C6A" w:rsidRPr="00CA4ABC" w:rsidRDefault="00363C6A" w:rsidP="005D4B99">
            <w:pPr>
              <w:rPr>
                <w:rFonts w:cstheme="minorHAnsi"/>
                <w:color w:val="000000" w:themeColor="text1"/>
              </w:rPr>
            </w:pPr>
            <w:r w:rsidRPr="00CA4ABC">
              <w:rPr>
                <w:rFonts w:cstheme="minorHAnsi"/>
                <w:color w:val="000000" w:themeColor="text1"/>
              </w:rPr>
              <w:t>88</w:t>
            </w:r>
          </w:p>
        </w:tc>
        <w:tc>
          <w:tcPr>
            <w:tcW w:w="1802" w:type="dxa"/>
          </w:tcPr>
          <w:p w14:paraId="0520C834" w14:textId="412A6B3D" w:rsidR="00363C6A" w:rsidRPr="00CA4ABC" w:rsidRDefault="00363C6A" w:rsidP="005D4B99">
            <w:pPr>
              <w:rPr>
                <w:rFonts w:cstheme="minorHAnsi"/>
                <w:color w:val="000000" w:themeColor="text1"/>
              </w:rPr>
            </w:pPr>
            <w:r w:rsidRPr="00CA4ABC">
              <w:rPr>
                <w:rFonts w:cstheme="minorHAnsi"/>
                <w:color w:val="000000" w:themeColor="text1"/>
              </w:rPr>
              <w:t>203</w:t>
            </w:r>
          </w:p>
        </w:tc>
        <w:tc>
          <w:tcPr>
            <w:tcW w:w="1802" w:type="dxa"/>
            <w:vMerge w:val="restart"/>
          </w:tcPr>
          <w:p w14:paraId="6B8FED4E" w14:textId="77777777" w:rsidR="00363C6A" w:rsidRPr="00CA4ABC" w:rsidRDefault="00363C6A" w:rsidP="005D4B99">
            <w:pPr>
              <w:rPr>
                <w:rFonts w:cstheme="minorHAnsi"/>
                <w:color w:val="000000" w:themeColor="text1"/>
              </w:rPr>
            </w:pPr>
            <w:r w:rsidRPr="00CA4ABC">
              <w:rPr>
                <w:rFonts w:cstheme="minorHAnsi"/>
                <w:color w:val="000000" w:themeColor="text1"/>
              </w:rPr>
              <w:t>16</w:t>
            </w:r>
          </w:p>
          <w:p w14:paraId="55AD18CE" w14:textId="3CF41AA5" w:rsidR="00363C6A" w:rsidRPr="00CA4ABC" w:rsidRDefault="00363C6A" w:rsidP="005D4B99">
            <w:pPr>
              <w:rPr>
                <w:rFonts w:cstheme="minorHAnsi"/>
                <w:color w:val="000000" w:themeColor="text1"/>
              </w:rPr>
            </w:pPr>
          </w:p>
        </w:tc>
      </w:tr>
      <w:tr w:rsidR="00363C6A" w:rsidRPr="00CA4ABC" w14:paraId="6C78CC20" w14:textId="77777777" w:rsidTr="007E4F25">
        <w:tc>
          <w:tcPr>
            <w:tcW w:w="1802" w:type="dxa"/>
          </w:tcPr>
          <w:p w14:paraId="6E743477" w14:textId="20E8109E" w:rsidR="00363C6A" w:rsidRPr="00CA4ABC" w:rsidRDefault="00363C6A" w:rsidP="005D4B99">
            <w:pPr>
              <w:rPr>
                <w:rFonts w:cstheme="minorHAnsi"/>
                <w:b/>
                <w:bCs/>
                <w:color w:val="000000" w:themeColor="text1"/>
              </w:rPr>
            </w:pPr>
            <w:r w:rsidRPr="00CA4ABC">
              <w:rPr>
                <w:rFonts w:cstheme="minorHAnsi"/>
                <w:b/>
                <w:bCs/>
                <w:color w:val="000000" w:themeColor="text1"/>
              </w:rPr>
              <w:t>1g/kg BM/d</w:t>
            </w:r>
          </w:p>
        </w:tc>
        <w:tc>
          <w:tcPr>
            <w:tcW w:w="1802" w:type="dxa"/>
          </w:tcPr>
          <w:p w14:paraId="7B0DB6BB" w14:textId="6B8028F0" w:rsidR="00363C6A" w:rsidRPr="00CA4ABC" w:rsidRDefault="00363C6A" w:rsidP="005D4B99">
            <w:pPr>
              <w:rPr>
                <w:rFonts w:cstheme="minorHAnsi"/>
                <w:color w:val="000000" w:themeColor="text1"/>
              </w:rPr>
            </w:pPr>
            <w:r w:rsidRPr="00CA4ABC">
              <w:rPr>
                <w:rFonts w:cstheme="minorHAnsi"/>
                <w:color w:val="000000" w:themeColor="text1"/>
              </w:rPr>
              <w:t>0.658</w:t>
            </w:r>
          </w:p>
        </w:tc>
        <w:tc>
          <w:tcPr>
            <w:tcW w:w="1802" w:type="dxa"/>
          </w:tcPr>
          <w:p w14:paraId="58282DBA" w14:textId="733AE8F0" w:rsidR="00363C6A" w:rsidRPr="00CA4ABC" w:rsidRDefault="00363C6A" w:rsidP="005D4B99">
            <w:pPr>
              <w:rPr>
                <w:rFonts w:cstheme="minorHAnsi"/>
                <w:color w:val="000000" w:themeColor="text1"/>
              </w:rPr>
            </w:pPr>
            <w:r w:rsidRPr="00CA4ABC">
              <w:rPr>
                <w:rFonts w:cstheme="minorHAnsi"/>
                <w:color w:val="000000" w:themeColor="text1"/>
              </w:rPr>
              <w:t>144</w:t>
            </w:r>
          </w:p>
        </w:tc>
        <w:tc>
          <w:tcPr>
            <w:tcW w:w="1802" w:type="dxa"/>
          </w:tcPr>
          <w:p w14:paraId="186F13E9" w14:textId="4FAD2A59" w:rsidR="00363C6A" w:rsidRPr="00CA4ABC" w:rsidRDefault="00363C6A" w:rsidP="005D4B99">
            <w:pPr>
              <w:rPr>
                <w:rFonts w:cstheme="minorHAnsi"/>
                <w:color w:val="000000" w:themeColor="text1"/>
              </w:rPr>
            </w:pPr>
            <w:r w:rsidRPr="00CA4ABC">
              <w:rPr>
                <w:rFonts w:cstheme="minorHAnsi"/>
                <w:color w:val="000000" w:themeColor="text1"/>
              </w:rPr>
              <w:t>147</w:t>
            </w:r>
          </w:p>
        </w:tc>
        <w:tc>
          <w:tcPr>
            <w:tcW w:w="1802" w:type="dxa"/>
            <w:vMerge/>
          </w:tcPr>
          <w:p w14:paraId="785B953A" w14:textId="0E0EDF0F" w:rsidR="00363C6A" w:rsidRPr="00CA4ABC" w:rsidRDefault="00363C6A" w:rsidP="005D4B99">
            <w:pPr>
              <w:rPr>
                <w:rFonts w:cstheme="minorHAnsi"/>
                <w:color w:val="000000" w:themeColor="text1"/>
              </w:rPr>
            </w:pPr>
          </w:p>
        </w:tc>
      </w:tr>
      <w:tr w:rsidR="00363C6A" w:rsidRPr="00CA4ABC" w14:paraId="5A844EE5" w14:textId="77777777" w:rsidTr="007E4F25">
        <w:tc>
          <w:tcPr>
            <w:tcW w:w="1802" w:type="dxa"/>
          </w:tcPr>
          <w:p w14:paraId="713BE3C7" w14:textId="1D17C557" w:rsidR="00363C6A" w:rsidRPr="00CA4ABC" w:rsidRDefault="00363C6A" w:rsidP="005D4B99">
            <w:pPr>
              <w:rPr>
                <w:rFonts w:cstheme="minorHAnsi"/>
                <w:b/>
                <w:bCs/>
                <w:color w:val="000000" w:themeColor="text1"/>
              </w:rPr>
            </w:pPr>
            <w:r w:rsidRPr="00CA4ABC">
              <w:rPr>
                <w:rFonts w:cstheme="minorHAnsi"/>
                <w:b/>
                <w:bCs/>
                <w:color w:val="000000" w:themeColor="text1"/>
              </w:rPr>
              <w:t>1.2g/kg BM/d</w:t>
            </w:r>
          </w:p>
        </w:tc>
        <w:tc>
          <w:tcPr>
            <w:tcW w:w="1802" w:type="dxa"/>
          </w:tcPr>
          <w:p w14:paraId="219E48C0" w14:textId="3E756C3D" w:rsidR="00363C6A" w:rsidRPr="00CA4ABC" w:rsidRDefault="00363C6A" w:rsidP="005D4B99">
            <w:pPr>
              <w:rPr>
                <w:rFonts w:cstheme="minorHAnsi"/>
                <w:color w:val="000000" w:themeColor="text1"/>
              </w:rPr>
            </w:pPr>
            <w:r w:rsidRPr="00CA4ABC">
              <w:rPr>
                <w:rFonts w:cstheme="minorHAnsi"/>
                <w:color w:val="000000" w:themeColor="text1"/>
              </w:rPr>
              <w:t>0.683</w:t>
            </w:r>
          </w:p>
        </w:tc>
        <w:tc>
          <w:tcPr>
            <w:tcW w:w="1802" w:type="dxa"/>
          </w:tcPr>
          <w:p w14:paraId="5059A02D" w14:textId="76D162E1" w:rsidR="00363C6A" w:rsidRPr="00CA4ABC" w:rsidRDefault="00363C6A" w:rsidP="005D4B99">
            <w:pPr>
              <w:rPr>
                <w:rFonts w:cstheme="minorHAnsi"/>
                <w:color w:val="000000" w:themeColor="text1"/>
              </w:rPr>
            </w:pPr>
            <w:r w:rsidRPr="00CA4ABC">
              <w:rPr>
                <w:rFonts w:cstheme="minorHAnsi"/>
                <w:color w:val="000000" w:themeColor="text1"/>
              </w:rPr>
              <w:t>189</w:t>
            </w:r>
          </w:p>
        </w:tc>
        <w:tc>
          <w:tcPr>
            <w:tcW w:w="1802" w:type="dxa"/>
          </w:tcPr>
          <w:p w14:paraId="1962C18E" w14:textId="3202BAC4" w:rsidR="00363C6A" w:rsidRPr="00CA4ABC" w:rsidRDefault="00363C6A" w:rsidP="005D4B99">
            <w:pPr>
              <w:rPr>
                <w:rFonts w:cstheme="minorHAnsi"/>
                <w:color w:val="000000" w:themeColor="text1"/>
              </w:rPr>
            </w:pPr>
            <w:r w:rsidRPr="00CA4ABC">
              <w:rPr>
                <w:rFonts w:cstheme="minorHAnsi"/>
                <w:color w:val="000000" w:themeColor="text1"/>
              </w:rPr>
              <w:t>102</w:t>
            </w:r>
          </w:p>
        </w:tc>
        <w:tc>
          <w:tcPr>
            <w:tcW w:w="1802" w:type="dxa"/>
            <w:vMerge/>
          </w:tcPr>
          <w:p w14:paraId="7CA82AF1" w14:textId="1DDBB557" w:rsidR="00363C6A" w:rsidRPr="00CA4ABC" w:rsidRDefault="00363C6A" w:rsidP="005D4B99">
            <w:pPr>
              <w:rPr>
                <w:rFonts w:cstheme="minorHAnsi"/>
                <w:color w:val="000000" w:themeColor="text1"/>
              </w:rPr>
            </w:pPr>
          </w:p>
        </w:tc>
      </w:tr>
    </w:tbl>
    <w:p w14:paraId="0CF3C391" w14:textId="5024AF20" w:rsidR="007E4F25" w:rsidRPr="00CA4ABC" w:rsidRDefault="007E4F25" w:rsidP="004053D7">
      <w:pPr>
        <w:spacing w:line="360" w:lineRule="auto"/>
        <w:rPr>
          <w:rFonts w:cstheme="minorHAnsi"/>
          <w:color w:val="000000" w:themeColor="text1"/>
        </w:rPr>
      </w:pPr>
    </w:p>
    <w:p w14:paraId="73889743" w14:textId="0553FCF4" w:rsidR="007E4F25" w:rsidRPr="0084010A" w:rsidRDefault="006E7A2F" w:rsidP="005D4B99">
      <w:pPr>
        <w:pStyle w:val="Caption"/>
        <w:spacing w:line="360" w:lineRule="auto"/>
        <w:rPr>
          <w:rFonts w:cstheme="minorHAnsi"/>
          <w:i w:val="0"/>
          <w:iCs w:val="0"/>
          <w:color w:val="000000" w:themeColor="text1"/>
          <w:sz w:val="24"/>
          <w:szCs w:val="24"/>
        </w:rPr>
      </w:pPr>
      <w:bookmarkStart w:id="138" w:name="_Toc122956575"/>
      <w:r w:rsidRPr="0084010A">
        <w:rPr>
          <w:rFonts w:cstheme="minorHAnsi"/>
          <w:i w:val="0"/>
          <w:iCs w:val="0"/>
          <w:color w:val="000000" w:themeColor="text1"/>
          <w:sz w:val="24"/>
          <w:szCs w:val="24"/>
        </w:rPr>
        <w:t xml:space="preserve">Table </w:t>
      </w:r>
      <w:r w:rsidRPr="0084010A">
        <w:rPr>
          <w:rFonts w:cstheme="minorHAnsi"/>
          <w:i w:val="0"/>
          <w:iCs w:val="0"/>
          <w:color w:val="000000" w:themeColor="text1"/>
          <w:sz w:val="24"/>
          <w:szCs w:val="24"/>
        </w:rPr>
        <w:fldChar w:fldCharType="begin"/>
      </w:r>
      <w:r w:rsidRPr="0084010A">
        <w:rPr>
          <w:rFonts w:cstheme="minorHAnsi"/>
          <w:i w:val="0"/>
          <w:iCs w:val="0"/>
          <w:color w:val="000000" w:themeColor="text1"/>
          <w:sz w:val="24"/>
          <w:szCs w:val="24"/>
        </w:rPr>
        <w:instrText xml:space="preserve"> SEQ Table \* ARABIC </w:instrText>
      </w:r>
      <w:r w:rsidRPr="0084010A">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10</w:t>
      </w:r>
      <w:r w:rsidRPr="0084010A">
        <w:rPr>
          <w:rFonts w:cstheme="minorHAnsi"/>
          <w:i w:val="0"/>
          <w:iCs w:val="0"/>
          <w:color w:val="000000" w:themeColor="text1"/>
          <w:sz w:val="24"/>
          <w:szCs w:val="24"/>
        </w:rPr>
        <w:fldChar w:fldCharType="end"/>
      </w:r>
      <w:r w:rsidR="0084010A" w:rsidRPr="0084010A">
        <w:rPr>
          <w:rFonts w:cstheme="minorHAnsi"/>
          <w:i w:val="0"/>
          <w:iCs w:val="0"/>
          <w:color w:val="000000" w:themeColor="text1"/>
          <w:sz w:val="24"/>
          <w:szCs w:val="24"/>
        </w:rPr>
        <w:t>.</w:t>
      </w:r>
      <w:r w:rsidRPr="0084010A">
        <w:rPr>
          <w:rFonts w:cstheme="minorHAnsi"/>
          <w:i w:val="0"/>
          <w:iCs w:val="0"/>
          <w:color w:val="000000" w:themeColor="text1"/>
          <w:sz w:val="24"/>
          <w:szCs w:val="24"/>
        </w:rPr>
        <w:t xml:space="preserve"> AUC results at the 3 different protein intake cut-off points.</w:t>
      </w:r>
      <w:bookmarkEnd w:id="138"/>
      <w:r w:rsidR="00CA0396" w:rsidRPr="0084010A">
        <w:rPr>
          <w:rFonts w:cstheme="minorHAnsi"/>
          <w:i w:val="0"/>
          <w:iCs w:val="0"/>
          <w:color w:val="000000" w:themeColor="text1"/>
          <w:sz w:val="24"/>
          <w:szCs w:val="24"/>
        </w:rPr>
        <w:t xml:space="preserve"> #Likely due to no gender</w:t>
      </w:r>
      <w:r w:rsidR="0021340A" w:rsidRPr="0084010A">
        <w:rPr>
          <w:rFonts w:cstheme="minorHAnsi"/>
          <w:i w:val="0"/>
          <w:iCs w:val="0"/>
          <w:color w:val="000000" w:themeColor="text1"/>
          <w:sz w:val="24"/>
          <w:szCs w:val="24"/>
        </w:rPr>
        <w:t xml:space="preserve"> being</w:t>
      </w:r>
      <w:r w:rsidR="00CA0396" w:rsidRPr="0084010A">
        <w:rPr>
          <w:rFonts w:cstheme="minorHAnsi"/>
          <w:i w:val="0"/>
          <w:iCs w:val="0"/>
          <w:color w:val="000000" w:themeColor="text1"/>
          <w:sz w:val="24"/>
          <w:szCs w:val="24"/>
        </w:rPr>
        <w:t xml:space="preserve"> specified.</w:t>
      </w:r>
      <w:r w:rsidRPr="0084010A">
        <w:rPr>
          <w:rFonts w:cstheme="minorHAnsi"/>
          <w:i w:val="0"/>
          <w:iCs w:val="0"/>
          <w:color w:val="000000" w:themeColor="text1"/>
          <w:sz w:val="24"/>
          <w:szCs w:val="24"/>
        </w:rPr>
        <w:t xml:space="preserve"> </w:t>
      </w:r>
    </w:p>
    <w:p w14:paraId="35B03EF5" w14:textId="77777777" w:rsidR="00CA0396" w:rsidRPr="00CA4ABC" w:rsidRDefault="00CA0396" w:rsidP="00CA0396">
      <w:pPr>
        <w:rPr>
          <w:rFonts w:cstheme="minorHAnsi"/>
        </w:rPr>
      </w:pPr>
    </w:p>
    <w:p w14:paraId="5A1FC8EB" w14:textId="62FCF65D" w:rsidR="007E4F25" w:rsidRPr="00CA4ABC" w:rsidRDefault="007E4F25" w:rsidP="004053D7">
      <w:pPr>
        <w:spacing w:line="360" w:lineRule="auto"/>
        <w:rPr>
          <w:rFonts w:cstheme="minorHAnsi"/>
          <w:color w:val="000000" w:themeColor="text1"/>
        </w:rPr>
      </w:pPr>
      <w:r w:rsidRPr="00CA4ABC">
        <w:rPr>
          <w:rFonts w:cstheme="minorHAnsi"/>
          <w:noProof/>
          <w:color w:val="000000" w:themeColor="text1"/>
        </w:rPr>
        <w:drawing>
          <wp:inline distT="0" distB="0" distL="0" distR="0" wp14:anchorId="06F88BCD" wp14:editId="313B79B8">
            <wp:extent cx="6308641" cy="3723132"/>
            <wp:effectExtent l="0" t="0" r="3810" b="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35"/>
                    <a:stretch>
                      <a:fillRect/>
                    </a:stretch>
                  </pic:blipFill>
                  <pic:spPr>
                    <a:xfrm>
                      <a:off x="0" y="0"/>
                      <a:ext cx="6319328" cy="3729439"/>
                    </a:xfrm>
                    <a:prstGeom prst="rect">
                      <a:avLst/>
                    </a:prstGeom>
                  </pic:spPr>
                </pic:pic>
              </a:graphicData>
            </a:graphic>
          </wp:inline>
        </w:drawing>
      </w:r>
    </w:p>
    <w:p w14:paraId="1D843770" w14:textId="08EE1760" w:rsidR="007E4F25" w:rsidRPr="0084010A" w:rsidRDefault="00C65FD3" w:rsidP="00C65FD3">
      <w:pPr>
        <w:pStyle w:val="Caption"/>
        <w:rPr>
          <w:rFonts w:cstheme="minorHAnsi"/>
          <w:i w:val="0"/>
          <w:iCs w:val="0"/>
          <w:color w:val="000000" w:themeColor="text1"/>
          <w:sz w:val="24"/>
          <w:szCs w:val="24"/>
        </w:rPr>
      </w:pPr>
      <w:bookmarkStart w:id="139" w:name="_Toc127044189"/>
      <w:bookmarkStart w:id="140" w:name="_Toc127978471"/>
      <w:r w:rsidRPr="00C65FD3">
        <w:rPr>
          <w:i w:val="0"/>
          <w:iCs w:val="0"/>
          <w:color w:val="000000" w:themeColor="text1"/>
          <w:sz w:val="24"/>
          <w:szCs w:val="24"/>
        </w:rPr>
        <w:t xml:space="preserve">Figure </w:t>
      </w:r>
      <w:r w:rsidRPr="00C65FD3">
        <w:rPr>
          <w:i w:val="0"/>
          <w:iCs w:val="0"/>
          <w:color w:val="000000" w:themeColor="text1"/>
          <w:sz w:val="24"/>
          <w:szCs w:val="24"/>
        </w:rPr>
        <w:fldChar w:fldCharType="begin"/>
      </w:r>
      <w:r w:rsidRPr="00C65FD3">
        <w:rPr>
          <w:i w:val="0"/>
          <w:iCs w:val="0"/>
          <w:color w:val="000000" w:themeColor="text1"/>
          <w:sz w:val="24"/>
          <w:szCs w:val="24"/>
        </w:rPr>
        <w:instrText xml:space="preserve"> SEQ Figure \* ARABIC </w:instrText>
      </w:r>
      <w:r w:rsidRPr="00C65FD3">
        <w:rPr>
          <w:i w:val="0"/>
          <w:iCs w:val="0"/>
          <w:color w:val="000000" w:themeColor="text1"/>
          <w:sz w:val="24"/>
          <w:szCs w:val="24"/>
        </w:rPr>
        <w:fldChar w:fldCharType="separate"/>
      </w:r>
      <w:r w:rsidR="002B439C">
        <w:rPr>
          <w:i w:val="0"/>
          <w:iCs w:val="0"/>
          <w:noProof/>
          <w:color w:val="000000" w:themeColor="text1"/>
          <w:sz w:val="24"/>
          <w:szCs w:val="24"/>
        </w:rPr>
        <w:t>11</w:t>
      </w:r>
      <w:r w:rsidRPr="00C65FD3">
        <w:rPr>
          <w:i w:val="0"/>
          <w:iCs w:val="0"/>
          <w:color w:val="000000" w:themeColor="text1"/>
          <w:sz w:val="24"/>
          <w:szCs w:val="24"/>
        </w:rPr>
        <w:fldChar w:fldCharType="end"/>
      </w:r>
      <w:r w:rsidRPr="00C65FD3">
        <w:rPr>
          <w:rFonts w:cstheme="minorHAnsi"/>
          <w:i w:val="0"/>
          <w:iCs w:val="0"/>
          <w:color w:val="000000" w:themeColor="text1"/>
          <w:sz w:val="24"/>
          <w:szCs w:val="24"/>
        </w:rPr>
        <w:t xml:space="preserve">. </w:t>
      </w:r>
      <w:r w:rsidR="006E7A2F" w:rsidRPr="00C65FD3">
        <w:rPr>
          <w:rFonts w:cstheme="minorHAnsi"/>
          <w:i w:val="0"/>
          <w:iCs w:val="0"/>
          <w:color w:val="000000" w:themeColor="text1"/>
          <w:sz w:val="24"/>
          <w:szCs w:val="24"/>
        </w:rPr>
        <w:t xml:space="preserve">ROC </w:t>
      </w:r>
      <w:r w:rsidR="006E7A2F" w:rsidRPr="0084010A">
        <w:rPr>
          <w:rFonts w:cstheme="minorHAnsi"/>
          <w:i w:val="0"/>
          <w:iCs w:val="0"/>
          <w:color w:val="000000" w:themeColor="text1"/>
          <w:sz w:val="24"/>
          <w:szCs w:val="24"/>
        </w:rPr>
        <w:t>at cut-off point 0.75g.kg BM/d</w:t>
      </w:r>
      <w:bookmarkEnd w:id="139"/>
      <w:r w:rsidR="0084010A">
        <w:rPr>
          <w:rFonts w:cstheme="minorHAnsi"/>
          <w:i w:val="0"/>
          <w:iCs w:val="0"/>
          <w:color w:val="000000" w:themeColor="text1"/>
          <w:sz w:val="24"/>
          <w:szCs w:val="24"/>
        </w:rPr>
        <w:t>.</w:t>
      </w:r>
      <w:bookmarkEnd w:id="140"/>
    </w:p>
    <w:p w14:paraId="4DDF3D98" w14:textId="77777777" w:rsidR="00F13BED" w:rsidRPr="00CA4ABC" w:rsidRDefault="00F13BED" w:rsidP="004053D7">
      <w:pPr>
        <w:spacing w:line="360" w:lineRule="auto"/>
        <w:rPr>
          <w:rFonts w:cstheme="minorHAnsi"/>
          <w:color w:val="000000" w:themeColor="text1"/>
        </w:rPr>
      </w:pPr>
      <w:r w:rsidRPr="00CA4ABC">
        <w:rPr>
          <w:rFonts w:cstheme="minorHAnsi"/>
          <w:noProof/>
          <w:color w:val="000000" w:themeColor="text1"/>
        </w:rPr>
        <w:lastRenderedPageBreak/>
        <w:drawing>
          <wp:inline distT="0" distB="0" distL="0" distR="0" wp14:anchorId="7554BB3A" wp14:editId="2BB7DAB1">
            <wp:extent cx="6126480" cy="3615627"/>
            <wp:effectExtent l="0" t="0" r="0" b="4445"/>
            <wp:docPr id="22" name="Picture 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36"/>
                    <a:stretch>
                      <a:fillRect/>
                    </a:stretch>
                  </pic:blipFill>
                  <pic:spPr>
                    <a:xfrm>
                      <a:off x="0" y="0"/>
                      <a:ext cx="6137823" cy="3622321"/>
                    </a:xfrm>
                    <a:prstGeom prst="rect">
                      <a:avLst/>
                    </a:prstGeom>
                  </pic:spPr>
                </pic:pic>
              </a:graphicData>
            </a:graphic>
          </wp:inline>
        </w:drawing>
      </w:r>
    </w:p>
    <w:p w14:paraId="572D05D7" w14:textId="3FE8CAB7" w:rsidR="00F13BED" w:rsidRPr="0084010A" w:rsidRDefault="006E7A2F" w:rsidP="005D4B99">
      <w:pPr>
        <w:pStyle w:val="Caption"/>
        <w:spacing w:line="360" w:lineRule="auto"/>
        <w:rPr>
          <w:rFonts w:cstheme="minorHAnsi"/>
          <w:i w:val="0"/>
          <w:iCs w:val="0"/>
          <w:color w:val="000000" w:themeColor="text1"/>
          <w:sz w:val="24"/>
          <w:szCs w:val="24"/>
        </w:rPr>
      </w:pPr>
      <w:bookmarkStart w:id="141" w:name="_Ref122442644"/>
      <w:bookmarkStart w:id="142" w:name="_Toc127044190"/>
      <w:bookmarkStart w:id="143" w:name="_Toc127978472"/>
      <w:r w:rsidRPr="0084010A">
        <w:rPr>
          <w:rFonts w:cstheme="minorHAnsi"/>
          <w:i w:val="0"/>
          <w:iCs w:val="0"/>
          <w:color w:val="000000" w:themeColor="text1"/>
          <w:sz w:val="24"/>
          <w:szCs w:val="24"/>
        </w:rPr>
        <w:t xml:space="preserve">Figure </w:t>
      </w:r>
      <w:r w:rsidRPr="0084010A">
        <w:rPr>
          <w:rFonts w:cstheme="minorHAnsi"/>
          <w:i w:val="0"/>
          <w:iCs w:val="0"/>
          <w:color w:val="000000" w:themeColor="text1"/>
          <w:sz w:val="24"/>
          <w:szCs w:val="24"/>
        </w:rPr>
        <w:fldChar w:fldCharType="begin"/>
      </w:r>
      <w:r w:rsidRPr="0084010A">
        <w:rPr>
          <w:rFonts w:cstheme="minorHAnsi"/>
          <w:i w:val="0"/>
          <w:iCs w:val="0"/>
          <w:color w:val="000000" w:themeColor="text1"/>
          <w:sz w:val="24"/>
          <w:szCs w:val="24"/>
        </w:rPr>
        <w:instrText xml:space="preserve"> SEQ Figure \* ARABIC </w:instrText>
      </w:r>
      <w:r w:rsidRPr="0084010A">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12</w:t>
      </w:r>
      <w:r w:rsidRPr="0084010A">
        <w:rPr>
          <w:rFonts w:cstheme="minorHAnsi"/>
          <w:i w:val="0"/>
          <w:iCs w:val="0"/>
          <w:color w:val="000000" w:themeColor="text1"/>
          <w:sz w:val="24"/>
          <w:szCs w:val="24"/>
        </w:rPr>
        <w:fldChar w:fldCharType="end"/>
      </w:r>
      <w:bookmarkEnd w:id="141"/>
      <w:r w:rsidR="0084010A">
        <w:rPr>
          <w:rFonts w:cstheme="minorHAnsi"/>
          <w:i w:val="0"/>
          <w:iCs w:val="0"/>
          <w:color w:val="000000" w:themeColor="text1"/>
          <w:sz w:val="24"/>
          <w:szCs w:val="24"/>
        </w:rPr>
        <w:t xml:space="preserve">. </w:t>
      </w:r>
      <w:r w:rsidRPr="0084010A">
        <w:rPr>
          <w:rFonts w:cstheme="minorHAnsi"/>
          <w:i w:val="0"/>
          <w:iCs w:val="0"/>
          <w:color w:val="000000" w:themeColor="text1"/>
          <w:sz w:val="24"/>
          <w:szCs w:val="24"/>
        </w:rPr>
        <w:t>ROC at cut-off 1g/kg BM/d.</w:t>
      </w:r>
      <w:bookmarkEnd w:id="142"/>
      <w:bookmarkEnd w:id="143"/>
    </w:p>
    <w:p w14:paraId="0A26D316" w14:textId="77777777" w:rsidR="00F13BED" w:rsidRPr="00CA4ABC" w:rsidRDefault="00F13BED" w:rsidP="004053D7">
      <w:pPr>
        <w:spacing w:line="360" w:lineRule="auto"/>
        <w:rPr>
          <w:rFonts w:cstheme="minorHAnsi"/>
          <w:color w:val="000000" w:themeColor="text1"/>
        </w:rPr>
      </w:pPr>
    </w:p>
    <w:p w14:paraId="0E7C97DC" w14:textId="7DFC02FC" w:rsidR="00F13BED" w:rsidRPr="00CA4ABC" w:rsidRDefault="00F13BED" w:rsidP="004053D7">
      <w:pPr>
        <w:spacing w:line="360" w:lineRule="auto"/>
        <w:rPr>
          <w:rFonts w:cstheme="minorHAnsi"/>
          <w:color w:val="000000" w:themeColor="text1"/>
        </w:rPr>
      </w:pPr>
      <w:r w:rsidRPr="00CA4ABC">
        <w:rPr>
          <w:rFonts w:cstheme="minorHAnsi"/>
          <w:noProof/>
          <w:color w:val="000000" w:themeColor="text1"/>
        </w:rPr>
        <w:drawing>
          <wp:inline distT="0" distB="0" distL="0" distR="0" wp14:anchorId="0EE11F88" wp14:editId="4B4747B9">
            <wp:extent cx="6197600" cy="3657600"/>
            <wp:effectExtent l="0" t="0" r="0" b="0"/>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37"/>
                    <a:stretch>
                      <a:fillRect/>
                    </a:stretch>
                  </pic:blipFill>
                  <pic:spPr>
                    <a:xfrm>
                      <a:off x="0" y="0"/>
                      <a:ext cx="6204693" cy="3661786"/>
                    </a:xfrm>
                    <a:prstGeom prst="rect">
                      <a:avLst/>
                    </a:prstGeom>
                  </pic:spPr>
                </pic:pic>
              </a:graphicData>
            </a:graphic>
          </wp:inline>
        </w:drawing>
      </w:r>
    </w:p>
    <w:p w14:paraId="6D6D78C7" w14:textId="27119460" w:rsidR="00755CCD" w:rsidRPr="0084010A" w:rsidRDefault="006E7A2F" w:rsidP="004053D7">
      <w:pPr>
        <w:pStyle w:val="Caption"/>
        <w:spacing w:line="360" w:lineRule="auto"/>
        <w:rPr>
          <w:rFonts w:cstheme="minorHAnsi"/>
          <w:i w:val="0"/>
          <w:iCs w:val="0"/>
          <w:color w:val="000000" w:themeColor="text1"/>
        </w:rPr>
        <w:sectPr w:rsidR="00755CCD" w:rsidRPr="0084010A" w:rsidSect="009E173A">
          <w:pgSz w:w="11900" w:h="16840"/>
          <w:pgMar w:top="1440" w:right="1440" w:bottom="1440" w:left="1440" w:header="708" w:footer="708" w:gutter="0"/>
          <w:cols w:space="708"/>
          <w:docGrid w:linePitch="360"/>
        </w:sectPr>
      </w:pPr>
      <w:bookmarkStart w:id="144" w:name="_Ref122442656"/>
      <w:bookmarkStart w:id="145" w:name="_Toc127044191"/>
      <w:bookmarkStart w:id="146" w:name="_Toc127978473"/>
      <w:r w:rsidRPr="0084010A">
        <w:rPr>
          <w:rFonts w:cstheme="minorHAnsi"/>
          <w:i w:val="0"/>
          <w:iCs w:val="0"/>
          <w:color w:val="000000" w:themeColor="text1"/>
          <w:sz w:val="24"/>
          <w:szCs w:val="24"/>
        </w:rPr>
        <w:t xml:space="preserve">Figure </w:t>
      </w:r>
      <w:r w:rsidRPr="0084010A">
        <w:rPr>
          <w:rFonts w:cstheme="minorHAnsi"/>
          <w:i w:val="0"/>
          <w:iCs w:val="0"/>
          <w:color w:val="000000" w:themeColor="text1"/>
          <w:sz w:val="24"/>
          <w:szCs w:val="24"/>
        </w:rPr>
        <w:fldChar w:fldCharType="begin"/>
      </w:r>
      <w:r w:rsidRPr="0084010A">
        <w:rPr>
          <w:rFonts w:cstheme="minorHAnsi"/>
          <w:i w:val="0"/>
          <w:iCs w:val="0"/>
          <w:color w:val="000000" w:themeColor="text1"/>
          <w:sz w:val="24"/>
          <w:szCs w:val="24"/>
        </w:rPr>
        <w:instrText xml:space="preserve"> SEQ Figure \* ARABIC </w:instrText>
      </w:r>
      <w:r w:rsidRPr="0084010A">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13</w:t>
      </w:r>
      <w:r w:rsidRPr="0084010A">
        <w:rPr>
          <w:rFonts w:cstheme="minorHAnsi"/>
          <w:i w:val="0"/>
          <w:iCs w:val="0"/>
          <w:color w:val="000000" w:themeColor="text1"/>
          <w:sz w:val="24"/>
          <w:szCs w:val="24"/>
        </w:rPr>
        <w:fldChar w:fldCharType="end"/>
      </w:r>
      <w:bookmarkEnd w:id="144"/>
      <w:r w:rsidR="0084010A" w:rsidRPr="0084010A">
        <w:rPr>
          <w:rFonts w:cstheme="minorHAnsi"/>
          <w:i w:val="0"/>
          <w:iCs w:val="0"/>
          <w:color w:val="000000" w:themeColor="text1"/>
          <w:sz w:val="24"/>
          <w:szCs w:val="24"/>
        </w:rPr>
        <w:t xml:space="preserve">. </w:t>
      </w:r>
      <w:r w:rsidRPr="0084010A">
        <w:rPr>
          <w:rFonts w:cstheme="minorHAnsi"/>
          <w:i w:val="0"/>
          <w:iCs w:val="0"/>
          <w:color w:val="000000" w:themeColor="text1"/>
          <w:sz w:val="24"/>
          <w:szCs w:val="24"/>
        </w:rPr>
        <w:t>ROC at cut-off 1.2g/kg BM</w:t>
      </w:r>
      <w:bookmarkEnd w:id="145"/>
      <w:r w:rsidR="0084010A" w:rsidRPr="0084010A">
        <w:rPr>
          <w:rFonts w:cstheme="minorHAnsi"/>
          <w:i w:val="0"/>
          <w:iCs w:val="0"/>
          <w:color w:val="000000" w:themeColor="text1"/>
          <w:sz w:val="24"/>
          <w:szCs w:val="24"/>
        </w:rPr>
        <w:t>.</w:t>
      </w:r>
      <w:bookmarkEnd w:id="146"/>
    </w:p>
    <w:p w14:paraId="609302D9" w14:textId="77777777" w:rsidR="00507FC8" w:rsidRPr="00CA4ABC" w:rsidRDefault="00507FC8" w:rsidP="004053D7">
      <w:pPr>
        <w:spacing w:line="360" w:lineRule="auto"/>
        <w:rPr>
          <w:rFonts w:cstheme="minorHAnsi"/>
          <w:color w:val="000000" w:themeColor="text1"/>
        </w:rPr>
      </w:pPr>
    </w:p>
    <w:p w14:paraId="049B3D51" w14:textId="2C060532" w:rsidR="006E7A2F" w:rsidRPr="00CA4ABC" w:rsidRDefault="00507FC8" w:rsidP="004053D7">
      <w:pPr>
        <w:pStyle w:val="Heading3"/>
        <w:spacing w:line="360" w:lineRule="auto"/>
        <w:rPr>
          <w:rFonts w:asciiTheme="minorHAnsi" w:hAnsiTheme="minorHAnsi" w:cstheme="minorHAnsi"/>
          <w:color w:val="000000" w:themeColor="text1"/>
        </w:rPr>
      </w:pPr>
      <w:bookmarkStart w:id="147" w:name="_Toc135384303"/>
      <w:r w:rsidRPr="00CA4ABC">
        <w:rPr>
          <w:rFonts w:asciiTheme="minorHAnsi" w:hAnsiTheme="minorHAnsi" w:cstheme="minorHAnsi"/>
          <w:color w:val="000000" w:themeColor="text1"/>
        </w:rPr>
        <w:t>3.5.6 Micronutrients exploration</w:t>
      </w:r>
      <w:bookmarkEnd w:id="147"/>
    </w:p>
    <w:p w14:paraId="2AAAEB3B" w14:textId="79263DC0" w:rsidR="006E7A2F" w:rsidRPr="00CA4ABC" w:rsidRDefault="006E7A2F" w:rsidP="005D4B99">
      <w:pPr>
        <w:spacing w:line="360" w:lineRule="auto"/>
        <w:ind w:firstLine="720"/>
        <w:rPr>
          <w:rFonts w:cstheme="minorHAnsi"/>
          <w:color w:val="000000" w:themeColor="text1"/>
        </w:rPr>
      </w:pPr>
      <w:r w:rsidRPr="00CA4ABC">
        <w:rPr>
          <w:rFonts w:cstheme="minorHAnsi"/>
          <w:color w:val="000000" w:themeColor="text1"/>
        </w:rPr>
        <w:t>RNI guidelines were met for most macronutrients, regardless of protein intake categories, except for retinol, potassium and copper</w:t>
      </w:r>
      <w:r w:rsidR="0057276C" w:rsidRPr="00CA4ABC">
        <w:rPr>
          <w:rFonts w:cstheme="minorHAnsi"/>
          <w:color w:val="000000" w:themeColor="text1"/>
        </w:rPr>
        <w:t>.</w:t>
      </w:r>
      <w:r w:rsidRPr="00CA4ABC">
        <w:rPr>
          <w:rFonts w:cstheme="minorHAnsi"/>
          <w:color w:val="000000" w:themeColor="text1"/>
        </w:rPr>
        <w:t xml:space="preserve"> </w:t>
      </w:r>
      <w:r w:rsidR="0057276C" w:rsidRPr="00CA4ABC">
        <w:rPr>
          <w:rFonts w:cstheme="minorHAnsi"/>
          <w:color w:val="000000" w:themeColor="text1"/>
        </w:rPr>
        <w:t>These were not</w:t>
      </w:r>
      <w:r w:rsidRPr="00CA4ABC">
        <w:rPr>
          <w:rFonts w:cstheme="minorHAnsi"/>
          <w:color w:val="000000" w:themeColor="text1"/>
        </w:rPr>
        <w:t xml:space="preserve"> not met by participants consuming </w:t>
      </w:r>
      <w:r w:rsidRPr="00CA4ABC">
        <w:rPr>
          <w:rFonts w:eastAsia="Gungsuh" w:cstheme="minorHAnsi"/>
          <w:color w:val="000000" w:themeColor="text1"/>
        </w:rPr>
        <w:t>≤</w:t>
      </w:r>
      <w:r w:rsidRPr="00CA4ABC">
        <w:rPr>
          <w:rFonts w:cstheme="minorHAnsi"/>
          <w:color w:val="000000" w:themeColor="text1"/>
        </w:rPr>
        <w:t xml:space="preserve">1g/kg BM protein. Those consuming &gt;1g/kg BM/d of protein consumed significantly more macronutrients than those who consumed </w:t>
      </w:r>
      <w:r w:rsidRPr="00CA4ABC">
        <w:rPr>
          <w:rFonts w:eastAsia="Gungsuh" w:cstheme="minorHAnsi"/>
          <w:color w:val="000000" w:themeColor="text1"/>
        </w:rPr>
        <w:t>≤</w:t>
      </w:r>
      <w:r w:rsidRPr="00CA4ABC">
        <w:rPr>
          <w:rFonts w:cstheme="minorHAnsi"/>
          <w:color w:val="000000" w:themeColor="text1"/>
        </w:rPr>
        <w:t xml:space="preserve">1g/kg BM protein. </w:t>
      </w:r>
      <w:r w:rsidR="00C43AEF" w:rsidRPr="00CA4ABC">
        <w:rPr>
          <w:rFonts w:cstheme="minorHAnsi"/>
          <w:color w:val="000000" w:themeColor="text1"/>
        </w:rPr>
        <w:t xml:space="preserve"> </w:t>
      </w:r>
      <w:r w:rsidR="00C43AEF" w:rsidRPr="00CA4ABC">
        <w:rPr>
          <w:rFonts w:cstheme="minorHAnsi"/>
          <w:color w:val="000000" w:themeColor="text1"/>
        </w:rPr>
        <w:fldChar w:fldCharType="begin"/>
      </w:r>
      <w:r w:rsidR="00C43AEF" w:rsidRPr="00CA4ABC">
        <w:rPr>
          <w:rFonts w:cstheme="minorHAnsi"/>
          <w:color w:val="000000" w:themeColor="text1"/>
        </w:rPr>
        <w:instrText xml:space="preserve"> REF _Ref122443227 \h </w:instrText>
      </w:r>
      <w:r w:rsidR="00B37ED2" w:rsidRPr="00CA4ABC">
        <w:rPr>
          <w:rFonts w:cstheme="minorHAnsi"/>
          <w:color w:val="000000" w:themeColor="text1"/>
        </w:rPr>
        <w:instrText xml:space="preserve"> \* MERGEFORMAT </w:instrText>
      </w:r>
      <w:r w:rsidR="00C43AEF" w:rsidRPr="00CA4ABC">
        <w:rPr>
          <w:rFonts w:cstheme="minorHAnsi"/>
          <w:color w:val="000000" w:themeColor="text1"/>
        </w:rPr>
      </w:r>
      <w:r w:rsidR="00C43AEF"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11</w:t>
      </w:r>
      <w:r w:rsidR="00C43AEF" w:rsidRPr="00CA4ABC">
        <w:rPr>
          <w:rFonts w:cstheme="minorHAnsi"/>
          <w:color w:val="000000" w:themeColor="text1"/>
        </w:rPr>
        <w:fldChar w:fldCharType="end"/>
      </w:r>
      <w:r w:rsidR="00C43AEF" w:rsidRPr="00CA4ABC">
        <w:rPr>
          <w:rFonts w:cstheme="minorHAnsi"/>
          <w:color w:val="000000" w:themeColor="text1"/>
        </w:rPr>
        <w:t xml:space="preserve"> shows the full breakdown of micronutrient intakes.</w:t>
      </w:r>
    </w:p>
    <w:tbl>
      <w:tblPr>
        <w:tblStyle w:val="TableGrid"/>
        <w:tblW w:w="15597" w:type="dxa"/>
        <w:tblInd w:w="-856" w:type="dxa"/>
        <w:tblLook w:val="04A0" w:firstRow="1" w:lastRow="0" w:firstColumn="1" w:lastColumn="0" w:noHBand="0" w:noVBand="1"/>
      </w:tblPr>
      <w:tblGrid>
        <w:gridCol w:w="2030"/>
        <w:gridCol w:w="887"/>
        <w:gridCol w:w="1053"/>
        <w:gridCol w:w="1004"/>
        <w:gridCol w:w="1951"/>
        <w:gridCol w:w="2351"/>
        <w:gridCol w:w="2526"/>
        <w:gridCol w:w="2657"/>
        <w:gridCol w:w="1138"/>
      </w:tblGrid>
      <w:tr w:rsidR="004053D7" w:rsidRPr="00CA4ABC" w14:paraId="46C1CF0A" w14:textId="77777777" w:rsidTr="00A75D04">
        <w:trPr>
          <w:trHeight w:val="118"/>
        </w:trPr>
        <w:tc>
          <w:tcPr>
            <w:tcW w:w="2917" w:type="dxa"/>
            <w:gridSpan w:val="2"/>
            <w:vMerge w:val="restart"/>
          </w:tcPr>
          <w:p w14:paraId="3F02C45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Micronutrient</w:t>
            </w:r>
          </w:p>
        </w:tc>
        <w:tc>
          <w:tcPr>
            <w:tcW w:w="4008" w:type="dxa"/>
            <w:gridSpan w:val="3"/>
          </w:tcPr>
          <w:p w14:paraId="6833D9A8"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Dietary Reference Values (DRVS)*</w:t>
            </w:r>
          </w:p>
        </w:tc>
        <w:tc>
          <w:tcPr>
            <w:tcW w:w="2351" w:type="dxa"/>
            <w:vMerge w:val="restart"/>
          </w:tcPr>
          <w:p w14:paraId="2831F2E0"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Average (mean (SD)) intake</w:t>
            </w:r>
            <w:r w:rsidRPr="00CA4ABC">
              <w:rPr>
                <w:rStyle w:val="CommentReference"/>
                <w:rFonts w:eastAsia="Times New Roman" w:cstheme="minorHAnsi"/>
                <w:color w:val="000000" w:themeColor="text1"/>
                <w:sz w:val="20"/>
                <w:szCs w:val="20"/>
                <w:lang w:eastAsia="en-GB"/>
              </w:rPr>
              <w:t xml:space="preserve"> </w:t>
            </w:r>
            <w:r w:rsidRPr="00CA4ABC">
              <w:rPr>
                <w:rFonts w:cstheme="minorHAnsi"/>
                <w:color w:val="000000" w:themeColor="text1"/>
                <w:sz w:val="20"/>
                <w:szCs w:val="20"/>
              </w:rPr>
              <w:t>across all participants (n=284)</w:t>
            </w:r>
          </w:p>
        </w:tc>
        <w:tc>
          <w:tcPr>
            <w:tcW w:w="2526" w:type="dxa"/>
            <w:vMerge w:val="restart"/>
          </w:tcPr>
          <w:p w14:paraId="1F3F43F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 xml:space="preserve">Mean (SD) intakes for Participants consuming </w:t>
            </w:r>
            <w:r w:rsidRPr="00CA4ABC">
              <w:rPr>
                <w:rFonts w:eastAsia="Gungsuh" w:cstheme="minorHAnsi"/>
                <w:color w:val="000000" w:themeColor="text1"/>
                <w:sz w:val="20"/>
                <w:szCs w:val="20"/>
              </w:rPr>
              <w:t>≤</w:t>
            </w:r>
            <w:r w:rsidRPr="00CA4ABC">
              <w:rPr>
                <w:rFonts w:cstheme="minorHAnsi"/>
                <w:color w:val="000000" w:themeColor="text1"/>
                <w:sz w:val="20"/>
                <w:szCs w:val="20"/>
              </w:rPr>
              <w:t>1g/kg BM protein (n=140)</w:t>
            </w:r>
          </w:p>
        </w:tc>
        <w:tc>
          <w:tcPr>
            <w:tcW w:w="2657" w:type="dxa"/>
            <w:vMerge w:val="restart"/>
          </w:tcPr>
          <w:p w14:paraId="591FCE65" w14:textId="77777777" w:rsidR="00507FC8" w:rsidRPr="00CA4ABC" w:rsidRDefault="00507FC8" w:rsidP="0062072C">
            <w:pPr>
              <w:rPr>
                <w:rFonts w:cstheme="minorHAnsi"/>
                <w:color w:val="000000" w:themeColor="text1"/>
                <w:sz w:val="20"/>
                <w:szCs w:val="20"/>
                <w:highlight w:val="green"/>
              </w:rPr>
            </w:pPr>
            <w:r w:rsidRPr="00CA4ABC">
              <w:rPr>
                <w:rFonts w:cstheme="minorHAnsi"/>
                <w:color w:val="000000" w:themeColor="text1"/>
                <w:sz w:val="20"/>
                <w:szCs w:val="20"/>
              </w:rPr>
              <w:t>Mean (SD) intakes for Participants consuming &gt;1g/kg BM protein (n=144)</w:t>
            </w:r>
          </w:p>
        </w:tc>
        <w:tc>
          <w:tcPr>
            <w:tcW w:w="1138" w:type="dxa"/>
            <w:vMerge w:val="restart"/>
          </w:tcPr>
          <w:p w14:paraId="343DED35" w14:textId="77777777" w:rsidR="00507FC8" w:rsidRPr="00CA4ABC" w:rsidRDefault="00507FC8" w:rsidP="0062072C">
            <w:pPr>
              <w:rPr>
                <w:rFonts w:cstheme="minorHAnsi"/>
                <w:color w:val="000000" w:themeColor="text1"/>
                <w:sz w:val="20"/>
                <w:szCs w:val="20"/>
              </w:rPr>
            </w:pPr>
            <w:r w:rsidRPr="00CA4ABC">
              <w:rPr>
                <w:rFonts w:cstheme="minorHAnsi"/>
                <w:i/>
                <w:iCs/>
                <w:color w:val="000000" w:themeColor="text1"/>
                <w:sz w:val="20"/>
                <w:szCs w:val="20"/>
              </w:rPr>
              <w:t>p</w:t>
            </w:r>
            <w:r w:rsidRPr="00CA4ABC">
              <w:rPr>
                <w:rFonts w:cstheme="minorHAnsi"/>
                <w:color w:val="000000" w:themeColor="text1"/>
                <w:sz w:val="20"/>
                <w:szCs w:val="20"/>
              </w:rPr>
              <w:t xml:space="preserve"> value</w:t>
            </w:r>
          </w:p>
        </w:tc>
      </w:tr>
      <w:tr w:rsidR="004053D7" w:rsidRPr="00CA4ABC" w14:paraId="6B15A437" w14:textId="77777777" w:rsidTr="00A75D04">
        <w:trPr>
          <w:trHeight w:val="118"/>
        </w:trPr>
        <w:tc>
          <w:tcPr>
            <w:tcW w:w="2917" w:type="dxa"/>
            <w:gridSpan w:val="2"/>
            <w:vMerge/>
          </w:tcPr>
          <w:p w14:paraId="143082BC" w14:textId="77777777" w:rsidR="00507FC8" w:rsidRPr="00CA4ABC" w:rsidRDefault="00507FC8" w:rsidP="0062072C">
            <w:pPr>
              <w:rPr>
                <w:rFonts w:cstheme="minorHAnsi"/>
                <w:color w:val="000000" w:themeColor="text1"/>
                <w:sz w:val="20"/>
                <w:szCs w:val="20"/>
              </w:rPr>
            </w:pPr>
          </w:p>
        </w:tc>
        <w:tc>
          <w:tcPr>
            <w:tcW w:w="2057" w:type="dxa"/>
            <w:gridSpan w:val="2"/>
          </w:tcPr>
          <w:p w14:paraId="24142071" w14:textId="77777777" w:rsidR="00507FC8" w:rsidRPr="00CA4ABC" w:rsidRDefault="00507FC8" w:rsidP="0062072C">
            <w:pPr>
              <w:jc w:val="center"/>
              <w:rPr>
                <w:rFonts w:cstheme="minorHAnsi"/>
                <w:color w:val="000000" w:themeColor="text1"/>
                <w:sz w:val="20"/>
                <w:szCs w:val="20"/>
              </w:rPr>
            </w:pPr>
            <w:r w:rsidRPr="00CA4ABC">
              <w:rPr>
                <w:rFonts w:cstheme="minorHAnsi"/>
                <w:color w:val="000000" w:themeColor="text1"/>
                <w:sz w:val="20"/>
                <w:szCs w:val="20"/>
              </w:rPr>
              <w:t>EAR</w:t>
            </w:r>
          </w:p>
        </w:tc>
        <w:tc>
          <w:tcPr>
            <w:tcW w:w="1951" w:type="dxa"/>
          </w:tcPr>
          <w:p w14:paraId="332D6718" w14:textId="77777777" w:rsidR="00507FC8" w:rsidRPr="00CA4ABC" w:rsidRDefault="00507FC8" w:rsidP="0062072C">
            <w:pPr>
              <w:jc w:val="center"/>
              <w:rPr>
                <w:rFonts w:cstheme="minorHAnsi"/>
                <w:color w:val="000000" w:themeColor="text1"/>
                <w:sz w:val="20"/>
                <w:szCs w:val="20"/>
              </w:rPr>
            </w:pPr>
            <w:r w:rsidRPr="00CA4ABC">
              <w:rPr>
                <w:rFonts w:cstheme="minorHAnsi"/>
                <w:color w:val="000000" w:themeColor="text1"/>
                <w:sz w:val="20"/>
                <w:szCs w:val="20"/>
              </w:rPr>
              <w:t>RNI</w:t>
            </w:r>
          </w:p>
        </w:tc>
        <w:tc>
          <w:tcPr>
            <w:tcW w:w="2351" w:type="dxa"/>
            <w:vMerge/>
          </w:tcPr>
          <w:p w14:paraId="6FD8C79A" w14:textId="77777777" w:rsidR="00507FC8" w:rsidRPr="00CA4ABC" w:rsidRDefault="00507FC8" w:rsidP="0062072C">
            <w:pPr>
              <w:rPr>
                <w:rFonts w:cstheme="minorHAnsi"/>
                <w:color w:val="000000" w:themeColor="text1"/>
                <w:sz w:val="20"/>
                <w:szCs w:val="20"/>
              </w:rPr>
            </w:pPr>
          </w:p>
        </w:tc>
        <w:tc>
          <w:tcPr>
            <w:tcW w:w="2526" w:type="dxa"/>
            <w:vMerge/>
          </w:tcPr>
          <w:p w14:paraId="6A6E4E83" w14:textId="77777777" w:rsidR="00507FC8" w:rsidRPr="00CA4ABC" w:rsidRDefault="00507FC8" w:rsidP="0062072C">
            <w:pPr>
              <w:rPr>
                <w:rFonts w:cstheme="minorHAnsi"/>
                <w:color w:val="000000" w:themeColor="text1"/>
                <w:sz w:val="20"/>
                <w:szCs w:val="20"/>
              </w:rPr>
            </w:pPr>
          </w:p>
        </w:tc>
        <w:tc>
          <w:tcPr>
            <w:tcW w:w="2657" w:type="dxa"/>
            <w:vMerge/>
          </w:tcPr>
          <w:p w14:paraId="24C6E344" w14:textId="77777777" w:rsidR="00507FC8" w:rsidRPr="00CA4ABC" w:rsidRDefault="00507FC8" w:rsidP="0062072C">
            <w:pPr>
              <w:rPr>
                <w:rFonts w:cstheme="minorHAnsi"/>
                <w:color w:val="000000" w:themeColor="text1"/>
                <w:sz w:val="20"/>
                <w:szCs w:val="20"/>
              </w:rPr>
            </w:pPr>
          </w:p>
        </w:tc>
        <w:tc>
          <w:tcPr>
            <w:tcW w:w="1138" w:type="dxa"/>
            <w:vMerge/>
          </w:tcPr>
          <w:p w14:paraId="7D095BDA" w14:textId="77777777" w:rsidR="00507FC8" w:rsidRPr="00CA4ABC" w:rsidRDefault="00507FC8" w:rsidP="0062072C">
            <w:pPr>
              <w:rPr>
                <w:rFonts w:cstheme="minorHAnsi"/>
                <w:color w:val="000000" w:themeColor="text1"/>
                <w:sz w:val="20"/>
                <w:szCs w:val="20"/>
              </w:rPr>
            </w:pPr>
          </w:p>
        </w:tc>
      </w:tr>
      <w:tr w:rsidR="004053D7" w:rsidRPr="00CA4ABC" w14:paraId="069035E7" w14:textId="77777777" w:rsidTr="00A75D04">
        <w:trPr>
          <w:trHeight w:val="191"/>
        </w:trPr>
        <w:tc>
          <w:tcPr>
            <w:tcW w:w="2030" w:type="dxa"/>
            <w:vMerge w:val="restart"/>
          </w:tcPr>
          <w:p w14:paraId="3784D6F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Retinol (</w:t>
            </w:r>
            <w:r w:rsidRPr="00CA4ABC">
              <w:rPr>
                <w:rFonts w:cstheme="minorHAnsi"/>
                <w:color w:val="000000" w:themeColor="text1"/>
                <w:sz w:val="20"/>
                <w:szCs w:val="20"/>
                <w:shd w:val="clear" w:color="auto" w:fill="FFFFFF"/>
              </w:rPr>
              <w:t>μg/d)</w:t>
            </w:r>
          </w:p>
        </w:tc>
        <w:tc>
          <w:tcPr>
            <w:tcW w:w="887" w:type="dxa"/>
          </w:tcPr>
          <w:p w14:paraId="7E388D9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2057" w:type="dxa"/>
            <w:gridSpan w:val="2"/>
          </w:tcPr>
          <w:p w14:paraId="5A9C9FF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 xml:space="preserve">500 </w:t>
            </w:r>
          </w:p>
        </w:tc>
        <w:tc>
          <w:tcPr>
            <w:tcW w:w="1951" w:type="dxa"/>
          </w:tcPr>
          <w:p w14:paraId="45B28759"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700</w:t>
            </w:r>
          </w:p>
        </w:tc>
        <w:tc>
          <w:tcPr>
            <w:tcW w:w="2351" w:type="dxa"/>
            <w:vMerge w:val="restart"/>
          </w:tcPr>
          <w:p w14:paraId="6CFF446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537.0 (1307.3)</w:t>
            </w:r>
          </w:p>
        </w:tc>
        <w:tc>
          <w:tcPr>
            <w:tcW w:w="2526" w:type="dxa"/>
            <w:vMerge w:val="restart"/>
            <w:shd w:val="clear" w:color="auto" w:fill="FFC000"/>
          </w:tcPr>
          <w:p w14:paraId="17EF68C0" w14:textId="1C418EDF"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w:t>
            </w:r>
            <w:r w:rsidR="00D51611" w:rsidRPr="00CA4ABC">
              <w:rPr>
                <w:rFonts w:cstheme="minorHAnsi"/>
                <w:color w:val="000000" w:themeColor="text1"/>
                <w:sz w:val="20"/>
                <w:szCs w:val="20"/>
              </w:rPr>
              <w:t>35</w:t>
            </w:r>
            <w:r w:rsidRPr="00CA4ABC">
              <w:rPr>
                <w:rFonts w:cstheme="minorHAnsi"/>
                <w:color w:val="000000" w:themeColor="text1"/>
                <w:sz w:val="20"/>
                <w:szCs w:val="20"/>
              </w:rPr>
              <w:t>.</w:t>
            </w:r>
            <w:r w:rsidR="00D51611" w:rsidRPr="00CA4ABC">
              <w:rPr>
                <w:rFonts w:cstheme="minorHAnsi"/>
                <w:color w:val="000000" w:themeColor="text1"/>
                <w:sz w:val="20"/>
                <w:szCs w:val="20"/>
              </w:rPr>
              <w:t>7</w:t>
            </w:r>
            <w:r w:rsidRPr="00CA4ABC">
              <w:rPr>
                <w:rFonts w:cstheme="minorHAnsi"/>
                <w:color w:val="000000" w:themeColor="text1"/>
                <w:sz w:val="20"/>
                <w:szCs w:val="20"/>
              </w:rPr>
              <w:t xml:space="preserve"> (</w:t>
            </w:r>
            <w:r w:rsidR="00D51611" w:rsidRPr="00CA4ABC">
              <w:rPr>
                <w:rFonts w:cstheme="minorHAnsi"/>
                <w:color w:val="000000" w:themeColor="text1"/>
                <w:sz w:val="20"/>
                <w:szCs w:val="20"/>
              </w:rPr>
              <w:t>359.8)</w:t>
            </w:r>
          </w:p>
        </w:tc>
        <w:tc>
          <w:tcPr>
            <w:tcW w:w="2657" w:type="dxa"/>
            <w:vMerge w:val="restart"/>
            <w:shd w:val="clear" w:color="auto" w:fill="92D050"/>
          </w:tcPr>
          <w:p w14:paraId="56925F0C" w14:textId="1E8C7DEE"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69</w:t>
            </w:r>
            <w:r w:rsidR="00D51611" w:rsidRPr="00CA4ABC">
              <w:rPr>
                <w:rFonts w:cstheme="minorHAnsi"/>
                <w:color w:val="000000" w:themeColor="text1"/>
                <w:sz w:val="20"/>
                <w:szCs w:val="20"/>
              </w:rPr>
              <w:t>7</w:t>
            </w:r>
            <w:r w:rsidRPr="00CA4ABC">
              <w:rPr>
                <w:rFonts w:cstheme="minorHAnsi"/>
                <w:color w:val="000000" w:themeColor="text1"/>
                <w:sz w:val="20"/>
                <w:szCs w:val="20"/>
              </w:rPr>
              <w:t>.</w:t>
            </w:r>
            <w:r w:rsidR="00D51611" w:rsidRPr="00CA4ABC">
              <w:rPr>
                <w:rFonts w:cstheme="minorHAnsi"/>
                <w:color w:val="000000" w:themeColor="text1"/>
                <w:sz w:val="20"/>
                <w:szCs w:val="20"/>
              </w:rPr>
              <w:t>7</w:t>
            </w:r>
            <w:r w:rsidRPr="00CA4ABC">
              <w:rPr>
                <w:rFonts w:cstheme="minorHAnsi"/>
                <w:color w:val="000000" w:themeColor="text1"/>
                <w:sz w:val="20"/>
                <w:szCs w:val="20"/>
              </w:rPr>
              <w:t xml:space="preserve"> (</w:t>
            </w:r>
            <w:r w:rsidR="00D51611" w:rsidRPr="00CA4ABC">
              <w:rPr>
                <w:rFonts w:cstheme="minorHAnsi"/>
                <w:color w:val="000000" w:themeColor="text1"/>
                <w:sz w:val="20"/>
                <w:szCs w:val="20"/>
              </w:rPr>
              <w:t>1697.4</w:t>
            </w:r>
            <w:r w:rsidRPr="00CA4ABC">
              <w:rPr>
                <w:rFonts w:cstheme="minorHAnsi"/>
                <w:color w:val="000000" w:themeColor="text1"/>
                <w:sz w:val="20"/>
                <w:szCs w:val="20"/>
              </w:rPr>
              <w:t>)</w:t>
            </w:r>
          </w:p>
        </w:tc>
        <w:tc>
          <w:tcPr>
            <w:tcW w:w="1138" w:type="dxa"/>
            <w:vMerge w:val="restart"/>
          </w:tcPr>
          <w:p w14:paraId="48552C45" w14:textId="4FD7CE3E"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w:t>
            </w:r>
            <w:r w:rsidR="00471BCB" w:rsidRPr="00CA4ABC">
              <w:rPr>
                <w:rFonts w:cstheme="minorHAnsi"/>
                <w:color w:val="000000" w:themeColor="text1"/>
                <w:sz w:val="20"/>
                <w:szCs w:val="20"/>
              </w:rPr>
              <w:t>09*</w:t>
            </w:r>
          </w:p>
        </w:tc>
      </w:tr>
      <w:tr w:rsidR="004053D7" w:rsidRPr="00CA4ABC" w14:paraId="102DDB02" w14:textId="77777777" w:rsidTr="00A75D04">
        <w:trPr>
          <w:trHeight w:val="191"/>
        </w:trPr>
        <w:tc>
          <w:tcPr>
            <w:tcW w:w="2030" w:type="dxa"/>
            <w:vMerge/>
          </w:tcPr>
          <w:p w14:paraId="6570826F" w14:textId="77777777" w:rsidR="00507FC8" w:rsidRPr="00CA4ABC" w:rsidRDefault="00507FC8" w:rsidP="0062072C">
            <w:pPr>
              <w:rPr>
                <w:rFonts w:cstheme="minorHAnsi"/>
                <w:color w:val="000000" w:themeColor="text1"/>
                <w:sz w:val="20"/>
                <w:szCs w:val="20"/>
              </w:rPr>
            </w:pPr>
          </w:p>
        </w:tc>
        <w:tc>
          <w:tcPr>
            <w:tcW w:w="887" w:type="dxa"/>
          </w:tcPr>
          <w:p w14:paraId="2848B9E9"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w:t>
            </w:r>
          </w:p>
        </w:tc>
        <w:tc>
          <w:tcPr>
            <w:tcW w:w="2057" w:type="dxa"/>
            <w:gridSpan w:val="2"/>
          </w:tcPr>
          <w:p w14:paraId="0910F478"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400</w:t>
            </w:r>
          </w:p>
        </w:tc>
        <w:tc>
          <w:tcPr>
            <w:tcW w:w="1951" w:type="dxa"/>
          </w:tcPr>
          <w:p w14:paraId="6A7F4462"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600</w:t>
            </w:r>
          </w:p>
        </w:tc>
        <w:tc>
          <w:tcPr>
            <w:tcW w:w="2351" w:type="dxa"/>
            <w:vMerge/>
          </w:tcPr>
          <w:p w14:paraId="2F6F448F" w14:textId="77777777" w:rsidR="00507FC8" w:rsidRPr="00CA4ABC" w:rsidRDefault="00507FC8" w:rsidP="0062072C">
            <w:pPr>
              <w:rPr>
                <w:rFonts w:cstheme="minorHAnsi"/>
                <w:color w:val="000000" w:themeColor="text1"/>
                <w:sz w:val="20"/>
                <w:szCs w:val="20"/>
              </w:rPr>
            </w:pPr>
          </w:p>
        </w:tc>
        <w:tc>
          <w:tcPr>
            <w:tcW w:w="2526" w:type="dxa"/>
            <w:vMerge/>
            <w:shd w:val="clear" w:color="auto" w:fill="FFC000"/>
          </w:tcPr>
          <w:p w14:paraId="5AA5FD6F"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2CF88336" w14:textId="77777777" w:rsidR="00507FC8" w:rsidRPr="00CA4ABC" w:rsidRDefault="00507FC8" w:rsidP="0062072C">
            <w:pPr>
              <w:rPr>
                <w:rFonts w:cstheme="minorHAnsi"/>
                <w:color w:val="000000" w:themeColor="text1"/>
                <w:sz w:val="20"/>
                <w:szCs w:val="20"/>
              </w:rPr>
            </w:pPr>
          </w:p>
        </w:tc>
        <w:tc>
          <w:tcPr>
            <w:tcW w:w="1138" w:type="dxa"/>
            <w:vMerge/>
          </w:tcPr>
          <w:p w14:paraId="54CE7A12" w14:textId="77777777" w:rsidR="00507FC8" w:rsidRPr="00CA4ABC" w:rsidRDefault="00507FC8" w:rsidP="0062072C">
            <w:pPr>
              <w:rPr>
                <w:rFonts w:cstheme="minorHAnsi"/>
                <w:color w:val="000000" w:themeColor="text1"/>
                <w:sz w:val="20"/>
                <w:szCs w:val="20"/>
              </w:rPr>
            </w:pPr>
          </w:p>
        </w:tc>
      </w:tr>
      <w:tr w:rsidR="004053D7" w:rsidRPr="00CA4ABC" w14:paraId="72D590A5" w14:textId="77777777" w:rsidTr="00A75D04">
        <w:trPr>
          <w:trHeight w:val="99"/>
        </w:trPr>
        <w:tc>
          <w:tcPr>
            <w:tcW w:w="2030" w:type="dxa"/>
            <w:vMerge w:val="restart"/>
          </w:tcPr>
          <w:p w14:paraId="4A37A6B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Thiamin (mg/1000kcal)</w:t>
            </w:r>
          </w:p>
        </w:tc>
        <w:tc>
          <w:tcPr>
            <w:tcW w:w="887" w:type="dxa"/>
          </w:tcPr>
          <w:p w14:paraId="540426F4"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2057" w:type="dxa"/>
            <w:gridSpan w:val="2"/>
          </w:tcPr>
          <w:p w14:paraId="3E57425F"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0.8</w:t>
            </w:r>
          </w:p>
        </w:tc>
        <w:tc>
          <w:tcPr>
            <w:tcW w:w="1951" w:type="dxa"/>
          </w:tcPr>
          <w:p w14:paraId="349A0749"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1.0</w:t>
            </w:r>
          </w:p>
        </w:tc>
        <w:tc>
          <w:tcPr>
            <w:tcW w:w="2351" w:type="dxa"/>
            <w:vMerge w:val="restart"/>
          </w:tcPr>
          <w:p w14:paraId="14164E05"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2.5 (6.9)</w:t>
            </w:r>
          </w:p>
        </w:tc>
        <w:tc>
          <w:tcPr>
            <w:tcW w:w="2526" w:type="dxa"/>
            <w:vMerge w:val="restart"/>
            <w:shd w:val="clear" w:color="auto" w:fill="92D050"/>
          </w:tcPr>
          <w:p w14:paraId="36BBC8C5"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w:t>
            </w:r>
            <w:r w:rsidRPr="00CA4ABC">
              <w:rPr>
                <w:rFonts w:cstheme="minorHAnsi"/>
                <w:color w:val="000000" w:themeColor="text1"/>
                <w:sz w:val="20"/>
                <w:szCs w:val="20"/>
                <w:shd w:val="clear" w:color="auto" w:fill="92D050"/>
              </w:rPr>
              <w:t>.58 (1.16)</w:t>
            </w:r>
          </w:p>
        </w:tc>
        <w:tc>
          <w:tcPr>
            <w:tcW w:w="2657" w:type="dxa"/>
            <w:vMerge w:val="restart"/>
            <w:shd w:val="clear" w:color="auto" w:fill="92D050"/>
          </w:tcPr>
          <w:p w14:paraId="5D11F4D2"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3.35 (9.52)</w:t>
            </w:r>
          </w:p>
        </w:tc>
        <w:tc>
          <w:tcPr>
            <w:tcW w:w="1138" w:type="dxa"/>
            <w:vMerge w:val="restart"/>
          </w:tcPr>
          <w:p w14:paraId="14EA1287" w14:textId="6747225A"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0.026</w:t>
            </w:r>
            <w:r w:rsidR="00811146" w:rsidRPr="00CA4ABC">
              <w:rPr>
                <w:rFonts w:cstheme="minorHAnsi"/>
                <w:color w:val="000000" w:themeColor="text1"/>
                <w:sz w:val="20"/>
                <w:szCs w:val="20"/>
              </w:rPr>
              <w:t>*</w:t>
            </w:r>
          </w:p>
        </w:tc>
      </w:tr>
      <w:tr w:rsidR="004053D7" w:rsidRPr="00CA4ABC" w14:paraId="48D756B3" w14:textId="77777777" w:rsidTr="00A75D04">
        <w:trPr>
          <w:trHeight w:val="99"/>
        </w:trPr>
        <w:tc>
          <w:tcPr>
            <w:tcW w:w="2030" w:type="dxa"/>
            <w:vMerge/>
          </w:tcPr>
          <w:p w14:paraId="061AEE59" w14:textId="77777777" w:rsidR="00507FC8" w:rsidRPr="00CA4ABC" w:rsidRDefault="00507FC8" w:rsidP="0062072C">
            <w:pPr>
              <w:rPr>
                <w:rFonts w:cstheme="minorHAnsi"/>
                <w:color w:val="000000" w:themeColor="text1"/>
                <w:sz w:val="20"/>
                <w:szCs w:val="20"/>
              </w:rPr>
            </w:pPr>
          </w:p>
        </w:tc>
        <w:tc>
          <w:tcPr>
            <w:tcW w:w="887" w:type="dxa"/>
          </w:tcPr>
          <w:p w14:paraId="52368F18"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2057" w:type="dxa"/>
            <w:gridSpan w:val="2"/>
          </w:tcPr>
          <w:p w14:paraId="121C5F7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0.6</w:t>
            </w:r>
          </w:p>
        </w:tc>
        <w:tc>
          <w:tcPr>
            <w:tcW w:w="1951" w:type="dxa"/>
          </w:tcPr>
          <w:p w14:paraId="65881B18"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0.8</w:t>
            </w:r>
          </w:p>
        </w:tc>
        <w:tc>
          <w:tcPr>
            <w:tcW w:w="2351" w:type="dxa"/>
            <w:vMerge/>
          </w:tcPr>
          <w:p w14:paraId="31845C02"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3DCA8EF8"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1EDB9C8F" w14:textId="77777777" w:rsidR="00507FC8" w:rsidRPr="00CA4ABC" w:rsidRDefault="00507FC8" w:rsidP="0062072C">
            <w:pPr>
              <w:rPr>
                <w:rFonts w:cstheme="minorHAnsi"/>
                <w:color w:val="000000" w:themeColor="text1"/>
                <w:sz w:val="20"/>
                <w:szCs w:val="20"/>
              </w:rPr>
            </w:pPr>
          </w:p>
        </w:tc>
        <w:tc>
          <w:tcPr>
            <w:tcW w:w="1138" w:type="dxa"/>
            <w:vMerge/>
          </w:tcPr>
          <w:p w14:paraId="6A11D2F8" w14:textId="77777777" w:rsidR="00507FC8" w:rsidRPr="00CA4ABC" w:rsidRDefault="00507FC8" w:rsidP="0062072C">
            <w:pPr>
              <w:rPr>
                <w:rFonts w:cstheme="minorHAnsi"/>
                <w:color w:val="000000" w:themeColor="text1"/>
                <w:sz w:val="20"/>
                <w:szCs w:val="20"/>
              </w:rPr>
            </w:pPr>
          </w:p>
        </w:tc>
      </w:tr>
      <w:tr w:rsidR="004053D7" w:rsidRPr="00CA4ABC" w14:paraId="7C7EBDFF" w14:textId="77777777" w:rsidTr="00A75D04">
        <w:trPr>
          <w:trHeight w:val="99"/>
        </w:trPr>
        <w:tc>
          <w:tcPr>
            <w:tcW w:w="2030" w:type="dxa"/>
            <w:vMerge w:val="restart"/>
          </w:tcPr>
          <w:p w14:paraId="0825EC5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Riboflavin (mg/d)</w:t>
            </w:r>
          </w:p>
        </w:tc>
        <w:tc>
          <w:tcPr>
            <w:tcW w:w="887" w:type="dxa"/>
          </w:tcPr>
          <w:p w14:paraId="31E995B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2057" w:type="dxa"/>
            <w:gridSpan w:val="2"/>
          </w:tcPr>
          <w:p w14:paraId="692220F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1.0</w:t>
            </w:r>
          </w:p>
        </w:tc>
        <w:tc>
          <w:tcPr>
            <w:tcW w:w="1951" w:type="dxa"/>
          </w:tcPr>
          <w:p w14:paraId="5D5885F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0.9</w:t>
            </w:r>
          </w:p>
        </w:tc>
        <w:tc>
          <w:tcPr>
            <w:tcW w:w="2351" w:type="dxa"/>
            <w:vMerge w:val="restart"/>
          </w:tcPr>
          <w:p w14:paraId="28193352"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2.6 (6.8)</w:t>
            </w:r>
          </w:p>
        </w:tc>
        <w:tc>
          <w:tcPr>
            <w:tcW w:w="2526" w:type="dxa"/>
            <w:vMerge w:val="restart"/>
            <w:shd w:val="clear" w:color="auto" w:fill="92D050"/>
          </w:tcPr>
          <w:p w14:paraId="69D2A6A8"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1.58 (0.87)</w:t>
            </w:r>
          </w:p>
        </w:tc>
        <w:tc>
          <w:tcPr>
            <w:tcW w:w="2657" w:type="dxa"/>
            <w:vMerge w:val="restart"/>
            <w:shd w:val="clear" w:color="auto" w:fill="92D050"/>
          </w:tcPr>
          <w:p w14:paraId="51505B0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3.59 (9.39)</w:t>
            </w:r>
          </w:p>
        </w:tc>
        <w:tc>
          <w:tcPr>
            <w:tcW w:w="1138" w:type="dxa"/>
            <w:vMerge w:val="restart"/>
          </w:tcPr>
          <w:p w14:paraId="12C07615" w14:textId="2EFDD1E1"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0.012</w:t>
            </w:r>
            <w:r w:rsidR="00811146" w:rsidRPr="00CA4ABC">
              <w:rPr>
                <w:rFonts w:cstheme="minorHAnsi"/>
                <w:color w:val="000000" w:themeColor="text1"/>
                <w:sz w:val="20"/>
                <w:szCs w:val="20"/>
              </w:rPr>
              <w:t>*</w:t>
            </w:r>
          </w:p>
        </w:tc>
      </w:tr>
      <w:tr w:rsidR="004053D7" w:rsidRPr="00CA4ABC" w14:paraId="633B9A71" w14:textId="77777777" w:rsidTr="00A75D04">
        <w:trPr>
          <w:trHeight w:val="99"/>
        </w:trPr>
        <w:tc>
          <w:tcPr>
            <w:tcW w:w="2030" w:type="dxa"/>
            <w:vMerge/>
          </w:tcPr>
          <w:p w14:paraId="254BCC96" w14:textId="77777777" w:rsidR="00507FC8" w:rsidRPr="00CA4ABC" w:rsidRDefault="00507FC8" w:rsidP="0062072C">
            <w:pPr>
              <w:rPr>
                <w:rFonts w:cstheme="minorHAnsi"/>
                <w:color w:val="000000" w:themeColor="text1"/>
                <w:sz w:val="20"/>
                <w:szCs w:val="20"/>
              </w:rPr>
            </w:pPr>
          </w:p>
        </w:tc>
        <w:tc>
          <w:tcPr>
            <w:tcW w:w="887" w:type="dxa"/>
          </w:tcPr>
          <w:p w14:paraId="67F44E29"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2057" w:type="dxa"/>
            <w:gridSpan w:val="2"/>
          </w:tcPr>
          <w:p w14:paraId="2267798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1.3</w:t>
            </w:r>
          </w:p>
        </w:tc>
        <w:tc>
          <w:tcPr>
            <w:tcW w:w="1951" w:type="dxa"/>
          </w:tcPr>
          <w:p w14:paraId="76ADE27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1.1</w:t>
            </w:r>
          </w:p>
        </w:tc>
        <w:tc>
          <w:tcPr>
            <w:tcW w:w="2351" w:type="dxa"/>
            <w:vMerge/>
          </w:tcPr>
          <w:p w14:paraId="07D5F8CD"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36B696D5"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15C5325D" w14:textId="77777777" w:rsidR="00507FC8" w:rsidRPr="00CA4ABC" w:rsidRDefault="00507FC8" w:rsidP="0062072C">
            <w:pPr>
              <w:rPr>
                <w:rFonts w:cstheme="minorHAnsi"/>
                <w:color w:val="000000" w:themeColor="text1"/>
                <w:sz w:val="20"/>
                <w:szCs w:val="20"/>
              </w:rPr>
            </w:pPr>
          </w:p>
        </w:tc>
        <w:tc>
          <w:tcPr>
            <w:tcW w:w="1138" w:type="dxa"/>
            <w:vMerge/>
          </w:tcPr>
          <w:p w14:paraId="4929CA1D" w14:textId="77777777" w:rsidR="00507FC8" w:rsidRPr="00CA4ABC" w:rsidRDefault="00507FC8" w:rsidP="0062072C">
            <w:pPr>
              <w:rPr>
                <w:rFonts w:cstheme="minorHAnsi"/>
                <w:color w:val="000000" w:themeColor="text1"/>
                <w:sz w:val="20"/>
                <w:szCs w:val="20"/>
              </w:rPr>
            </w:pPr>
          </w:p>
        </w:tc>
      </w:tr>
      <w:tr w:rsidR="004053D7" w:rsidRPr="00CA4ABC" w14:paraId="113E1094" w14:textId="77777777" w:rsidTr="00A75D04">
        <w:trPr>
          <w:trHeight w:val="99"/>
        </w:trPr>
        <w:tc>
          <w:tcPr>
            <w:tcW w:w="2030" w:type="dxa"/>
            <w:vMerge w:val="restart"/>
          </w:tcPr>
          <w:p w14:paraId="00A0CE1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Vitamin B</w:t>
            </w:r>
            <w:r w:rsidRPr="00CA4ABC">
              <w:rPr>
                <w:rFonts w:cstheme="minorHAnsi"/>
                <w:color w:val="000000" w:themeColor="text1"/>
                <w:sz w:val="20"/>
                <w:szCs w:val="20"/>
                <w:vertAlign w:val="subscript"/>
              </w:rPr>
              <w:t>6</w:t>
            </w:r>
            <w:r w:rsidRPr="00CA4ABC">
              <w:rPr>
                <w:rFonts w:cstheme="minorHAnsi"/>
                <w:color w:val="000000" w:themeColor="text1"/>
                <w:sz w:val="20"/>
                <w:szCs w:val="20"/>
              </w:rPr>
              <w:t xml:space="preserve"> (mg/d)</w:t>
            </w:r>
          </w:p>
        </w:tc>
        <w:tc>
          <w:tcPr>
            <w:tcW w:w="887" w:type="dxa"/>
          </w:tcPr>
          <w:p w14:paraId="340E6D65"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2057" w:type="dxa"/>
            <w:gridSpan w:val="2"/>
          </w:tcPr>
          <w:p w14:paraId="288781E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w:t>
            </w:r>
          </w:p>
        </w:tc>
        <w:tc>
          <w:tcPr>
            <w:tcW w:w="1951" w:type="dxa"/>
          </w:tcPr>
          <w:p w14:paraId="718F417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1.4</w:t>
            </w:r>
          </w:p>
        </w:tc>
        <w:tc>
          <w:tcPr>
            <w:tcW w:w="2351" w:type="dxa"/>
            <w:vMerge w:val="restart"/>
          </w:tcPr>
          <w:p w14:paraId="1FCF3974"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2.7 (6.9)</w:t>
            </w:r>
          </w:p>
        </w:tc>
        <w:tc>
          <w:tcPr>
            <w:tcW w:w="2526" w:type="dxa"/>
            <w:vMerge w:val="restart"/>
            <w:shd w:val="clear" w:color="auto" w:fill="92D050"/>
          </w:tcPr>
          <w:p w14:paraId="6BDBD075"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1.73 (1.38)</w:t>
            </w:r>
          </w:p>
        </w:tc>
        <w:tc>
          <w:tcPr>
            <w:tcW w:w="2657" w:type="dxa"/>
            <w:vMerge w:val="restart"/>
            <w:shd w:val="clear" w:color="auto" w:fill="92D050"/>
          </w:tcPr>
          <w:p w14:paraId="6AD916F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3.70 (9.57)</w:t>
            </w:r>
          </w:p>
        </w:tc>
        <w:tc>
          <w:tcPr>
            <w:tcW w:w="1138" w:type="dxa"/>
            <w:vMerge w:val="restart"/>
          </w:tcPr>
          <w:p w14:paraId="25538C67" w14:textId="5A696FE4"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0.016</w:t>
            </w:r>
            <w:r w:rsidR="00811146" w:rsidRPr="00CA4ABC">
              <w:rPr>
                <w:rFonts w:cstheme="minorHAnsi"/>
                <w:color w:val="000000" w:themeColor="text1"/>
                <w:sz w:val="20"/>
                <w:szCs w:val="20"/>
              </w:rPr>
              <w:t>*</w:t>
            </w:r>
          </w:p>
        </w:tc>
      </w:tr>
      <w:tr w:rsidR="004053D7" w:rsidRPr="00CA4ABC" w14:paraId="7720EDD6" w14:textId="77777777" w:rsidTr="00A75D04">
        <w:trPr>
          <w:trHeight w:val="99"/>
        </w:trPr>
        <w:tc>
          <w:tcPr>
            <w:tcW w:w="2030" w:type="dxa"/>
            <w:vMerge/>
          </w:tcPr>
          <w:p w14:paraId="150ECA58" w14:textId="77777777" w:rsidR="00507FC8" w:rsidRPr="00CA4ABC" w:rsidRDefault="00507FC8" w:rsidP="0062072C">
            <w:pPr>
              <w:rPr>
                <w:rFonts w:cstheme="minorHAnsi"/>
                <w:color w:val="000000" w:themeColor="text1"/>
                <w:sz w:val="20"/>
                <w:szCs w:val="20"/>
              </w:rPr>
            </w:pPr>
          </w:p>
        </w:tc>
        <w:tc>
          <w:tcPr>
            <w:tcW w:w="887" w:type="dxa"/>
          </w:tcPr>
          <w:p w14:paraId="73755DD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2057" w:type="dxa"/>
            <w:gridSpan w:val="2"/>
          </w:tcPr>
          <w:p w14:paraId="789F0DE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0.9</w:t>
            </w:r>
          </w:p>
        </w:tc>
        <w:tc>
          <w:tcPr>
            <w:tcW w:w="1951" w:type="dxa"/>
          </w:tcPr>
          <w:p w14:paraId="08E615B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w:t>
            </w:r>
          </w:p>
        </w:tc>
        <w:tc>
          <w:tcPr>
            <w:tcW w:w="2351" w:type="dxa"/>
            <w:vMerge/>
          </w:tcPr>
          <w:p w14:paraId="7DDCC900"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1A1800EF"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25E89516" w14:textId="77777777" w:rsidR="00507FC8" w:rsidRPr="00CA4ABC" w:rsidRDefault="00507FC8" w:rsidP="0062072C">
            <w:pPr>
              <w:rPr>
                <w:rFonts w:cstheme="minorHAnsi"/>
                <w:color w:val="000000" w:themeColor="text1"/>
                <w:sz w:val="20"/>
                <w:szCs w:val="20"/>
              </w:rPr>
            </w:pPr>
          </w:p>
        </w:tc>
        <w:tc>
          <w:tcPr>
            <w:tcW w:w="1138" w:type="dxa"/>
            <w:vMerge/>
          </w:tcPr>
          <w:p w14:paraId="66AC32AC" w14:textId="77777777" w:rsidR="00507FC8" w:rsidRPr="00CA4ABC" w:rsidRDefault="00507FC8" w:rsidP="0062072C">
            <w:pPr>
              <w:rPr>
                <w:rFonts w:cstheme="minorHAnsi"/>
                <w:color w:val="000000" w:themeColor="text1"/>
                <w:sz w:val="20"/>
                <w:szCs w:val="20"/>
              </w:rPr>
            </w:pPr>
          </w:p>
        </w:tc>
      </w:tr>
      <w:tr w:rsidR="004053D7" w:rsidRPr="00CA4ABC" w14:paraId="210C008D" w14:textId="77777777" w:rsidTr="00A75D04">
        <w:trPr>
          <w:trHeight w:val="118"/>
        </w:trPr>
        <w:tc>
          <w:tcPr>
            <w:tcW w:w="2917" w:type="dxa"/>
            <w:gridSpan w:val="2"/>
          </w:tcPr>
          <w:p w14:paraId="4551268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Vitamin B</w:t>
            </w:r>
            <w:r w:rsidRPr="00CA4ABC">
              <w:rPr>
                <w:rFonts w:cstheme="minorHAnsi"/>
                <w:color w:val="000000" w:themeColor="text1"/>
                <w:sz w:val="20"/>
                <w:szCs w:val="20"/>
                <w:vertAlign w:val="subscript"/>
              </w:rPr>
              <w:t>12</w:t>
            </w:r>
            <w:r w:rsidRPr="00CA4ABC">
              <w:rPr>
                <w:rFonts w:cstheme="minorHAnsi"/>
                <w:color w:val="000000" w:themeColor="text1"/>
                <w:sz w:val="20"/>
                <w:szCs w:val="20"/>
              </w:rPr>
              <w:t xml:space="preserve"> (</w:t>
            </w:r>
            <w:r w:rsidRPr="00CA4ABC">
              <w:rPr>
                <w:rFonts w:cstheme="minorHAnsi"/>
                <w:color w:val="000000" w:themeColor="text1"/>
                <w:sz w:val="20"/>
                <w:szCs w:val="20"/>
                <w:shd w:val="clear" w:color="auto" w:fill="FFFFFF"/>
              </w:rPr>
              <w:t>μg/d)</w:t>
            </w:r>
          </w:p>
        </w:tc>
        <w:tc>
          <w:tcPr>
            <w:tcW w:w="2057" w:type="dxa"/>
            <w:gridSpan w:val="2"/>
          </w:tcPr>
          <w:p w14:paraId="553FBF3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1.25</w:t>
            </w:r>
          </w:p>
        </w:tc>
        <w:tc>
          <w:tcPr>
            <w:tcW w:w="1951" w:type="dxa"/>
          </w:tcPr>
          <w:p w14:paraId="0997875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1.5</w:t>
            </w:r>
          </w:p>
        </w:tc>
        <w:tc>
          <w:tcPr>
            <w:tcW w:w="2351" w:type="dxa"/>
          </w:tcPr>
          <w:p w14:paraId="600E197F" w14:textId="20342096"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6.01</w:t>
            </w:r>
            <w:r w:rsidR="00755CCD" w:rsidRPr="00CA4ABC">
              <w:rPr>
                <w:rFonts w:cstheme="minorHAnsi"/>
                <w:color w:val="000000" w:themeColor="text1"/>
                <w:sz w:val="20"/>
                <w:szCs w:val="20"/>
              </w:rPr>
              <w:t xml:space="preserve"> </w:t>
            </w:r>
            <w:r w:rsidRPr="00CA4ABC">
              <w:rPr>
                <w:rFonts w:cstheme="minorHAnsi"/>
                <w:color w:val="000000" w:themeColor="text1"/>
                <w:sz w:val="20"/>
                <w:szCs w:val="20"/>
              </w:rPr>
              <w:t>(5.75)</w:t>
            </w:r>
          </w:p>
        </w:tc>
        <w:tc>
          <w:tcPr>
            <w:tcW w:w="2526" w:type="dxa"/>
            <w:shd w:val="clear" w:color="auto" w:fill="92D050"/>
          </w:tcPr>
          <w:p w14:paraId="17F50391"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3.82 (2.53)</w:t>
            </w:r>
          </w:p>
        </w:tc>
        <w:tc>
          <w:tcPr>
            <w:tcW w:w="2657" w:type="dxa"/>
            <w:shd w:val="clear" w:color="auto" w:fill="92D050"/>
          </w:tcPr>
          <w:p w14:paraId="2D9690C4"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 xml:space="preserve">8.05 (7.02) </w:t>
            </w:r>
          </w:p>
        </w:tc>
        <w:tc>
          <w:tcPr>
            <w:tcW w:w="1138" w:type="dxa"/>
          </w:tcPr>
          <w:p w14:paraId="043C86CC" w14:textId="19F65ECA"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811146" w:rsidRPr="00CA4ABC">
              <w:rPr>
                <w:rFonts w:cstheme="minorHAnsi"/>
                <w:color w:val="000000" w:themeColor="text1"/>
                <w:sz w:val="20"/>
                <w:szCs w:val="20"/>
              </w:rPr>
              <w:t>*</w:t>
            </w:r>
          </w:p>
        </w:tc>
      </w:tr>
      <w:tr w:rsidR="004053D7" w:rsidRPr="00CA4ABC" w14:paraId="3310832A" w14:textId="77777777" w:rsidTr="00A75D04">
        <w:trPr>
          <w:trHeight w:val="536"/>
        </w:trPr>
        <w:tc>
          <w:tcPr>
            <w:tcW w:w="2917" w:type="dxa"/>
            <w:gridSpan w:val="2"/>
          </w:tcPr>
          <w:p w14:paraId="647DDCC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Folate (</w:t>
            </w:r>
            <w:r w:rsidRPr="00CA4ABC">
              <w:rPr>
                <w:rFonts w:cstheme="minorHAnsi"/>
                <w:color w:val="000000" w:themeColor="text1"/>
                <w:sz w:val="20"/>
                <w:szCs w:val="20"/>
                <w:shd w:val="clear" w:color="auto" w:fill="FFFFFF"/>
              </w:rPr>
              <w:t>μg/d)</w:t>
            </w:r>
          </w:p>
        </w:tc>
        <w:tc>
          <w:tcPr>
            <w:tcW w:w="2057" w:type="dxa"/>
            <w:gridSpan w:val="2"/>
          </w:tcPr>
          <w:p w14:paraId="4B8C1AB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150</w:t>
            </w:r>
          </w:p>
        </w:tc>
        <w:tc>
          <w:tcPr>
            <w:tcW w:w="1951" w:type="dxa"/>
          </w:tcPr>
          <w:p w14:paraId="58EA609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200</w:t>
            </w:r>
          </w:p>
        </w:tc>
        <w:tc>
          <w:tcPr>
            <w:tcW w:w="2351" w:type="dxa"/>
          </w:tcPr>
          <w:p w14:paraId="4F5DD5AF" w14:textId="0C793006"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319.9</w:t>
            </w:r>
            <w:r w:rsidR="00755CCD" w:rsidRPr="00CA4ABC">
              <w:rPr>
                <w:rFonts w:cstheme="minorHAnsi"/>
                <w:color w:val="000000" w:themeColor="text1"/>
                <w:sz w:val="20"/>
                <w:szCs w:val="20"/>
              </w:rPr>
              <w:t xml:space="preserve"> </w:t>
            </w:r>
            <w:r w:rsidRPr="00CA4ABC">
              <w:rPr>
                <w:rFonts w:cstheme="minorHAnsi"/>
                <w:color w:val="000000" w:themeColor="text1"/>
                <w:sz w:val="20"/>
                <w:szCs w:val="20"/>
              </w:rPr>
              <w:t>(175.4)</w:t>
            </w:r>
          </w:p>
        </w:tc>
        <w:tc>
          <w:tcPr>
            <w:tcW w:w="2526" w:type="dxa"/>
            <w:shd w:val="clear" w:color="auto" w:fill="92D050"/>
          </w:tcPr>
          <w:p w14:paraId="5DDB8C9D" w14:textId="75025098"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271.</w:t>
            </w:r>
            <w:r w:rsidR="002007C7" w:rsidRPr="00CA4ABC">
              <w:rPr>
                <w:rFonts w:cstheme="minorHAnsi"/>
                <w:color w:val="000000" w:themeColor="text1"/>
                <w:sz w:val="20"/>
                <w:szCs w:val="20"/>
              </w:rPr>
              <w:t>7</w:t>
            </w:r>
            <w:r w:rsidRPr="00CA4ABC">
              <w:rPr>
                <w:rFonts w:cstheme="minorHAnsi"/>
                <w:color w:val="000000" w:themeColor="text1"/>
                <w:sz w:val="20"/>
                <w:szCs w:val="20"/>
              </w:rPr>
              <w:t xml:space="preserve"> (1</w:t>
            </w:r>
            <w:r w:rsidR="002007C7" w:rsidRPr="00CA4ABC">
              <w:rPr>
                <w:rFonts w:cstheme="minorHAnsi"/>
                <w:color w:val="000000" w:themeColor="text1"/>
                <w:sz w:val="20"/>
                <w:szCs w:val="20"/>
              </w:rPr>
              <w:t>41.2</w:t>
            </w:r>
            <w:r w:rsidRPr="00CA4ABC">
              <w:rPr>
                <w:rFonts w:cstheme="minorHAnsi"/>
                <w:color w:val="000000" w:themeColor="text1"/>
                <w:sz w:val="20"/>
                <w:szCs w:val="20"/>
              </w:rPr>
              <w:t>)</w:t>
            </w:r>
          </w:p>
        </w:tc>
        <w:tc>
          <w:tcPr>
            <w:tcW w:w="2657" w:type="dxa"/>
            <w:shd w:val="clear" w:color="auto" w:fill="92D050"/>
          </w:tcPr>
          <w:p w14:paraId="4AAE4E68" w14:textId="3DAC6DB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36</w:t>
            </w:r>
            <w:r w:rsidR="002007C7" w:rsidRPr="00CA4ABC">
              <w:rPr>
                <w:rFonts w:cstheme="minorHAnsi"/>
                <w:color w:val="000000" w:themeColor="text1"/>
                <w:sz w:val="20"/>
                <w:szCs w:val="20"/>
              </w:rPr>
              <w:t>9.6</w:t>
            </w:r>
            <w:r w:rsidRPr="00CA4ABC">
              <w:rPr>
                <w:rFonts w:cstheme="minorHAnsi"/>
                <w:color w:val="000000" w:themeColor="text1"/>
                <w:sz w:val="20"/>
                <w:szCs w:val="20"/>
              </w:rPr>
              <w:t xml:space="preserve"> (</w:t>
            </w:r>
            <w:r w:rsidR="002007C7" w:rsidRPr="00CA4ABC">
              <w:rPr>
                <w:rFonts w:cstheme="minorHAnsi"/>
                <w:color w:val="000000" w:themeColor="text1"/>
                <w:sz w:val="20"/>
                <w:szCs w:val="20"/>
              </w:rPr>
              <w:t>201.6</w:t>
            </w:r>
            <w:r w:rsidRPr="00CA4ABC">
              <w:rPr>
                <w:rFonts w:cstheme="minorHAnsi"/>
                <w:color w:val="000000" w:themeColor="text1"/>
                <w:sz w:val="20"/>
                <w:szCs w:val="20"/>
              </w:rPr>
              <w:t>)</w:t>
            </w:r>
          </w:p>
        </w:tc>
        <w:tc>
          <w:tcPr>
            <w:tcW w:w="1138" w:type="dxa"/>
          </w:tcPr>
          <w:p w14:paraId="1C02D0C9" w14:textId="521E5C79"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471BCB" w:rsidRPr="00CA4ABC">
              <w:rPr>
                <w:rFonts w:cstheme="minorHAnsi"/>
                <w:color w:val="000000" w:themeColor="text1"/>
                <w:sz w:val="20"/>
                <w:szCs w:val="20"/>
              </w:rPr>
              <w:t>*</w:t>
            </w:r>
          </w:p>
        </w:tc>
      </w:tr>
      <w:tr w:rsidR="004053D7" w:rsidRPr="00CA4ABC" w14:paraId="4BA713F7" w14:textId="77777777" w:rsidTr="00A75D04">
        <w:trPr>
          <w:trHeight w:val="118"/>
        </w:trPr>
        <w:tc>
          <w:tcPr>
            <w:tcW w:w="2917" w:type="dxa"/>
            <w:gridSpan w:val="2"/>
          </w:tcPr>
          <w:p w14:paraId="1B84BB6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Vitamin C (mg/d)</w:t>
            </w:r>
          </w:p>
        </w:tc>
        <w:tc>
          <w:tcPr>
            <w:tcW w:w="2057" w:type="dxa"/>
            <w:gridSpan w:val="2"/>
          </w:tcPr>
          <w:p w14:paraId="4E16FDE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25</w:t>
            </w:r>
          </w:p>
        </w:tc>
        <w:tc>
          <w:tcPr>
            <w:tcW w:w="1951" w:type="dxa"/>
          </w:tcPr>
          <w:p w14:paraId="6317F87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40</w:t>
            </w:r>
          </w:p>
        </w:tc>
        <w:tc>
          <w:tcPr>
            <w:tcW w:w="2351" w:type="dxa"/>
          </w:tcPr>
          <w:p w14:paraId="2B585BCA" w14:textId="0AD2DC22"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178.9(221.2)</w:t>
            </w:r>
          </w:p>
        </w:tc>
        <w:tc>
          <w:tcPr>
            <w:tcW w:w="2526" w:type="dxa"/>
            <w:shd w:val="clear" w:color="auto" w:fill="92D050"/>
          </w:tcPr>
          <w:p w14:paraId="77C619FD" w14:textId="00AD2CB6"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13</w:t>
            </w:r>
            <w:r w:rsidR="00D51611" w:rsidRPr="00CA4ABC">
              <w:rPr>
                <w:rFonts w:cstheme="minorHAnsi"/>
                <w:color w:val="000000" w:themeColor="text1"/>
                <w:sz w:val="20"/>
                <w:szCs w:val="20"/>
              </w:rPr>
              <w:t>7</w:t>
            </w:r>
            <w:r w:rsidRPr="00CA4ABC">
              <w:rPr>
                <w:rFonts w:cstheme="minorHAnsi"/>
                <w:color w:val="000000" w:themeColor="text1"/>
                <w:sz w:val="20"/>
                <w:szCs w:val="20"/>
              </w:rPr>
              <w:t>.</w:t>
            </w:r>
            <w:r w:rsidR="00D51611" w:rsidRPr="00CA4ABC">
              <w:rPr>
                <w:rFonts w:cstheme="minorHAnsi"/>
                <w:color w:val="000000" w:themeColor="text1"/>
                <w:sz w:val="20"/>
                <w:szCs w:val="20"/>
              </w:rPr>
              <w:t>9</w:t>
            </w:r>
            <w:r w:rsidRPr="00CA4ABC">
              <w:rPr>
                <w:rFonts w:cstheme="minorHAnsi"/>
                <w:color w:val="000000" w:themeColor="text1"/>
                <w:sz w:val="20"/>
                <w:szCs w:val="20"/>
              </w:rPr>
              <w:t xml:space="preserve"> (102.</w:t>
            </w:r>
            <w:r w:rsidR="00D51611" w:rsidRPr="00CA4ABC">
              <w:rPr>
                <w:rFonts w:cstheme="minorHAnsi"/>
                <w:color w:val="000000" w:themeColor="text1"/>
                <w:sz w:val="20"/>
                <w:szCs w:val="20"/>
              </w:rPr>
              <w:t>5</w:t>
            </w:r>
            <w:r w:rsidRPr="00CA4ABC">
              <w:rPr>
                <w:rFonts w:cstheme="minorHAnsi"/>
                <w:color w:val="000000" w:themeColor="text1"/>
                <w:sz w:val="20"/>
                <w:szCs w:val="20"/>
              </w:rPr>
              <w:t>)</w:t>
            </w:r>
          </w:p>
        </w:tc>
        <w:tc>
          <w:tcPr>
            <w:tcW w:w="2657" w:type="dxa"/>
            <w:shd w:val="clear" w:color="auto" w:fill="92D050"/>
          </w:tcPr>
          <w:p w14:paraId="05DFF54D" w14:textId="200776C6"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21</w:t>
            </w:r>
            <w:r w:rsidR="00D51611" w:rsidRPr="00CA4ABC">
              <w:rPr>
                <w:rFonts w:cstheme="minorHAnsi"/>
                <w:color w:val="000000" w:themeColor="text1"/>
                <w:sz w:val="20"/>
                <w:szCs w:val="20"/>
              </w:rPr>
              <w:t>3.0</w:t>
            </w:r>
            <w:r w:rsidRPr="00CA4ABC">
              <w:rPr>
                <w:rFonts w:cstheme="minorHAnsi"/>
                <w:color w:val="000000" w:themeColor="text1"/>
                <w:sz w:val="20"/>
                <w:szCs w:val="20"/>
              </w:rPr>
              <w:t xml:space="preserve"> (28</w:t>
            </w:r>
            <w:r w:rsidR="00D51611" w:rsidRPr="00CA4ABC">
              <w:rPr>
                <w:rFonts w:cstheme="minorHAnsi"/>
                <w:color w:val="000000" w:themeColor="text1"/>
                <w:sz w:val="20"/>
                <w:szCs w:val="20"/>
              </w:rPr>
              <w:t>5</w:t>
            </w:r>
            <w:r w:rsidRPr="00CA4ABC">
              <w:rPr>
                <w:rFonts w:cstheme="minorHAnsi"/>
                <w:color w:val="000000" w:themeColor="text1"/>
                <w:sz w:val="20"/>
                <w:szCs w:val="20"/>
              </w:rPr>
              <w:t>.</w:t>
            </w:r>
            <w:r w:rsidR="00D51611" w:rsidRPr="00CA4ABC">
              <w:rPr>
                <w:rFonts w:cstheme="minorHAnsi"/>
                <w:color w:val="000000" w:themeColor="text1"/>
                <w:sz w:val="20"/>
                <w:szCs w:val="20"/>
              </w:rPr>
              <w:t>7</w:t>
            </w:r>
            <w:r w:rsidRPr="00CA4ABC">
              <w:rPr>
                <w:rFonts w:cstheme="minorHAnsi"/>
                <w:color w:val="000000" w:themeColor="text1"/>
                <w:sz w:val="20"/>
                <w:szCs w:val="20"/>
              </w:rPr>
              <w:t>)</w:t>
            </w:r>
          </w:p>
        </w:tc>
        <w:tc>
          <w:tcPr>
            <w:tcW w:w="1138" w:type="dxa"/>
          </w:tcPr>
          <w:p w14:paraId="7BD23E25" w14:textId="1B9F2082"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0.001</w:t>
            </w:r>
            <w:r w:rsidR="00811146" w:rsidRPr="00CA4ABC">
              <w:rPr>
                <w:rFonts w:cstheme="minorHAnsi"/>
                <w:color w:val="000000" w:themeColor="text1"/>
                <w:sz w:val="20"/>
                <w:szCs w:val="20"/>
              </w:rPr>
              <w:t>*</w:t>
            </w:r>
          </w:p>
        </w:tc>
      </w:tr>
      <w:tr w:rsidR="004053D7" w:rsidRPr="00CA4ABC" w14:paraId="69A8DBBC" w14:textId="77777777" w:rsidTr="00A75D04">
        <w:trPr>
          <w:trHeight w:val="118"/>
        </w:trPr>
        <w:tc>
          <w:tcPr>
            <w:tcW w:w="2917" w:type="dxa"/>
            <w:gridSpan w:val="2"/>
          </w:tcPr>
          <w:p w14:paraId="63B5D4C1" w14:textId="079BBC4E"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Vitamin D (</w:t>
            </w:r>
            <w:r w:rsidRPr="00CA4ABC">
              <w:rPr>
                <w:rFonts w:cstheme="minorHAnsi"/>
                <w:color w:val="000000" w:themeColor="text1"/>
                <w:sz w:val="20"/>
                <w:szCs w:val="20"/>
                <w:shd w:val="clear" w:color="auto" w:fill="FFFFFF"/>
              </w:rPr>
              <w:t>μg/d)</w:t>
            </w:r>
          </w:p>
        </w:tc>
        <w:tc>
          <w:tcPr>
            <w:tcW w:w="4008" w:type="dxa"/>
            <w:gridSpan w:val="3"/>
          </w:tcPr>
          <w:p w14:paraId="51AFCAC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10</w:t>
            </w:r>
            <w:r w:rsidRPr="00CA4ABC">
              <w:rPr>
                <w:rFonts w:cstheme="minorHAnsi"/>
                <w:color w:val="000000" w:themeColor="text1"/>
                <w:sz w:val="20"/>
                <w:szCs w:val="20"/>
                <w:shd w:val="clear" w:color="auto" w:fill="FFFFFF"/>
              </w:rPr>
              <w:t xml:space="preserve"> μg/day supplement*</w:t>
            </w:r>
          </w:p>
        </w:tc>
        <w:tc>
          <w:tcPr>
            <w:tcW w:w="2351" w:type="dxa"/>
          </w:tcPr>
          <w:p w14:paraId="600305E3" w14:textId="69DC473D" w:rsidR="00507FC8" w:rsidRPr="00CA4ABC" w:rsidRDefault="004A224E" w:rsidP="0062072C">
            <w:pPr>
              <w:rPr>
                <w:rFonts w:cstheme="minorHAnsi"/>
                <w:color w:val="000000" w:themeColor="text1"/>
                <w:sz w:val="20"/>
                <w:szCs w:val="20"/>
              </w:rPr>
            </w:pPr>
            <w:r w:rsidRPr="00CA4ABC">
              <w:rPr>
                <w:rFonts w:cstheme="minorHAnsi"/>
                <w:color w:val="000000" w:themeColor="text1"/>
                <w:sz w:val="20"/>
                <w:szCs w:val="20"/>
              </w:rPr>
              <w:t>11</w:t>
            </w:r>
            <w:r w:rsidR="00507FC8" w:rsidRPr="00CA4ABC">
              <w:rPr>
                <w:rFonts w:cstheme="minorHAnsi"/>
                <w:color w:val="000000" w:themeColor="text1"/>
                <w:sz w:val="20"/>
                <w:szCs w:val="20"/>
              </w:rPr>
              <w:t>.5 (</w:t>
            </w:r>
            <w:r w:rsidRPr="00CA4ABC">
              <w:rPr>
                <w:rFonts w:cstheme="minorHAnsi"/>
                <w:color w:val="000000" w:themeColor="text1"/>
                <w:sz w:val="20"/>
                <w:szCs w:val="20"/>
              </w:rPr>
              <w:t>18.7</w:t>
            </w:r>
            <w:r w:rsidR="00507FC8" w:rsidRPr="00CA4ABC">
              <w:rPr>
                <w:rFonts w:cstheme="minorHAnsi"/>
                <w:color w:val="000000" w:themeColor="text1"/>
                <w:sz w:val="20"/>
                <w:szCs w:val="20"/>
              </w:rPr>
              <w:t>)</w:t>
            </w:r>
          </w:p>
        </w:tc>
        <w:tc>
          <w:tcPr>
            <w:tcW w:w="2526" w:type="dxa"/>
          </w:tcPr>
          <w:p w14:paraId="6F05CE3F" w14:textId="7ED763E1" w:rsidR="00507FC8" w:rsidRPr="00CA4ABC" w:rsidRDefault="00D51611" w:rsidP="0062072C">
            <w:pPr>
              <w:rPr>
                <w:rFonts w:cstheme="minorHAnsi"/>
                <w:color w:val="000000" w:themeColor="text1"/>
                <w:sz w:val="20"/>
                <w:szCs w:val="20"/>
              </w:rPr>
            </w:pPr>
            <w:r w:rsidRPr="00CA4ABC">
              <w:rPr>
                <w:rFonts w:cstheme="minorHAnsi"/>
                <w:color w:val="000000" w:themeColor="text1"/>
                <w:sz w:val="20"/>
                <w:szCs w:val="20"/>
              </w:rPr>
              <w:t>11.1</w:t>
            </w:r>
            <w:r w:rsidR="00507FC8" w:rsidRPr="00CA4ABC">
              <w:rPr>
                <w:rFonts w:cstheme="minorHAnsi"/>
                <w:color w:val="000000" w:themeColor="text1"/>
                <w:sz w:val="20"/>
                <w:szCs w:val="20"/>
              </w:rPr>
              <w:t xml:space="preserve"> (20.</w:t>
            </w:r>
            <w:r w:rsidRPr="00CA4ABC">
              <w:rPr>
                <w:rFonts w:cstheme="minorHAnsi"/>
                <w:color w:val="000000" w:themeColor="text1"/>
                <w:sz w:val="20"/>
                <w:szCs w:val="20"/>
              </w:rPr>
              <w:t>1</w:t>
            </w:r>
            <w:r w:rsidR="00507FC8" w:rsidRPr="00CA4ABC">
              <w:rPr>
                <w:rFonts w:cstheme="minorHAnsi"/>
                <w:color w:val="000000" w:themeColor="text1"/>
                <w:sz w:val="20"/>
                <w:szCs w:val="20"/>
              </w:rPr>
              <w:t>)</w:t>
            </w:r>
          </w:p>
        </w:tc>
        <w:tc>
          <w:tcPr>
            <w:tcW w:w="2657" w:type="dxa"/>
          </w:tcPr>
          <w:p w14:paraId="4CC63F99" w14:textId="7BF83276"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w:t>
            </w:r>
            <w:r w:rsidR="00D51611" w:rsidRPr="00CA4ABC">
              <w:rPr>
                <w:rFonts w:cstheme="minorHAnsi"/>
                <w:color w:val="000000" w:themeColor="text1"/>
                <w:sz w:val="20"/>
                <w:szCs w:val="20"/>
              </w:rPr>
              <w:t>2</w:t>
            </w:r>
            <w:r w:rsidRPr="00CA4ABC">
              <w:rPr>
                <w:rFonts w:cstheme="minorHAnsi"/>
                <w:color w:val="000000" w:themeColor="text1"/>
                <w:sz w:val="20"/>
                <w:szCs w:val="20"/>
              </w:rPr>
              <w:t>.1 (1</w:t>
            </w:r>
            <w:r w:rsidR="00D51611" w:rsidRPr="00CA4ABC">
              <w:rPr>
                <w:rFonts w:cstheme="minorHAnsi"/>
                <w:color w:val="000000" w:themeColor="text1"/>
                <w:sz w:val="20"/>
                <w:szCs w:val="20"/>
              </w:rPr>
              <w:t>7.1</w:t>
            </w:r>
            <w:r w:rsidRPr="00CA4ABC">
              <w:rPr>
                <w:rFonts w:cstheme="minorHAnsi"/>
                <w:color w:val="000000" w:themeColor="text1"/>
                <w:sz w:val="20"/>
                <w:szCs w:val="20"/>
              </w:rPr>
              <w:t>)</w:t>
            </w:r>
          </w:p>
        </w:tc>
        <w:tc>
          <w:tcPr>
            <w:tcW w:w="1138" w:type="dxa"/>
          </w:tcPr>
          <w:p w14:paraId="6C829C08" w14:textId="15900BB8"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w:t>
            </w:r>
            <w:r w:rsidR="00471BCB" w:rsidRPr="00CA4ABC">
              <w:rPr>
                <w:rFonts w:cstheme="minorHAnsi"/>
                <w:color w:val="000000" w:themeColor="text1"/>
                <w:sz w:val="20"/>
                <w:szCs w:val="20"/>
              </w:rPr>
              <w:t>645</w:t>
            </w:r>
          </w:p>
        </w:tc>
      </w:tr>
      <w:tr w:rsidR="004053D7" w:rsidRPr="00CA4ABC" w14:paraId="2005A9FB" w14:textId="77777777" w:rsidTr="00422AA2">
        <w:trPr>
          <w:trHeight w:val="424"/>
        </w:trPr>
        <w:tc>
          <w:tcPr>
            <w:tcW w:w="2917" w:type="dxa"/>
            <w:gridSpan w:val="2"/>
            <w:vMerge w:val="restart"/>
          </w:tcPr>
          <w:p w14:paraId="0E02ACD1"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Vitamin E (mg/d)</w:t>
            </w:r>
          </w:p>
        </w:tc>
        <w:tc>
          <w:tcPr>
            <w:tcW w:w="1053" w:type="dxa"/>
          </w:tcPr>
          <w:p w14:paraId="17AC888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2955" w:type="dxa"/>
            <w:gridSpan w:val="2"/>
          </w:tcPr>
          <w:p w14:paraId="50FE31C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7</w:t>
            </w:r>
          </w:p>
        </w:tc>
        <w:tc>
          <w:tcPr>
            <w:tcW w:w="2351" w:type="dxa"/>
            <w:vMerge w:val="restart"/>
          </w:tcPr>
          <w:p w14:paraId="42C97D5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13.2 (8.9)</w:t>
            </w:r>
          </w:p>
        </w:tc>
        <w:tc>
          <w:tcPr>
            <w:tcW w:w="2526" w:type="dxa"/>
            <w:vMerge w:val="restart"/>
            <w:shd w:val="clear" w:color="auto" w:fill="92D050"/>
          </w:tcPr>
          <w:p w14:paraId="46DAFDE0" w14:textId="35242100"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11.</w:t>
            </w:r>
            <w:r w:rsidR="00D51611" w:rsidRPr="00CA4ABC">
              <w:rPr>
                <w:rFonts w:cstheme="minorHAnsi"/>
                <w:color w:val="000000" w:themeColor="text1"/>
                <w:sz w:val="20"/>
                <w:szCs w:val="20"/>
              </w:rPr>
              <w:t>7</w:t>
            </w:r>
            <w:r w:rsidRPr="00CA4ABC">
              <w:rPr>
                <w:rFonts w:cstheme="minorHAnsi"/>
                <w:color w:val="000000" w:themeColor="text1"/>
                <w:sz w:val="20"/>
                <w:szCs w:val="20"/>
              </w:rPr>
              <w:t xml:space="preserve"> (</w:t>
            </w:r>
            <w:r w:rsidR="002007C7" w:rsidRPr="00CA4ABC">
              <w:rPr>
                <w:rFonts w:cstheme="minorHAnsi"/>
                <w:color w:val="000000" w:themeColor="text1"/>
                <w:sz w:val="20"/>
                <w:szCs w:val="20"/>
              </w:rPr>
              <w:t>8.9</w:t>
            </w:r>
            <w:r w:rsidRPr="00CA4ABC">
              <w:rPr>
                <w:rFonts w:cstheme="minorHAnsi"/>
                <w:color w:val="000000" w:themeColor="text1"/>
                <w:sz w:val="20"/>
                <w:szCs w:val="20"/>
              </w:rPr>
              <w:t>)</w:t>
            </w:r>
          </w:p>
        </w:tc>
        <w:tc>
          <w:tcPr>
            <w:tcW w:w="2657" w:type="dxa"/>
            <w:vMerge w:val="restart"/>
            <w:shd w:val="clear" w:color="auto" w:fill="92D050"/>
          </w:tcPr>
          <w:p w14:paraId="5A4A50D7" w14:textId="7EC798C8"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w:t>
            </w:r>
            <w:r w:rsidR="002007C7" w:rsidRPr="00CA4ABC">
              <w:rPr>
                <w:rFonts w:cstheme="minorHAnsi"/>
                <w:color w:val="000000" w:themeColor="text1"/>
                <w:sz w:val="20"/>
                <w:szCs w:val="20"/>
              </w:rPr>
              <w:t>5.6</w:t>
            </w:r>
            <w:r w:rsidRPr="00CA4ABC">
              <w:rPr>
                <w:rFonts w:cstheme="minorHAnsi"/>
                <w:color w:val="000000" w:themeColor="text1"/>
                <w:sz w:val="20"/>
                <w:szCs w:val="20"/>
              </w:rPr>
              <w:t xml:space="preserve"> (</w:t>
            </w:r>
            <w:r w:rsidR="002007C7" w:rsidRPr="00CA4ABC">
              <w:rPr>
                <w:rFonts w:cstheme="minorHAnsi"/>
                <w:color w:val="000000" w:themeColor="text1"/>
                <w:sz w:val="20"/>
                <w:szCs w:val="20"/>
              </w:rPr>
              <w:t>12.5</w:t>
            </w:r>
            <w:r w:rsidRPr="00CA4ABC">
              <w:rPr>
                <w:rFonts w:cstheme="minorHAnsi"/>
                <w:color w:val="000000" w:themeColor="text1"/>
                <w:sz w:val="20"/>
                <w:szCs w:val="20"/>
              </w:rPr>
              <w:t>)</w:t>
            </w:r>
          </w:p>
        </w:tc>
        <w:tc>
          <w:tcPr>
            <w:tcW w:w="1138" w:type="dxa"/>
            <w:vMerge w:val="restart"/>
          </w:tcPr>
          <w:p w14:paraId="700C3978" w14:textId="0C9F7503"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0.00</w:t>
            </w:r>
            <w:r w:rsidR="00471BCB" w:rsidRPr="00CA4ABC">
              <w:rPr>
                <w:rFonts w:cstheme="minorHAnsi"/>
                <w:color w:val="000000" w:themeColor="text1"/>
                <w:sz w:val="20"/>
                <w:szCs w:val="20"/>
              </w:rPr>
              <w:t>2*</w:t>
            </w:r>
          </w:p>
        </w:tc>
      </w:tr>
      <w:tr w:rsidR="004053D7" w:rsidRPr="00CA4ABC" w14:paraId="60B1651E" w14:textId="77777777" w:rsidTr="00422AA2">
        <w:trPr>
          <w:trHeight w:val="185"/>
        </w:trPr>
        <w:tc>
          <w:tcPr>
            <w:tcW w:w="2917" w:type="dxa"/>
            <w:gridSpan w:val="2"/>
            <w:vMerge/>
          </w:tcPr>
          <w:p w14:paraId="1456BF8E" w14:textId="77777777" w:rsidR="00507FC8" w:rsidRPr="00CA4ABC" w:rsidRDefault="00507FC8" w:rsidP="0062072C">
            <w:pPr>
              <w:rPr>
                <w:rFonts w:cstheme="minorHAnsi"/>
                <w:color w:val="000000" w:themeColor="text1"/>
                <w:sz w:val="20"/>
                <w:szCs w:val="20"/>
              </w:rPr>
            </w:pPr>
          </w:p>
        </w:tc>
        <w:tc>
          <w:tcPr>
            <w:tcW w:w="1053" w:type="dxa"/>
          </w:tcPr>
          <w:p w14:paraId="5EFF54F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2955" w:type="dxa"/>
            <w:gridSpan w:val="2"/>
          </w:tcPr>
          <w:p w14:paraId="046C8D2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5</w:t>
            </w:r>
          </w:p>
        </w:tc>
        <w:tc>
          <w:tcPr>
            <w:tcW w:w="2351" w:type="dxa"/>
            <w:vMerge/>
          </w:tcPr>
          <w:p w14:paraId="536F2AAA"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6AC4A960"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15A2BE1D" w14:textId="77777777" w:rsidR="00507FC8" w:rsidRPr="00CA4ABC" w:rsidRDefault="00507FC8" w:rsidP="0062072C">
            <w:pPr>
              <w:rPr>
                <w:rFonts w:cstheme="minorHAnsi"/>
                <w:color w:val="000000" w:themeColor="text1"/>
                <w:sz w:val="20"/>
                <w:szCs w:val="20"/>
              </w:rPr>
            </w:pPr>
          </w:p>
        </w:tc>
        <w:tc>
          <w:tcPr>
            <w:tcW w:w="1138" w:type="dxa"/>
            <w:vMerge/>
          </w:tcPr>
          <w:p w14:paraId="1F642A24" w14:textId="77777777" w:rsidR="00507FC8" w:rsidRPr="00CA4ABC" w:rsidRDefault="00507FC8" w:rsidP="0062072C">
            <w:pPr>
              <w:rPr>
                <w:rFonts w:cstheme="minorHAnsi"/>
                <w:color w:val="000000" w:themeColor="text1"/>
                <w:sz w:val="20"/>
                <w:szCs w:val="20"/>
              </w:rPr>
            </w:pPr>
          </w:p>
        </w:tc>
      </w:tr>
      <w:tr w:rsidR="004053D7" w:rsidRPr="00CA4ABC" w14:paraId="6271CB3F" w14:textId="77777777" w:rsidTr="00A75D04">
        <w:trPr>
          <w:trHeight w:val="118"/>
        </w:trPr>
        <w:tc>
          <w:tcPr>
            <w:tcW w:w="2917" w:type="dxa"/>
            <w:gridSpan w:val="2"/>
          </w:tcPr>
          <w:p w14:paraId="1081190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Sodium (mg/d)</w:t>
            </w:r>
          </w:p>
        </w:tc>
        <w:tc>
          <w:tcPr>
            <w:tcW w:w="2057" w:type="dxa"/>
            <w:gridSpan w:val="2"/>
          </w:tcPr>
          <w:p w14:paraId="43A9CEF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w:t>
            </w:r>
          </w:p>
        </w:tc>
        <w:tc>
          <w:tcPr>
            <w:tcW w:w="1951" w:type="dxa"/>
          </w:tcPr>
          <w:p w14:paraId="64751CF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1600</w:t>
            </w:r>
          </w:p>
        </w:tc>
        <w:tc>
          <w:tcPr>
            <w:tcW w:w="2351" w:type="dxa"/>
          </w:tcPr>
          <w:p w14:paraId="7BE4FDA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1750.1</w:t>
            </w:r>
          </w:p>
          <w:p w14:paraId="1AE3EC4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(1035.9)</w:t>
            </w:r>
          </w:p>
        </w:tc>
        <w:tc>
          <w:tcPr>
            <w:tcW w:w="2526" w:type="dxa"/>
          </w:tcPr>
          <w:p w14:paraId="34EC15F8" w14:textId="0DF478C6" w:rsidR="00507FC8" w:rsidRPr="00CA4ABC" w:rsidRDefault="002007C7" w:rsidP="0062072C">
            <w:pPr>
              <w:rPr>
                <w:rFonts w:cstheme="minorHAnsi"/>
                <w:color w:val="000000" w:themeColor="text1"/>
                <w:sz w:val="20"/>
                <w:szCs w:val="20"/>
              </w:rPr>
            </w:pPr>
            <w:r w:rsidRPr="00CA4ABC">
              <w:rPr>
                <w:rFonts w:cstheme="minorHAnsi"/>
                <w:color w:val="000000" w:themeColor="text1"/>
                <w:sz w:val="20"/>
                <w:szCs w:val="20"/>
              </w:rPr>
              <w:t>1378.6</w:t>
            </w:r>
            <w:r w:rsidR="00507FC8" w:rsidRPr="00CA4ABC">
              <w:rPr>
                <w:rFonts w:cstheme="minorHAnsi"/>
                <w:color w:val="000000" w:themeColor="text1"/>
                <w:sz w:val="20"/>
                <w:szCs w:val="20"/>
              </w:rPr>
              <w:t xml:space="preserve"> (7</w:t>
            </w:r>
            <w:r w:rsidRPr="00CA4ABC">
              <w:rPr>
                <w:rFonts w:cstheme="minorHAnsi"/>
                <w:color w:val="000000" w:themeColor="text1"/>
                <w:sz w:val="20"/>
                <w:szCs w:val="20"/>
              </w:rPr>
              <w:t>0</w:t>
            </w:r>
            <w:r w:rsidR="00507FC8" w:rsidRPr="00CA4ABC">
              <w:rPr>
                <w:rFonts w:cstheme="minorHAnsi"/>
                <w:color w:val="000000" w:themeColor="text1"/>
                <w:sz w:val="20"/>
                <w:szCs w:val="20"/>
              </w:rPr>
              <w:t>3.</w:t>
            </w:r>
            <w:r w:rsidRPr="00CA4ABC">
              <w:rPr>
                <w:rFonts w:cstheme="minorHAnsi"/>
                <w:color w:val="000000" w:themeColor="text1"/>
                <w:sz w:val="20"/>
                <w:szCs w:val="20"/>
              </w:rPr>
              <w:t>3</w:t>
            </w:r>
            <w:r w:rsidR="00507FC8" w:rsidRPr="00CA4ABC">
              <w:rPr>
                <w:rFonts w:cstheme="minorHAnsi"/>
                <w:color w:val="000000" w:themeColor="text1"/>
                <w:sz w:val="20"/>
                <w:szCs w:val="20"/>
              </w:rPr>
              <w:t>)</w:t>
            </w:r>
          </w:p>
        </w:tc>
        <w:tc>
          <w:tcPr>
            <w:tcW w:w="2657" w:type="dxa"/>
          </w:tcPr>
          <w:p w14:paraId="60138B15" w14:textId="18177532"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w:t>
            </w:r>
            <w:r w:rsidR="002007C7" w:rsidRPr="00CA4ABC">
              <w:rPr>
                <w:rFonts w:cstheme="minorHAnsi"/>
                <w:color w:val="000000" w:themeColor="text1"/>
                <w:sz w:val="20"/>
                <w:szCs w:val="20"/>
              </w:rPr>
              <w:t>144.5</w:t>
            </w:r>
            <w:r w:rsidRPr="00CA4ABC">
              <w:rPr>
                <w:rFonts w:cstheme="minorHAnsi"/>
                <w:color w:val="000000" w:themeColor="text1"/>
                <w:sz w:val="20"/>
                <w:szCs w:val="20"/>
              </w:rPr>
              <w:t xml:space="preserve"> (</w:t>
            </w:r>
            <w:r w:rsidR="002007C7" w:rsidRPr="00CA4ABC">
              <w:rPr>
                <w:rFonts w:cstheme="minorHAnsi"/>
                <w:color w:val="000000" w:themeColor="text1"/>
                <w:sz w:val="20"/>
                <w:szCs w:val="20"/>
              </w:rPr>
              <w:t>1382.0</w:t>
            </w:r>
            <w:r w:rsidRPr="00CA4ABC">
              <w:rPr>
                <w:rFonts w:cstheme="minorHAnsi"/>
                <w:color w:val="000000" w:themeColor="text1"/>
                <w:sz w:val="20"/>
                <w:szCs w:val="20"/>
              </w:rPr>
              <w:t>)</w:t>
            </w:r>
          </w:p>
        </w:tc>
        <w:tc>
          <w:tcPr>
            <w:tcW w:w="1138" w:type="dxa"/>
          </w:tcPr>
          <w:p w14:paraId="68CB831C" w14:textId="5C58996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471BCB" w:rsidRPr="00CA4ABC">
              <w:rPr>
                <w:rFonts w:cstheme="minorHAnsi"/>
                <w:color w:val="000000" w:themeColor="text1"/>
                <w:sz w:val="20"/>
                <w:szCs w:val="20"/>
              </w:rPr>
              <w:t>*</w:t>
            </w:r>
          </w:p>
        </w:tc>
      </w:tr>
      <w:tr w:rsidR="004053D7" w:rsidRPr="00CA4ABC" w14:paraId="5ED5A06F" w14:textId="77777777" w:rsidTr="00A75D04">
        <w:trPr>
          <w:trHeight w:val="118"/>
        </w:trPr>
        <w:tc>
          <w:tcPr>
            <w:tcW w:w="2917" w:type="dxa"/>
            <w:gridSpan w:val="2"/>
          </w:tcPr>
          <w:p w14:paraId="428F1650"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Potassium (mg/d)</w:t>
            </w:r>
          </w:p>
        </w:tc>
        <w:tc>
          <w:tcPr>
            <w:tcW w:w="2057" w:type="dxa"/>
            <w:gridSpan w:val="2"/>
          </w:tcPr>
          <w:p w14:paraId="0657E085"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w:t>
            </w:r>
          </w:p>
        </w:tc>
        <w:tc>
          <w:tcPr>
            <w:tcW w:w="1951" w:type="dxa"/>
          </w:tcPr>
          <w:p w14:paraId="744CFF8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3500</w:t>
            </w:r>
          </w:p>
        </w:tc>
        <w:tc>
          <w:tcPr>
            <w:tcW w:w="2351" w:type="dxa"/>
          </w:tcPr>
          <w:p w14:paraId="48F45E4C"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3192.5</w:t>
            </w:r>
          </w:p>
          <w:p w14:paraId="61D26B8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(1241.9)</w:t>
            </w:r>
          </w:p>
        </w:tc>
        <w:tc>
          <w:tcPr>
            <w:tcW w:w="2526" w:type="dxa"/>
            <w:shd w:val="clear" w:color="auto" w:fill="FFC000"/>
          </w:tcPr>
          <w:p w14:paraId="6074767B" w14:textId="4CB16AC9"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26</w:t>
            </w:r>
            <w:r w:rsidR="002007C7" w:rsidRPr="00CA4ABC">
              <w:rPr>
                <w:rFonts w:cstheme="minorHAnsi"/>
                <w:color w:val="000000" w:themeColor="text1"/>
                <w:sz w:val="20"/>
                <w:szCs w:val="20"/>
              </w:rPr>
              <w:t>64.1</w:t>
            </w:r>
            <w:r w:rsidRPr="00CA4ABC">
              <w:rPr>
                <w:rFonts w:cstheme="minorHAnsi"/>
                <w:color w:val="000000" w:themeColor="text1"/>
                <w:sz w:val="20"/>
                <w:szCs w:val="20"/>
              </w:rPr>
              <w:t xml:space="preserve"> (</w:t>
            </w:r>
            <w:r w:rsidR="002007C7" w:rsidRPr="00CA4ABC">
              <w:rPr>
                <w:rFonts w:cstheme="minorHAnsi"/>
                <w:color w:val="000000" w:themeColor="text1"/>
                <w:sz w:val="20"/>
                <w:szCs w:val="20"/>
              </w:rPr>
              <w:t>1069.6</w:t>
            </w:r>
            <w:r w:rsidRPr="00CA4ABC">
              <w:rPr>
                <w:rFonts w:cstheme="minorHAnsi"/>
                <w:color w:val="000000" w:themeColor="text1"/>
                <w:sz w:val="20"/>
                <w:szCs w:val="20"/>
              </w:rPr>
              <w:t>)</w:t>
            </w:r>
          </w:p>
        </w:tc>
        <w:tc>
          <w:tcPr>
            <w:tcW w:w="2657" w:type="dxa"/>
            <w:shd w:val="clear" w:color="auto" w:fill="92D050"/>
          </w:tcPr>
          <w:p w14:paraId="6EF2355B" w14:textId="128571AD"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w:t>
            </w:r>
            <w:r w:rsidR="002007C7" w:rsidRPr="00CA4ABC">
              <w:rPr>
                <w:rFonts w:cstheme="minorHAnsi"/>
                <w:color w:val="000000" w:themeColor="text1"/>
                <w:sz w:val="20"/>
                <w:szCs w:val="20"/>
              </w:rPr>
              <w:t>651.6</w:t>
            </w:r>
            <w:r w:rsidRPr="00CA4ABC">
              <w:rPr>
                <w:rFonts w:cstheme="minorHAnsi"/>
                <w:color w:val="000000" w:themeColor="text1"/>
                <w:sz w:val="20"/>
                <w:szCs w:val="20"/>
              </w:rPr>
              <w:t xml:space="preserve"> (1</w:t>
            </w:r>
            <w:r w:rsidR="002007C7" w:rsidRPr="00CA4ABC">
              <w:rPr>
                <w:rFonts w:cstheme="minorHAnsi"/>
                <w:color w:val="000000" w:themeColor="text1"/>
                <w:sz w:val="20"/>
                <w:szCs w:val="20"/>
              </w:rPr>
              <w:t>395.1</w:t>
            </w:r>
            <w:r w:rsidRPr="00CA4ABC">
              <w:rPr>
                <w:rFonts w:cstheme="minorHAnsi"/>
                <w:color w:val="000000" w:themeColor="text1"/>
                <w:sz w:val="20"/>
                <w:szCs w:val="20"/>
              </w:rPr>
              <w:t>)</w:t>
            </w:r>
          </w:p>
        </w:tc>
        <w:tc>
          <w:tcPr>
            <w:tcW w:w="1138" w:type="dxa"/>
          </w:tcPr>
          <w:p w14:paraId="5CF5DABE" w14:textId="4E01EFCA"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471BCB" w:rsidRPr="00CA4ABC">
              <w:rPr>
                <w:rFonts w:cstheme="minorHAnsi"/>
                <w:color w:val="000000" w:themeColor="text1"/>
                <w:sz w:val="20"/>
                <w:szCs w:val="20"/>
              </w:rPr>
              <w:t>*</w:t>
            </w:r>
          </w:p>
        </w:tc>
      </w:tr>
      <w:tr w:rsidR="004053D7" w:rsidRPr="00CA4ABC" w14:paraId="18EF3CD6" w14:textId="77777777" w:rsidTr="00A75D04">
        <w:trPr>
          <w:trHeight w:val="118"/>
        </w:trPr>
        <w:tc>
          <w:tcPr>
            <w:tcW w:w="2917" w:type="dxa"/>
            <w:gridSpan w:val="2"/>
          </w:tcPr>
          <w:p w14:paraId="4478B45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Calcium (mg/d)</w:t>
            </w:r>
          </w:p>
        </w:tc>
        <w:tc>
          <w:tcPr>
            <w:tcW w:w="2057" w:type="dxa"/>
            <w:gridSpan w:val="2"/>
          </w:tcPr>
          <w:p w14:paraId="65AC3F28"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525</w:t>
            </w:r>
          </w:p>
        </w:tc>
        <w:tc>
          <w:tcPr>
            <w:tcW w:w="1951" w:type="dxa"/>
          </w:tcPr>
          <w:p w14:paraId="1BFFC68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700</w:t>
            </w:r>
          </w:p>
        </w:tc>
        <w:tc>
          <w:tcPr>
            <w:tcW w:w="2351" w:type="dxa"/>
          </w:tcPr>
          <w:p w14:paraId="3E7049E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998.3 (551.2)</w:t>
            </w:r>
          </w:p>
          <w:p w14:paraId="74D06F2B" w14:textId="77777777" w:rsidR="00507FC8" w:rsidRPr="00CA4ABC" w:rsidRDefault="00507FC8" w:rsidP="0062072C">
            <w:pPr>
              <w:rPr>
                <w:rFonts w:cstheme="minorHAnsi"/>
                <w:color w:val="000000" w:themeColor="text1"/>
                <w:sz w:val="20"/>
                <w:szCs w:val="20"/>
              </w:rPr>
            </w:pPr>
          </w:p>
          <w:p w14:paraId="7B45CAAA" w14:textId="77777777" w:rsidR="00507FC8" w:rsidRPr="00CA4ABC" w:rsidRDefault="00507FC8" w:rsidP="0062072C">
            <w:pPr>
              <w:rPr>
                <w:rFonts w:cstheme="minorHAnsi"/>
                <w:color w:val="000000" w:themeColor="text1"/>
                <w:sz w:val="20"/>
                <w:szCs w:val="20"/>
              </w:rPr>
            </w:pPr>
          </w:p>
        </w:tc>
        <w:tc>
          <w:tcPr>
            <w:tcW w:w="2526" w:type="dxa"/>
            <w:shd w:val="clear" w:color="auto" w:fill="92D050"/>
          </w:tcPr>
          <w:p w14:paraId="3F7CDA50" w14:textId="108A4C8C"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802.5 (456.9)</w:t>
            </w:r>
          </w:p>
        </w:tc>
        <w:tc>
          <w:tcPr>
            <w:tcW w:w="2657" w:type="dxa"/>
            <w:shd w:val="clear" w:color="auto" w:fill="92D050"/>
          </w:tcPr>
          <w:p w14:paraId="33D000F6" w14:textId="4EF577C0"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1196.2 (566.</w:t>
            </w:r>
            <w:r w:rsidR="002007C7" w:rsidRPr="00CA4ABC">
              <w:rPr>
                <w:rFonts w:cstheme="minorHAnsi"/>
                <w:color w:val="000000" w:themeColor="text1"/>
                <w:sz w:val="20"/>
                <w:szCs w:val="20"/>
              </w:rPr>
              <w:t>7)</w:t>
            </w:r>
          </w:p>
        </w:tc>
        <w:tc>
          <w:tcPr>
            <w:tcW w:w="1138" w:type="dxa"/>
          </w:tcPr>
          <w:p w14:paraId="4DC1A54C" w14:textId="3B58FD63"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471BCB" w:rsidRPr="00CA4ABC">
              <w:rPr>
                <w:rFonts w:cstheme="minorHAnsi"/>
                <w:color w:val="000000" w:themeColor="text1"/>
                <w:sz w:val="20"/>
                <w:szCs w:val="20"/>
              </w:rPr>
              <w:t>*</w:t>
            </w:r>
          </w:p>
        </w:tc>
      </w:tr>
      <w:tr w:rsidR="004053D7" w:rsidRPr="00CA4ABC" w14:paraId="5CE0F0EC" w14:textId="77777777" w:rsidTr="00422AA2">
        <w:trPr>
          <w:trHeight w:val="191"/>
        </w:trPr>
        <w:tc>
          <w:tcPr>
            <w:tcW w:w="2917" w:type="dxa"/>
            <w:gridSpan w:val="2"/>
            <w:vMerge w:val="restart"/>
          </w:tcPr>
          <w:p w14:paraId="2CFDAA9F"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Magnesium</w:t>
            </w:r>
          </w:p>
        </w:tc>
        <w:tc>
          <w:tcPr>
            <w:tcW w:w="1053" w:type="dxa"/>
          </w:tcPr>
          <w:p w14:paraId="1A87572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1004" w:type="dxa"/>
          </w:tcPr>
          <w:p w14:paraId="552822C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250</w:t>
            </w:r>
          </w:p>
        </w:tc>
        <w:tc>
          <w:tcPr>
            <w:tcW w:w="1951" w:type="dxa"/>
          </w:tcPr>
          <w:p w14:paraId="7FCB066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300</w:t>
            </w:r>
          </w:p>
        </w:tc>
        <w:tc>
          <w:tcPr>
            <w:tcW w:w="2351" w:type="dxa"/>
            <w:vMerge w:val="restart"/>
          </w:tcPr>
          <w:p w14:paraId="2AC29782"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329.8 (168.5)</w:t>
            </w:r>
          </w:p>
          <w:p w14:paraId="063B1F49" w14:textId="77777777" w:rsidR="00507FC8" w:rsidRPr="00CA4ABC" w:rsidRDefault="00507FC8" w:rsidP="0062072C">
            <w:pPr>
              <w:rPr>
                <w:rFonts w:cstheme="minorHAnsi"/>
                <w:color w:val="000000" w:themeColor="text1"/>
                <w:sz w:val="20"/>
                <w:szCs w:val="20"/>
              </w:rPr>
            </w:pPr>
          </w:p>
        </w:tc>
        <w:tc>
          <w:tcPr>
            <w:tcW w:w="2526" w:type="dxa"/>
            <w:vMerge w:val="restart"/>
            <w:shd w:val="clear" w:color="auto" w:fill="92D050"/>
          </w:tcPr>
          <w:p w14:paraId="252BEAD2" w14:textId="6C260AC4"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lastRenderedPageBreak/>
              <w:t>27</w:t>
            </w:r>
            <w:r w:rsidR="002007C7" w:rsidRPr="00CA4ABC">
              <w:rPr>
                <w:rFonts w:cstheme="minorHAnsi"/>
                <w:color w:val="000000" w:themeColor="text1"/>
                <w:sz w:val="20"/>
                <w:szCs w:val="20"/>
              </w:rPr>
              <w:t>5</w:t>
            </w:r>
            <w:r w:rsidRPr="00CA4ABC">
              <w:rPr>
                <w:rFonts w:cstheme="minorHAnsi"/>
                <w:color w:val="000000" w:themeColor="text1"/>
                <w:sz w:val="20"/>
                <w:szCs w:val="20"/>
              </w:rPr>
              <w:t>.</w:t>
            </w:r>
            <w:r w:rsidR="002007C7" w:rsidRPr="00CA4ABC">
              <w:rPr>
                <w:rFonts w:cstheme="minorHAnsi"/>
                <w:color w:val="000000" w:themeColor="text1"/>
                <w:sz w:val="20"/>
                <w:szCs w:val="20"/>
              </w:rPr>
              <w:t>2</w:t>
            </w:r>
            <w:r w:rsidRPr="00CA4ABC">
              <w:rPr>
                <w:rFonts w:cstheme="minorHAnsi"/>
                <w:color w:val="000000" w:themeColor="text1"/>
                <w:sz w:val="20"/>
                <w:szCs w:val="20"/>
              </w:rPr>
              <w:t xml:space="preserve"> (16</w:t>
            </w:r>
            <w:r w:rsidR="002007C7" w:rsidRPr="00CA4ABC">
              <w:rPr>
                <w:rFonts w:cstheme="minorHAnsi"/>
                <w:color w:val="000000" w:themeColor="text1"/>
                <w:sz w:val="20"/>
                <w:szCs w:val="20"/>
              </w:rPr>
              <w:t>2</w:t>
            </w:r>
            <w:r w:rsidRPr="00CA4ABC">
              <w:rPr>
                <w:rFonts w:cstheme="minorHAnsi"/>
                <w:color w:val="000000" w:themeColor="text1"/>
                <w:sz w:val="20"/>
                <w:szCs w:val="20"/>
              </w:rPr>
              <w:t>.0)</w:t>
            </w:r>
          </w:p>
        </w:tc>
        <w:tc>
          <w:tcPr>
            <w:tcW w:w="2657" w:type="dxa"/>
            <w:vMerge w:val="restart"/>
            <w:shd w:val="clear" w:color="auto" w:fill="92D050"/>
          </w:tcPr>
          <w:p w14:paraId="20DC2FB7" w14:textId="5AC93C11"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3</w:t>
            </w:r>
            <w:r w:rsidR="002007C7" w:rsidRPr="00CA4ABC">
              <w:rPr>
                <w:rFonts w:cstheme="minorHAnsi"/>
                <w:color w:val="000000" w:themeColor="text1"/>
                <w:sz w:val="20"/>
                <w:szCs w:val="20"/>
              </w:rPr>
              <w:t>94</w:t>
            </w:r>
            <w:r w:rsidRPr="00CA4ABC">
              <w:rPr>
                <w:rFonts w:cstheme="minorHAnsi"/>
                <w:color w:val="000000" w:themeColor="text1"/>
                <w:sz w:val="20"/>
                <w:szCs w:val="20"/>
              </w:rPr>
              <w:t>.2 (</w:t>
            </w:r>
            <w:r w:rsidR="002007C7" w:rsidRPr="00CA4ABC">
              <w:rPr>
                <w:rFonts w:cstheme="minorHAnsi"/>
                <w:color w:val="000000" w:themeColor="text1"/>
                <w:sz w:val="20"/>
                <w:szCs w:val="20"/>
              </w:rPr>
              <w:t>208.5</w:t>
            </w:r>
            <w:r w:rsidRPr="00CA4ABC">
              <w:rPr>
                <w:rFonts w:cstheme="minorHAnsi"/>
                <w:color w:val="000000" w:themeColor="text1"/>
                <w:sz w:val="20"/>
                <w:szCs w:val="20"/>
              </w:rPr>
              <w:t>)</w:t>
            </w:r>
          </w:p>
        </w:tc>
        <w:tc>
          <w:tcPr>
            <w:tcW w:w="1138" w:type="dxa"/>
            <w:vMerge w:val="restart"/>
          </w:tcPr>
          <w:p w14:paraId="3A1F468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p>
        </w:tc>
      </w:tr>
      <w:tr w:rsidR="004053D7" w:rsidRPr="00CA4ABC" w14:paraId="2C9F7EEE" w14:textId="77777777" w:rsidTr="00422AA2">
        <w:trPr>
          <w:trHeight w:val="191"/>
        </w:trPr>
        <w:tc>
          <w:tcPr>
            <w:tcW w:w="2917" w:type="dxa"/>
            <w:gridSpan w:val="2"/>
            <w:vMerge/>
          </w:tcPr>
          <w:p w14:paraId="3C8765B3" w14:textId="77777777" w:rsidR="00507FC8" w:rsidRPr="00CA4ABC" w:rsidRDefault="00507FC8" w:rsidP="0062072C">
            <w:pPr>
              <w:rPr>
                <w:rFonts w:cstheme="minorHAnsi"/>
                <w:color w:val="000000" w:themeColor="text1"/>
                <w:sz w:val="20"/>
                <w:szCs w:val="20"/>
              </w:rPr>
            </w:pPr>
          </w:p>
        </w:tc>
        <w:tc>
          <w:tcPr>
            <w:tcW w:w="1053" w:type="dxa"/>
          </w:tcPr>
          <w:p w14:paraId="3155674F"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1004" w:type="dxa"/>
          </w:tcPr>
          <w:p w14:paraId="34690F0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200</w:t>
            </w:r>
          </w:p>
        </w:tc>
        <w:tc>
          <w:tcPr>
            <w:tcW w:w="1951" w:type="dxa"/>
          </w:tcPr>
          <w:p w14:paraId="3D72446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270</w:t>
            </w:r>
          </w:p>
        </w:tc>
        <w:tc>
          <w:tcPr>
            <w:tcW w:w="2351" w:type="dxa"/>
            <w:vMerge/>
          </w:tcPr>
          <w:p w14:paraId="63B6FA7C"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7DB4436E"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078BD1BE" w14:textId="77777777" w:rsidR="00507FC8" w:rsidRPr="00CA4ABC" w:rsidRDefault="00507FC8" w:rsidP="0062072C">
            <w:pPr>
              <w:rPr>
                <w:rFonts w:cstheme="minorHAnsi"/>
                <w:color w:val="000000" w:themeColor="text1"/>
                <w:sz w:val="20"/>
                <w:szCs w:val="20"/>
              </w:rPr>
            </w:pPr>
          </w:p>
        </w:tc>
        <w:tc>
          <w:tcPr>
            <w:tcW w:w="1138" w:type="dxa"/>
            <w:vMerge/>
          </w:tcPr>
          <w:p w14:paraId="19FA2664" w14:textId="77777777" w:rsidR="00507FC8" w:rsidRPr="00CA4ABC" w:rsidRDefault="00507FC8" w:rsidP="0062072C">
            <w:pPr>
              <w:rPr>
                <w:rFonts w:cstheme="minorHAnsi"/>
                <w:color w:val="000000" w:themeColor="text1"/>
                <w:sz w:val="20"/>
                <w:szCs w:val="20"/>
              </w:rPr>
            </w:pPr>
          </w:p>
        </w:tc>
      </w:tr>
      <w:tr w:rsidR="004053D7" w:rsidRPr="00CA4ABC" w14:paraId="332F0151" w14:textId="77777777" w:rsidTr="00A75D04">
        <w:trPr>
          <w:trHeight w:val="728"/>
        </w:trPr>
        <w:tc>
          <w:tcPr>
            <w:tcW w:w="2917" w:type="dxa"/>
            <w:gridSpan w:val="2"/>
          </w:tcPr>
          <w:p w14:paraId="7DD53790"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Phosphorus</w:t>
            </w:r>
          </w:p>
        </w:tc>
        <w:tc>
          <w:tcPr>
            <w:tcW w:w="2057" w:type="dxa"/>
            <w:gridSpan w:val="2"/>
          </w:tcPr>
          <w:p w14:paraId="77C19DF9"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400</w:t>
            </w:r>
          </w:p>
        </w:tc>
        <w:tc>
          <w:tcPr>
            <w:tcW w:w="1951" w:type="dxa"/>
          </w:tcPr>
          <w:p w14:paraId="59D653A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540</w:t>
            </w:r>
          </w:p>
        </w:tc>
        <w:tc>
          <w:tcPr>
            <w:tcW w:w="2351" w:type="dxa"/>
          </w:tcPr>
          <w:p w14:paraId="0E54847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1318.5 (530.7)</w:t>
            </w:r>
          </w:p>
        </w:tc>
        <w:tc>
          <w:tcPr>
            <w:tcW w:w="2526" w:type="dxa"/>
            <w:shd w:val="clear" w:color="auto" w:fill="92D050"/>
          </w:tcPr>
          <w:p w14:paraId="5B6B802E" w14:textId="38C311AC"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9</w:t>
            </w:r>
            <w:r w:rsidR="002007C7" w:rsidRPr="00CA4ABC">
              <w:rPr>
                <w:rFonts w:cstheme="minorHAnsi"/>
                <w:color w:val="000000" w:themeColor="text1"/>
                <w:sz w:val="20"/>
                <w:szCs w:val="20"/>
              </w:rPr>
              <w:t>96.3</w:t>
            </w:r>
            <w:r w:rsidRPr="00CA4ABC">
              <w:rPr>
                <w:rFonts w:cstheme="minorHAnsi"/>
                <w:color w:val="000000" w:themeColor="text1"/>
                <w:sz w:val="20"/>
                <w:szCs w:val="20"/>
              </w:rPr>
              <w:t xml:space="preserve"> (2</w:t>
            </w:r>
            <w:r w:rsidR="002007C7" w:rsidRPr="00CA4ABC">
              <w:rPr>
                <w:rFonts w:cstheme="minorHAnsi"/>
                <w:color w:val="000000" w:themeColor="text1"/>
                <w:sz w:val="20"/>
                <w:szCs w:val="20"/>
              </w:rPr>
              <w:t>50.0</w:t>
            </w:r>
            <w:r w:rsidRPr="00CA4ABC">
              <w:rPr>
                <w:rFonts w:cstheme="minorHAnsi"/>
                <w:color w:val="000000" w:themeColor="text1"/>
                <w:sz w:val="20"/>
                <w:szCs w:val="20"/>
              </w:rPr>
              <w:t>)</w:t>
            </w:r>
          </w:p>
        </w:tc>
        <w:tc>
          <w:tcPr>
            <w:tcW w:w="2657" w:type="dxa"/>
            <w:shd w:val="clear" w:color="auto" w:fill="92D050"/>
          </w:tcPr>
          <w:p w14:paraId="46215D92" w14:textId="777BA49C"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164</w:t>
            </w:r>
            <w:r w:rsidR="002007C7" w:rsidRPr="00CA4ABC">
              <w:rPr>
                <w:rFonts w:cstheme="minorHAnsi"/>
                <w:color w:val="000000" w:themeColor="text1"/>
                <w:sz w:val="20"/>
                <w:szCs w:val="20"/>
              </w:rPr>
              <w:t>2</w:t>
            </w:r>
            <w:r w:rsidRPr="00CA4ABC">
              <w:rPr>
                <w:rFonts w:cstheme="minorHAnsi"/>
                <w:color w:val="000000" w:themeColor="text1"/>
                <w:sz w:val="20"/>
                <w:szCs w:val="20"/>
              </w:rPr>
              <w:t>.0 (</w:t>
            </w:r>
            <w:r w:rsidR="002007C7" w:rsidRPr="00CA4ABC">
              <w:rPr>
                <w:rFonts w:cstheme="minorHAnsi"/>
                <w:color w:val="000000" w:themeColor="text1"/>
                <w:sz w:val="20"/>
                <w:szCs w:val="20"/>
              </w:rPr>
              <w:t>675.0</w:t>
            </w:r>
            <w:r w:rsidRPr="00CA4ABC">
              <w:rPr>
                <w:rFonts w:cstheme="minorHAnsi"/>
                <w:color w:val="000000" w:themeColor="text1"/>
                <w:sz w:val="20"/>
                <w:szCs w:val="20"/>
              </w:rPr>
              <w:t>)</w:t>
            </w:r>
          </w:p>
        </w:tc>
        <w:tc>
          <w:tcPr>
            <w:tcW w:w="1138" w:type="dxa"/>
          </w:tcPr>
          <w:p w14:paraId="090F835B" w14:textId="42AEECC0"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811146" w:rsidRPr="00CA4ABC">
              <w:rPr>
                <w:rFonts w:cstheme="minorHAnsi"/>
                <w:color w:val="000000" w:themeColor="text1"/>
                <w:sz w:val="20"/>
                <w:szCs w:val="20"/>
              </w:rPr>
              <w:t>*</w:t>
            </w:r>
          </w:p>
        </w:tc>
      </w:tr>
      <w:tr w:rsidR="004053D7" w:rsidRPr="00CA4ABC" w14:paraId="58E93B63" w14:textId="77777777" w:rsidTr="00422AA2">
        <w:trPr>
          <w:trHeight w:val="191"/>
        </w:trPr>
        <w:tc>
          <w:tcPr>
            <w:tcW w:w="2917" w:type="dxa"/>
            <w:gridSpan w:val="2"/>
            <w:vMerge w:val="restart"/>
          </w:tcPr>
          <w:p w14:paraId="2D52504D"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Iron (mg/d)</w:t>
            </w:r>
          </w:p>
        </w:tc>
        <w:tc>
          <w:tcPr>
            <w:tcW w:w="1053" w:type="dxa"/>
          </w:tcPr>
          <w:p w14:paraId="49DF6593"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1004" w:type="dxa"/>
          </w:tcPr>
          <w:p w14:paraId="1A489CCF"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6.7</w:t>
            </w:r>
          </w:p>
        </w:tc>
        <w:tc>
          <w:tcPr>
            <w:tcW w:w="1951" w:type="dxa"/>
          </w:tcPr>
          <w:p w14:paraId="6EB473F5"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8.7</w:t>
            </w:r>
          </w:p>
        </w:tc>
        <w:tc>
          <w:tcPr>
            <w:tcW w:w="2351" w:type="dxa"/>
            <w:vMerge w:val="restart"/>
          </w:tcPr>
          <w:p w14:paraId="1BD17824"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13.8 (12.6)</w:t>
            </w:r>
          </w:p>
          <w:p w14:paraId="4DFAB38D" w14:textId="77777777" w:rsidR="00507FC8" w:rsidRPr="00CA4ABC" w:rsidRDefault="00507FC8" w:rsidP="0062072C">
            <w:pPr>
              <w:rPr>
                <w:rFonts w:cstheme="minorHAnsi"/>
                <w:color w:val="000000" w:themeColor="text1"/>
                <w:sz w:val="20"/>
                <w:szCs w:val="20"/>
              </w:rPr>
            </w:pPr>
          </w:p>
        </w:tc>
        <w:tc>
          <w:tcPr>
            <w:tcW w:w="2526" w:type="dxa"/>
            <w:vMerge w:val="restart"/>
            <w:shd w:val="clear" w:color="auto" w:fill="92D050"/>
          </w:tcPr>
          <w:p w14:paraId="25C70416" w14:textId="6C858B51"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12.1 (1</w:t>
            </w:r>
            <w:r w:rsidR="002007C7" w:rsidRPr="00CA4ABC">
              <w:rPr>
                <w:rFonts w:cstheme="minorHAnsi"/>
                <w:color w:val="000000" w:themeColor="text1"/>
                <w:sz w:val="20"/>
                <w:szCs w:val="20"/>
              </w:rPr>
              <w:t>3.6</w:t>
            </w:r>
            <w:r w:rsidRPr="00CA4ABC">
              <w:rPr>
                <w:rFonts w:cstheme="minorHAnsi"/>
                <w:color w:val="000000" w:themeColor="text1"/>
                <w:sz w:val="20"/>
                <w:szCs w:val="20"/>
              </w:rPr>
              <w:t>)</w:t>
            </w:r>
          </w:p>
        </w:tc>
        <w:tc>
          <w:tcPr>
            <w:tcW w:w="2657" w:type="dxa"/>
            <w:vMerge w:val="restart"/>
            <w:shd w:val="clear" w:color="auto" w:fill="92D050"/>
          </w:tcPr>
          <w:p w14:paraId="5EF48DFE" w14:textId="336DEA26"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w:t>
            </w:r>
            <w:r w:rsidR="002007C7" w:rsidRPr="00CA4ABC">
              <w:rPr>
                <w:rFonts w:cstheme="minorHAnsi"/>
                <w:color w:val="000000" w:themeColor="text1"/>
                <w:sz w:val="20"/>
                <w:szCs w:val="20"/>
              </w:rPr>
              <w:t>6.0</w:t>
            </w:r>
            <w:r w:rsidRPr="00CA4ABC">
              <w:rPr>
                <w:rFonts w:cstheme="minorHAnsi"/>
                <w:color w:val="000000" w:themeColor="text1"/>
                <w:sz w:val="20"/>
                <w:szCs w:val="20"/>
              </w:rPr>
              <w:t xml:space="preserve"> (1</w:t>
            </w:r>
            <w:r w:rsidR="002007C7" w:rsidRPr="00CA4ABC">
              <w:rPr>
                <w:rFonts w:cstheme="minorHAnsi"/>
                <w:color w:val="000000" w:themeColor="text1"/>
                <w:sz w:val="20"/>
                <w:szCs w:val="20"/>
              </w:rPr>
              <w:t>1.1</w:t>
            </w:r>
            <w:r w:rsidRPr="00CA4ABC">
              <w:rPr>
                <w:rFonts w:cstheme="minorHAnsi"/>
                <w:color w:val="000000" w:themeColor="text1"/>
                <w:sz w:val="20"/>
                <w:szCs w:val="20"/>
              </w:rPr>
              <w:t>)</w:t>
            </w:r>
          </w:p>
        </w:tc>
        <w:tc>
          <w:tcPr>
            <w:tcW w:w="1138" w:type="dxa"/>
            <w:vMerge w:val="restart"/>
          </w:tcPr>
          <w:p w14:paraId="66F8267B" w14:textId="5FD900D5"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0.0</w:t>
            </w:r>
            <w:r w:rsidR="00471BCB" w:rsidRPr="00CA4ABC">
              <w:rPr>
                <w:rFonts w:cstheme="minorHAnsi"/>
                <w:color w:val="000000" w:themeColor="text1"/>
                <w:sz w:val="20"/>
                <w:szCs w:val="20"/>
              </w:rPr>
              <w:t>04*</w:t>
            </w:r>
          </w:p>
        </w:tc>
      </w:tr>
      <w:tr w:rsidR="004053D7" w:rsidRPr="00CA4ABC" w14:paraId="19FCDE03" w14:textId="77777777" w:rsidTr="00422AA2">
        <w:trPr>
          <w:trHeight w:val="191"/>
        </w:trPr>
        <w:tc>
          <w:tcPr>
            <w:tcW w:w="2917" w:type="dxa"/>
            <w:gridSpan w:val="2"/>
            <w:vMerge/>
          </w:tcPr>
          <w:p w14:paraId="069824BA" w14:textId="77777777" w:rsidR="00507FC8" w:rsidRPr="00CA4ABC" w:rsidRDefault="00507FC8" w:rsidP="0062072C">
            <w:pPr>
              <w:rPr>
                <w:rFonts w:cstheme="minorHAnsi"/>
                <w:color w:val="000000" w:themeColor="text1"/>
                <w:sz w:val="20"/>
                <w:szCs w:val="20"/>
              </w:rPr>
            </w:pPr>
          </w:p>
        </w:tc>
        <w:tc>
          <w:tcPr>
            <w:tcW w:w="1053" w:type="dxa"/>
          </w:tcPr>
          <w:p w14:paraId="15C5AC4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1004" w:type="dxa"/>
          </w:tcPr>
          <w:p w14:paraId="5B6F7FF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11.4 (6.7 50+ years)</w:t>
            </w:r>
          </w:p>
        </w:tc>
        <w:tc>
          <w:tcPr>
            <w:tcW w:w="1951" w:type="dxa"/>
          </w:tcPr>
          <w:p w14:paraId="5F8D85A4"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14.8 (8.7 50+ years)</w:t>
            </w:r>
          </w:p>
        </w:tc>
        <w:tc>
          <w:tcPr>
            <w:tcW w:w="2351" w:type="dxa"/>
            <w:vMerge/>
          </w:tcPr>
          <w:p w14:paraId="534CCD07"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44626753"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0E22B691" w14:textId="77777777" w:rsidR="00507FC8" w:rsidRPr="00CA4ABC" w:rsidRDefault="00507FC8" w:rsidP="0062072C">
            <w:pPr>
              <w:rPr>
                <w:rFonts w:cstheme="minorHAnsi"/>
                <w:color w:val="000000" w:themeColor="text1"/>
                <w:sz w:val="20"/>
                <w:szCs w:val="20"/>
              </w:rPr>
            </w:pPr>
          </w:p>
        </w:tc>
        <w:tc>
          <w:tcPr>
            <w:tcW w:w="1138" w:type="dxa"/>
            <w:vMerge/>
          </w:tcPr>
          <w:p w14:paraId="64C2A33A" w14:textId="77777777" w:rsidR="00507FC8" w:rsidRPr="00CA4ABC" w:rsidRDefault="00507FC8" w:rsidP="0062072C">
            <w:pPr>
              <w:rPr>
                <w:rFonts w:cstheme="minorHAnsi"/>
                <w:color w:val="000000" w:themeColor="text1"/>
                <w:sz w:val="20"/>
                <w:szCs w:val="20"/>
              </w:rPr>
            </w:pPr>
          </w:p>
        </w:tc>
      </w:tr>
      <w:tr w:rsidR="004053D7" w:rsidRPr="00CA4ABC" w14:paraId="5AB2EE25" w14:textId="77777777" w:rsidTr="00A75D04">
        <w:trPr>
          <w:trHeight w:val="357"/>
        </w:trPr>
        <w:tc>
          <w:tcPr>
            <w:tcW w:w="2917" w:type="dxa"/>
            <w:gridSpan w:val="2"/>
          </w:tcPr>
          <w:p w14:paraId="14DDC8D2"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Copper (mg/d)</w:t>
            </w:r>
          </w:p>
        </w:tc>
        <w:tc>
          <w:tcPr>
            <w:tcW w:w="2057" w:type="dxa"/>
            <w:gridSpan w:val="2"/>
          </w:tcPr>
          <w:p w14:paraId="1B6DEED1" w14:textId="77777777" w:rsidR="00507FC8" w:rsidRPr="00CA4ABC" w:rsidRDefault="00507FC8" w:rsidP="0062072C">
            <w:pPr>
              <w:rPr>
                <w:rFonts w:cstheme="minorHAnsi"/>
                <w:color w:val="000000" w:themeColor="text1"/>
                <w:sz w:val="20"/>
                <w:szCs w:val="20"/>
              </w:rPr>
            </w:pPr>
          </w:p>
        </w:tc>
        <w:tc>
          <w:tcPr>
            <w:tcW w:w="1951" w:type="dxa"/>
          </w:tcPr>
          <w:p w14:paraId="636F8930"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w:t>
            </w:r>
          </w:p>
        </w:tc>
        <w:tc>
          <w:tcPr>
            <w:tcW w:w="2351" w:type="dxa"/>
          </w:tcPr>
          <w:p w14:paraId="48EED84B"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1.5 (1.3)</w:t>
            </w:r>
          </w:p>
        </w:tc>
        <w:tc>
          <w:tcPr>
            <w:tcW w:w="2526" w:type="dxa"/>
            <w:shd w:val="clear" w:color="auto" w:fill="FFC000"/>
          </w:tcPr>
          <w:p w14:paraId="0DEC97A1" w14:textId="5FDE084B"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w:t>
            </w:r>
            <w:r w:rsidR="002007C7" w:rsidRPr="00CA4ABC">
              <w:rPr>
                <w:rFonts w:cstheme="minorHAnsi"/>
                <w:color w:val="000000" w:themeColor="text1"/>
                <w:sz w:val="20"/>
                <w:szCs w:val="20"/>
              </w:rPr>
              <w:t>2</w:t>
            </w:r>
            <w:r w:rsidRPr="00CA4ABC">
              <w:rPr>
                <w:rFonts w:cstheme="minorHAnsi"/>
                <w:color w:val="000000" w:themeColor="text1"/>
                <w:sz w:val="20"/>
                <w:szCs w:val="20"/>
              </w:rPr>
              <w:t xml:space="preserve"> (0.</w:t>
            </w:r>
            <w:r w:rsidR="002007C7" w:rsidRPr="00CA4ABC">
              <w:rPr>
                <w:rFonts w:cstheme="minorHAnsi"/>
                <w:color w:val="000000" w:themeColor="text1"/>
                <w:sz w:val="20"/>
                <w:szCs w:val="20"/>
              </w:rPr>
              <w:t>6</w:t>
            </w:r>
            <w:r w:rsidRPr="00CA4ABC">
              <w:rPr>
                <w:rFonts w:cstheme="minorHAnsi"/>
                <w:color w:val="000000" w:themeColor="text1"/>
                <w:sz w:val="20"/>
                <w:szCs w:val="20"/>
              </w:rPr>
              <w:t>)</w:t>
            </w:r>
          </w:p>
        </w:tc>
        <w:tc>
          <w:tcPr>
            <w:tcW w:w="2657" w:type="dxa"/>
            <w:shd w:val="clear" w:color="auto" w:fill="92D050"/>
          </w:tcPr>
          <w:p w14:paraId="4881C1EC" w14:textId="45835A33"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w:t>
            </w:r>
            <w:r w:rsidR="002007C7" w:rsidRPr="00CA4ABC">
              <w:rPr>
                <w:rFonts w:cstheme="minorHAnsi"/>
                <w:color w:val="000000" w:themeColor="text1"/>
                <w:sz w:val="20"/>
                <w:szCs w:val="20"/>
              </w:rPr>
              <w:t>8</w:t>
            </w:r>
            <w:r w:rsidRPr="00CA4ABC">
              <w:rPr>
                <w:rFonts w:cstheme="minorHAnsi"/>
                <w:color w:val="000000" w:themeColor="text1"/>
                <w:sz w:val="20"/>
                <w:szCs w:val="20"/>
              </w:rPr>
              <w:t xml:space="preserve"> (1.</w:t>
            </w:r>
            <w:r w:rsidR="002007C7" w:rsidRPr="00CA4ABC">
              <w:rPr>
                <w:rFonts w:cstheme="minorHAnsi"/>
                <w:color w:val="000000" w:themeColor="text1"/>
                <w:sz w:val="20"/>
                <w:szCs w:val="20"/>
              </w:rPr>
              <w:t>7</w:t>
            </w:r>
            <w:r w:rsidRPr="00CA4ABC">
              <w:rPr>
                <w:rFonts w:cstheme="minorHAnsi"/>
                <w:color w:val="000000" w:themeColor="text1"/>
                <w:sz w:val="20"/>
                <w:szCs w:val="20"/>
              </w:rPr>
              <w:t>)</w:t>
            </w:r>
          </w:p>
        </w:tc>
        <w:tc>
          <w:tcPr>
            <w:tcW w:w="1138" w:type="dxa"/>
          </w:tcPr>
          <w:p w14:paraId="34F94AAF" w14:textId="2301D6E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471BCB" w:rsidRPr="00CA4ABC">
              <w:rPr>
                <w:rFonts w:cstheme="minorHAnsi"/>
                <w:color w:val="000000" w:themeColor="text1"/>
                <w:sz w:val="20"/>
                <w:szCs w:val="20"/>
              </w:rPr>
              <w:t>*</w:t>
            </w:r>
          </w:p>
        </w:tc>
      </w:tr>
      <w:tr w:rsidR="009E77E7" w:rsidRPr="00CA4ABC" w14:paraId="72F54436" w14:textId="77777777" w:rsidTr="00422AA2">
        <w:trPr>
          <w:trHeight w:val="203"/>
        </w:trPr>
        <w:tc>
          <w:tcPr>
            <w:tcW w:w="2917" w:type="dxa"/>
            <w:gridSpan w:val="2"/>
            <w:vMerge w:val="restart"/>
          </w:tcPr>
          <w:p w14:paraId="512BFFDA" w14:textId="1A9149B5"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Selenium (</w:t>
            </w:r>
            <w:r w:rsidRPr="00CA4ABC">
              <w:rPr>
                <w:rFonts w:cstheme="minorHAnsi"/>
                <w:color w:val="000000" w:themeColor="text1"/>
                <w:sz w:val="20"/>
                <w:szCs w:val="20"/>
                <w:shd w:val="clear" w:color="auto" w:fill="FFFFFF"/>
              </w:rPr>
              <w:t>μg/d)</w:t>
            </w:r>
          </w:p>
        </w:tc>
        <w:tc>
          <w:tcPr>
            <w:tcW w:w="1053" w:type="dxa"/>
          </w:tcPr>
          <w:p w14:paraId="2AFA3E66" w14:textId="46099090"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Males</w:t>
            </w:r>
          </w:p>
        </w:tc>
        <w:tc>
          <w:tcPr>
            <w:tcW w:w="1004" w:type="dxa"/>
          </w:tcPr>
          <w:p w14:paraId="20032989" w14:textId="7B4079C9"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75</w:t>
            </w:r>
          </w:p>
        </w:tc>
        <w:tc>
          <w:tcPr>
            <w:tcW w:w="1951" w:type="dxa"/>
            <w:vMerge w:val="restart"/>
          </w:tcPr>
          <w:p w14:paraId="345D305B" w14:textId="77777777" w:rsidR="009E77E7" w:rsidRPr="00CA4ABC" w:rsidRDefault="009E77E7" w:rsidP="0062072C">
            <w:pPr>
              <w:rPr>
                <w:rFonts w:cstheme="minorHAnsi"/>
                <w:color w:val="000000" w:themeColor="text1"/>
                <w:sz w:val="20"/>
                <w:szCs w:val="20"/>
              </w:rPr>
            </w:pPr>
          </w:p>
        </w:tc>
        <w:tc>
          <w:tcPr>
            <w:tcW w:w="2351" w:type="dxa"/>
            <w:vMerge w:val="restart"/>
          </w:tcPr>
          <w:p w14:paraId="7614E6C0" w14:textId="5CBCD855"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53.8 (41.9)</w:t>
            </w:r>
          </w:p>
        </w:tc>
        <w:tc>
          <w:tcPr>
            <w:tcW w:w="2526" w:type="dxa"/>
            <w:vMerge w:val="restart"/>
            <w:shd w:val="clear" w:color="auto" w:fill="FFC000"/>
          </w:tcPr>
          <w:p w14:paraId="1AE54FD5" w14:textId="340882F3"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38.2 (28.1)</w:t>
            </w:r>
          </w:p>
        </w:tc>
        <w:tc>
          <w:tcPr>
            <w:tcW w:w="2657" w:type="dxa"/>
            <w:vMerge w:val="restart"/>
            <w:shd w:val="clear" w:color="auto" w:fill="FFC000"/>
          </w:tcPr>
          <w:p w14:paraId="6A34706C" w14:textId="163622C8"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69.2 (47.1)</w:t>
            </w:r>
          </w:p>
        </w:tc>
        <w:tc>
          <w:tcPr>
            <w:tcW w:w="1138" w:type="dxa"/>
            <w:vMerge w:val="restart"/>
          </w:tcPr>
          <w:p w14:paraId="78C9DB76" w14:textId="1475EF2B"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&lt;0.05*</w:t>
            </w:r>
          </w:p>
        </w:tc>
      </w:tr>
      <w:tr w:rsidR="009E77E7" w:rsidRPr="00CA4ABC" w14:paraId="3FBBF286" w14:textId="77777777" w:rsidTr="00422AA2">
        <w:trPr>
          <w:trHeight w:val="202"/>
        </w:trPr>
        <w:tc>
          <w:tcPr>
            <w:tcW w:w="2917" w:type="dxa"/>
            <w:gridSpan w:val="2"/>
            <w:vMerge/>
          </w:tcPr>
          <w:p w14:paraId="6F17EFE5" w14:textId="77777777" w:rsidR="009E77E7" w:rsidRPr="00CA4ABC" w:rsidRDefault="009E77E7" w:rsidP="0062072C">
            <w:pPr>
              <w:rPr>
                <w:rFonts w:cstheme="minorHAnsi"/>
                <w:color w:val="000000" w:themeColor="text1"/>
                <w:sz w:val="20"/>
                <w:szCs w:val="20"/>
              </w:rPr>
            </w:pPr>
          </w:p>
        </w:tc>
        <w:tc>
          <w:tcPr>
            <w:tcW w:w="1053" w:type="dxa"/>
          </w:tcPr>
          <w:p w14:paraId="6D32147B" w14:textId="7E87CBF3"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Females</w:t>
            </w:r>
          </w:p>
        </w:tc>
        <w:tc>
          <w:tcPr>
            <w:tcW w:w="1004" w:type="dxa"/>
          </w:tcPr>
          <w:p w14:paraId="045B053A" w14:textId="08364A79" w:rsidR="009E77E7" w:rsidRPr="00CA4ABC" w:rsidRDefault="009E77E7" w:rsidP="0062072C">
            <w:pPr>
              <w:rPr>
                <w:rFonts w:cstheme="minorHAnsi"/>
                <w:color w:val="000000" w:themeColor="text1"/>
                <w:sz w:val="20"/>
                <w:szCs w:val="20"/>
              </w:rPr>
            </w:pPr>
            <w:r w:rsidRPr="00CA4ABC">
              <w:rPr>
                <w:rFonts w:cstheme="minorHAnsi"/>
                <w:color w:val="000000" w:themeColor="text1"/>
                <w:sz w:val="20"/>
                <w:szCs w:val="20"/>
              </w:rPr>
              <w:t>60</w:t>
            </w:r>
          </w:p>
        </w:tc>
        <w:tc>
          <w:tcPr>
            <w:tcW w:w="1951" w:type="dxa"/>
            <w:vMerge/>
          </w:tcPr>
          <w:p w14:paraId="32E43E3D" w14:textId="77777777" w:rsidR="009E77E7" w:rsidRPr="00CA4ABC" w:rsidRDefault="009E77E7" w:rsidP="0062072C">
            <w:pPr>
              <w:rPr>
                <w:rFonts w:cstheme="minorHAnsi"/>
                <w:color w:val="000000" w:themeColor="text1"/>
                <w:sz w:val="20"/>
                <w:szCs w:val="20"/>
              </w:rPr>
            </w:pPr>
          </w:p>
        </w:tc>
        <w:tc>
          <w:tcPr>
            <w:tcW w:w="2351" w:type="dxa"/>
            <w:vMerge/>
          </w:tcPr>
          <w:p w14:paraId="79347E87" w14:textId="77777777" w:rsidR="009E77E7" w:rsidRPr="00CA4ABC" w:rsidRDefault="009E77E7" w:rsidP="0062072C">
            <w:pPr>
              <w:rPr>
                <w:rFonts w:cstheme="minorHAnsi"/>
                <w:color w:val="000000" w:themeColor="text1"/>
                <w:sz w:val="20"/>
                <w:szCs w:val="20"/>
              </w:rPr>
            </w:pPr>
          </w:p>
        </w:tc>
        <w:tc>
          <w:tcPr>
            <w:tcW w:w="2526" w:type="dxa"/>
            <w:vMerge/>
            <w:shd w:val="clear" w:color="auto" w:fill="FFC000"/>
          </w:tcPr>
          <w:p w14:paraId="6DE6EF1C" w14:textId="77777777" w:rsidR="009E77E7" w:rsidRPr="00CA4ABC" w:rsidRDefault="009E77E7" w:rsidP="0062072C">
            <w:pPr>
              <w:rPr>
                <w:rFonts w:cstheme="minorHAnsi"/>
                <w:color w:val="000000" w:themeColor="text1"/>
                <w:sz w:val="20"/>
                <w:szCs w:val="20"/>
              </w:rPr>
            </w:pPr>
          </w:p>
        </w:tc>
        <w:tc>
          <w:tcPr>
            <w:tcW w:w="2657" w:type="dxa"/>
            <w:vMerge/>
            <w:shd w:val="clear" w:color="auto" w:fill="FFC000"/>
          </w:tcPr>
          <w:p w14:paraId="4F6FFEEE" w14:textId="77777777" w:rsidR="009E77E7" w:rsidRPr="00CA4ABC" w:rsidRDefault="009E77E7" w:rsidP="0062072C">
            <w:pPr>
              <w:rPr>
                <w:rFonts w:cstheme="minorHAnsi"/>
                <w:color w:val="000000" w:themeColor="text1"/>
                <w:sz w:val="20"/>
                <w:szCs w:val="20"/>
              </w:rPr>
            </w:pPr>
          </w:p>
        </w:tc>
        <w:tc>
          <w:tcPr>
            <w:tcW w:w="1138" w:type="dxa"/>
            <w:vMerge/>
          </w:tcPr>
          <w:p w14:paraId="1693D0BF" w14:textId="77777777" w:rsidR="009E77E7" w:rsidRPr="00CA4ABC" w:rsidRDefault="009E77E7" w:rsidP="0062072C">
            <w:pPr>
              <w:rPr>
                <w:rFonts w:cstheme="minorHAnsi"/>
                <w:color w:val="000000" w:themeColor="text1"/>
                <w:sz w:val="20"/>
                <w:szCs w:val="20"/>
              </w:rPr>
            </w:pPr>
          </w:p>
        </w:tc>
      </w:tr>
      <w:tr w:rsidR="004053D7" w:rsidRPr="00CA4ABC" w14:paraId="5B48EF85" w14:textId="77777777" w:rsidTr="00422AA2">
        <w:trPr>
          <w:trHeight w:val="99"/>
        </w:trPr>
        <w:tc>
          <w:tcPr>
            <w:tcW w:w="2917" w:type="dxa"/>
            <w:gridSpan w:val="2"/>
            <w:vMerge w:val="restart"/>
          </w:tcPr>
          <w:p w14:paraId="1D66E1BA"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Zinc (mg/d)</w:t>
            </w:r>
          </w:p>
        </w:tc>
        <w:tc>
          <w:tcPr>
            <w:tcW w:w="1053" w:type="dxa"/>
          </w:tcPr>
          <w:p w14:paraId="0EEE5FB6"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Males</w:t>
            </w:r>
          </w:p>
        </w:tc>
        <w:tc>
          <w:tcPr>
            <w:tcW w:w="1004" w:type="dxa"/>
          </w:tcPr>
          <w:p w14:paraId="69DA7300"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7.3</w:t>
            </w:r>
          </w:p>
        </w:tc>
        <w:tc>
          <w:tcPr>
            <w:tcW w:w="1951" w:type="dxa"/>
          </w:tcPr>
          <w:p w14:paraId="7C7AB571"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9.5</w:t>
            </w:r>
          </w:p>
        </w:tc>
        <w:tc>
          <w:tcPr>
            <w:tcW w:w="2351" w:type="dxa"/>
            <w:vMerge w:val="restart"/>
          </w:tcPr>
          <w:p w14:paraId="0A8FA637"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10.3 (6.4)</w:t>
            </w:r>
          </w:p>
        </w:tc>
        <w:tc>
          <w:tcPr>
            <w:tcW w:w="2526" w:type="dxa"/>
            <w:vMerge w:val="restart"/>
            <w:shd w:val="clear" w:color="auto" w:fill="92D050"/>
          </w:tcPr>
          <w:p w14:paraId="43E850B1"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8.06 (5.09)</w:t>
            </w:r>
          </w:p>
        </w:tc>
        <w:tc>
          <w:tcPr>
            <w:tcW w:w="2657" w:type="dxa"/>
            <w:vMerge w:val="restart"/>
            <w:shd w:val="clear" w:color="auto" w:fill="92D050"/>
          </w:tcPr>
          <w:p w14:paraId="426C5F6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12.51 (6.71)</w:t>
            </w:r>
          </w:p>
        </w:tc>
        <w:tc>
          <w:tcPr>
            <w:tcW w:w="1138" w:type="dxa"/>
            <w:vMerge w:val="restart"/>
          </w:tcPr>
          <w:p w14:paraId="5295E397" w14:textId="4BBD4D34"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&lt;0.05</w:t>
            </w:r>
            <w:r w:rsidR="00811146" w:rsidRPr="00CA4ABC">
              <w:rPr>
                <w:rFonts w:cstheme="minorHAnsi"/>
                <w:color w:val="000000" w:themeColor="text1"/>
                <w:sz w:val="20"/>
                <w:szCs w:val="20"/>
              </w:rPr>
              <w:t>*</w:t>
            </w:r>
          </w:p>
        </w:tc>
      </w:tr>
      <w:tr w:rsidR="004053D7" w:rsidRPr="00CA4ABC" w14:paraId="4DCA2F01" w14:textId="77777777" w:rsidTr="00422AA2">
        <w:trPr>
          <w:trHeight w:val="99"/>
        </w:trPr>
        <w:tc>
          <w:tcPr>
            <w:tcW w:w="2917" w:type="dxa"/>
            <w:gridSpan w:val="2"/>
            <w:vMerge/>
          </w:tcPr>
          <w:p w14:paraId="1819AF17" w14:textId="77777777" w:rsidR="00507FC8" w:rsidRPr="00CA4ABC" w:rsidRDefault="00507FC8" w:rsidP="0062072C">
            <w:pPr>
              <w:rPr>
                <w:rFonts w:cstheme="minorHAnsi"/>
                <w:color w:val="000000" w:themeColor="text1"/>
                <w:sz w:val="20"/>
                <w:szCs w:val="20"/>
              </w:rPr>
            </w:pPr>
          </w:p>
        </w:tc>
        <w:tc>
          <w:tcPr>
            <w:tcW w:w="1053" w:type="dxa"/>
          </w:tcPr>
          <w:p w14:paraId="2C5EBCCE"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Females</w:t>
            </w:r>
          </w:p>
        </w:tc>
        <w:tc>
          <w:tcPr>
            <w:tcW w:w="1004" w:type="dxa"/>
          </w:tcPr>
          <w:p w14:paraId="497DEE32"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5.5</w:t>
            </w:r>
          </w:p>
        </w:tc>
        <w:tc>
          <w:tcPr>
            <w:tcW w:w="1951" w:type="dxa"/>
          </w:tcPr>
          <w:p w14:paraId="7F27D950" w14:textId="77777777" w:rsidR="00507FC8" w:rsidRPr="00CA4ABC" w:rsidRDefault="00507FC8" w:rsidP="0062072C">
            <w:pPr>
              <w:rPr>
                <w:rFonts w:cstheme="minorHAnsi"/>
                <w:color w:val="000000" w:themeColor="text1"/>
                <w:sz w:val="20"/>
                <w:szCs w:val="20"/>
              </w:rPr>
            </w:pPr>
            <w:r w:rsidRPr="00CA4ABC">
              <w:rPr>
                <w:rFonts w:cstheme="minorHAnsi"/>
                <w:color w:val="000000" w:themeColor="text1"/>
                <w:sz w:val="20"/>
                <w:szCs w:val="20"/>
              </w:rPr>
              <w:t>7</w:t>
            </w:r>
          </w:p>
        </w:tc>
        <w:tc>
          <w:tcPr>
            <w:tcW w:w="2351" w:type="dxa"/>
            <w:vMerge/>
          </w:tcPr>
          <w:p w14:paraId="36C8DA82" w14:textId="77777777" w:rsidR="00507FC8" w:rsidRPr="00CA4ABC" w:rsidRDefault="00507FC8" w:rsidP="0062072C">
            <w:pPr>
              <w:rPr>
                <w:rFonts w:cstheme="minorHAnsi"/>
                <w:color w:val="000000" w:themeColor="text1"/>
                <w:sz w:val="20"/>
                <w:szCs w:val="20"/>
              </w:rPr>
            </w:pPr>
          </w:p>
        </w:tc>
        <w:tc>
          <w:tcPr>
            <w:tcW w:w="2526" w:type="dxa"/>
            <w:vMerge/>
            <w:shd w:val="clear" w:color="auto" w:fill="92D050"/>
          </w:tcPr>
          <w:p w14:paraId="52737E39" w14:textId="77777777" w:rsidR="00507FC8" w:rsidRPr="00CA4ABC" w:rsidRDefault="00507FC8" w:rsidP="0062072C">
            <w:pPr>
              <w:rPr>
                <w:rFonts w:cstheme="minorHAnsi"/>
                <w:color w:val="000000" w:themeColor="text1"/>
                <w:sz w:val="20"/>
                <w:szCs w:val="20"/>
              </w:rPr>
            </w:pPr>
          </w:p>
        </w:tc>
        <w:tc>
          <w:tcPr>
            <w:tcW w:w="2657" w:type="dxa"/>
            <w:vMerge/>
            <w:shd w:val="clear" w:color="auto" w:fill="92D050"/>
          </w:tcPr>
          <w:p w14:paraId="33BE381C" w14:textId="77777777" w:rsidR="00507FC8" w:rsidRPr="00CA4ABC" w:rsidRDefault="00507FC8" w:rsidP="0062072C">
            <w:pPr>
              <w:rPr>
                <w:rFonts w:cstheme="minorHAnsi"/>
                <w:color w:val="000000" w:themeColor="text1"/>
                <w:sz w:val="20"/>
                <w:szCs w:val="20"/>
              </w:rPr>
            </w:pPr>
          </w:p>
        </w:tc>
        <w:tc>
          <w:tcPr>
            <w:tcW w:w="1138" w:type="dxa"/>
            <w:vMerge/>
          </w:tcPr>
          <w:p w14:paraId="237B5720" w14:textId="77777777" w:rsidR="00507FC8" w:rsidRPr="00CA4ABC" w:rsidRDefault="00507FC8" w:rsidP="0062072C">
            <w:pPr>
              <w:rPr>
                <w:rFonts w:cstheme="minorHAnsi"/>
                <w:color w:val="000000" w:themeColor="text1"/>
                <w:sz w:val="20"/>
                <w:szCs w:val="20"/>
              </w:rPr>
            </w:pPr>
          </w:p>
        </w:tc>
      </w:tr>
    </w:tbl>
    <w:p w14:paraId="0C057779" w14:textId="2689A348" w:rsidR="006E7A2F" w:rsidRPr="0084010A" w:rsidRDefault="00C43AEF" w:rsidP="0062072C">
      <w:pPr>
        <w:pStyle w:val="Caption"/>
        <w:rPr>
          <w:rFonts w:cstheme="minorHAnsi"/>
          <w:i w:val="0"/>
          <w:iCs w:val="0"/>
          <w:color w:val="000000" w:themeColor="text1"/>
          <w:sz w:val="24"/>
          <w:szCs w:val="24"/>
        </w:rPr>
      </w:pPr>
      <w:bookmarkStart w:id="148" w:name="_Ref122443227"/>
      <w:bookmarkStart w:id="149" w:name="_Toc122956576"/>
      <w:r w:rsidRPr="0084010A">
        <w:rPr>
          <w:rFonts w:cstheme="minorHAnsi"/>
          <w:i w:val="0"/>
          <w:iCs w:val="0"/>
          <w:color w:val="000000" w:themeColor="text1"/>
          <w:sz w:val="24"/>
          <w:szCs w:val="24"/>
        </w:rPr>
        <w:t xml:space="preserve">Table </w:t>
      </w:r>
      <w:r w:rsidRPr="0084010A">
        <w:rPr>
          <w:rFonts w:cstheme="minorHAnsi"/>
          <w:i w:val="0"/>
          <w:iCs w:val="0"/>
          <w:color w:val="000000" w:themeColor="text1"/>
          <w:sz w:val="24"/>
          <w:szCs w:val="24"/>
        </w:rPr>
        <w:fldChar w:fldCharType="begin"/>
      </w:r>
      <w:r w:rsidRPr="0084010A">
        <w:rPr>
          <w:rFonts w:cstheme="minorHAnsi"/>
          <w:i w:val="0"/>
          <w:iCs w:val="0"/>
          <w:color w:val="000000" w:themeColor="text1"/>
          <w:sz w:val="24"/>
          <w:szCs w:val="24"/>
        </w:rPr>
        <w:instrText xml:space="preserve"> SEQ Table \* ARABIC </w:instrText>
      </w:r>
      <w:r w:rsidRPr="0084010A">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11</w:t>
      </w:r>
      <w:r w:rsidRPr="0084010A">
        <w:rPr>
          <w:rFonts w:cstheme="minorHAnsi"/>
          <w:i w:val="0"/>
          <w:iCs w:val="0"/>
          <w:color w:val="000000" w:themeColor="text1"/>
          <w:sz w:val="24"/>
          <w:szCs w:val="24"/>
        </w:rPr>
        <w:fldChar w:fldCharType="end"/>
      </w:r>
      <w:bookmarkEnd w:id="148"/>
      <w:r w:rsidR="0084010A" w:rsidRPr="0084010A">
        <w:rPr>
          <w:rFonts w:cstheme="minorHAnsi"/>
          <w:i w:val="0"/>
          <w:iCs w:val="0"/>
          <w:color w:val="000000" w:themeColor="text1"/>
          <w:sz w:val="24"/>
          <w:szCs w:val="24"/>
        </w:rPr>
        <w:t xml:space="preserve">. </w:t>
      </w:r>
      <w:r w:rsidRPr="0084010A">
        <w:rPr>
          <w:rFonts w:cstheme="minorHAnsi"/>
          <w:i w:val="0"/>
          <w:iCs w:val="0"/>
          <w:color w:val="000000" w:themeColor="text1"/>
          <w:sz w:val="24"/>
          <w:szCs w:val="24"/>
        </w:rPr>
        <w:t>Micronutrient intakes for all participants (n=306) who completed their 24-hour recalls in the SheffProUK study.</w:t>
      </w:r>
      <w:bookmarkEnd w:id="149"/>
      <w:r w:rsidRPr="0084010A">
        <w:rPr>
          <w:rFonts w:cstheme="minorHAnsi"/>
          <w:i w:val="0"/>
          <w:iCs w:val="0"/>
          <w:color w:val="000000" w:themeColor="text1"/>
          <w:sz w:val="24"/>
          <w:szCs w:val="24"/>
        </w:rPr>
        <w:t xml:space="preserve"> </w:t>
      </w:r>
    </w:p>
    <w:p w14:paraId="67E0C538" w14:textId="6E7EA825" w:rsidR="00755CCD" w:rsidRPr="00CA4ABC" w:rsidRDefault="00507FC8" w:rsidP="004053D7">
      <w:pPr>
        <w:spacing w:line="360" w:lineRule="auto"/>
        <w:rPr>
          <w:rFonts w:cstheme="minorHAnsi"/>
          <w:color w:val="000000" w:themeColor="text1"/>
        </w:rPr>
      </w:pPr>
      <w:r w:rsidRPr="00CA4ABC">
        <w:rPr>
          <w:rFonts w:cstheme="minorHAnsi"/>
          <w:color w:val="000000" w:themeColor="text1"/>
        </w:rPr>
        <w:t>Green</w:t>
      </w:r>
      <w:r w:rsidR="00A75D04" w:rsidRPr="00CA4ABC">
        <w:rPr>
          <w:rFonts w:cstheme="minorHAnsi"/>
          <w:color w:val="000000" w:themeColor="text1"/>
        </w:rPr>
        <w:t xml:space="preserve"> shading</w:t>
      </w:r>
      <w:r w:rsidRPr="00CA4ABC">
        <w:rPr>
          <w:rFonts w:cstheme="minorHAnsi"/>
          <w:color w:val="000000" w:themeColor="text1"/>
        </w:rPr>
        <w:t xml:space="preserve"> represents achieving RNI recommendations</w:t>
      </w:r>
      <w:r w:rsidR="00A75D04" w:rsidRPr="00CA4ABC">
        <w:rPr>
          <w:rFonts w:cstheme="minorHAnsi"/>
          <w:color w:val="000000" w:themeColor="text1"/>
        </w:rPr>
        <w:t>, a</w:t>
      </w:r>
      <w:r w:rsidRPr="00CA4ABC">
        <w:rPr>
          <w:rFonts w:cstheme="minorHAnsi"/>
          <w:color w:val="000000" w:themeColor="text1"/>
        </w:rPr>
        <w:t xml:space="preserve">mber </w:t>
      </w:r>
      <w:r w:rsidR="00A75D04" w:rsidRPr="00CA4ABC">
        <w:rPr>
          <w:rFonts w:cstheme="minorHAnsi"/>
          <w:color w:val="000000" w:themeColor="text1"/>
        </w:rPr>
        <w:t xml:space="preserve">shading </w:t>
      </w:r>
      <w:r w:rsidRPr="00CA4ABC">
        <w:rPr>
          <w:rFonts w:cstheme="minorHAnsi"/>
          <w:color w:val="000000" w:themeColor="text1"/>
        </w:rPr>
        <w:t>is below recommendations.</w:t>
      </w:r>
    </w:p>
    <w:p w14:paraId="34FAF5D9" w14:textId="77777777" w:rsidR="006E7A2F" w:rsidRPr="00CA4ABC" w:rsidRDefault="006E7A2F" w:rsidP="004053D7">
      <w:pPr>
        <w:spacing w:line="360" w:lineRule="auto"/>
        <w:rPr>
          <w:rFonts w:cstheme="minorHAnsi"/>
          <w:color w:val="000000" w:themeColor="text1"/>
        </w:rPr>
      </w:pPr>
      <w:r w:rsidRPr="00CA4ABC">
        <w:rPr>
          <w:rFonts w:cstheme="minorHAnsi"/>
          <w:color w:val="000000" w:themeColor="text1"/>
        </w:rPr>
        <w:t>*Department of Health</w:t>
      </w:r>
    </w:p>
    <w:p w14:paraId="150054DC" w14:textId="65013AFF" w:rsidR="00E17E28" w:rsidRPr="00CA4ABC" w:rsidRDefault="006E7A2F" w:rsidP="004053D7">
      <w:pPr>
        <w:spacing w:line="360" w:lineRule="auto"/>
        <w:rPr>
          <w:rFonts w:cstheme="minorHAnsi"/>
          <w:color w:val="000000" w:themeColor="text1"/>
        </w:rPr>
      </w:pPr>
      <w:r w:rsidRPr="00CA4ABC">
        <w:rPr>
          <w:rFonts w:cstheme="minorHAnsi"/>
          <w:color w:val="000000" w:themeColor="text1"/>
        </w:rPr>
        <w:t xml:space="preserve">*Updated recommendations </w:t>
      </w:r>
    </w:p>
    <w:p w14:paraId="1BBF68B3" w14:textId="49E4157A" w:rsidR="00E17E28" w:rsidRPr="00CA4ABC" w:rsidRDefault="00E17E28" w:rsidP="004053D7">
      <w:pPr>
        <w:spacing w:line="360" w:lineRule="auto"/>
        <w:rPr>
          <w:rFonts w:cstheme="minorHAnsi"/>
          <w:color w:val="000000" w:themeColor="text1"/>
        </w:rPr>
        <w:sectPr w:rsidR="00E17E28" w:rsidRPr="00CA4ABC" w:rsidSect="00755CCD">
          <w:pgSz w:w="16840" w:h="11900" w:orient="landscape"/>
          <w:pgMar w:top="1440" w:right="1440" w:bottom="1440" w:left="1440" w:header="708" w:footer="708" w:gutter="0"/>
          <w:cols w:space="708"/>
          <w:docGrid w:linePitch="360"/>
        </w:sectPr>
      </w:pPr>
      <w:r w:rsidRPr="00CA4ABC">
        <w:rPr>
          <w:rFonts w:cstheme="minorHAnsi"/>
          <w:color w:val="000000" w:themeColor="text1"/>
        </w:rPr>
        <w:t>Micronutrient data do</w:t>
      </w:r>
      <w:r w:rsidR="00422AA2" w:rsidRPr="00CA4ABC">
        <w:rPr>
          <w:rFonts w:cstheme="minorHAnsi"/>
          <w:color w:val="000000" w:themeColor="text1"/>
        </w:rPr>
        <w:t>es</w:t>
      </w:r>
      <w:r w:rsidRPr="00CA4ABC">
        <w:rPr>
          <w:rFonts w:cstheme="minorHAnsi"/>
          <w:color w:val="000000" w:themeColor="text1"/>
        </w:rPr>
        <w:t xml:space="preserve"> not include the removal of supplements</w:t>
      </w:r>
    </w:p>
    <w:p w14:paraId="64E41FF3" w14:textId="305EEE08" w:rsidR="00507FC8" w:rsidRPr="00CA4ABC" w:rsidRDefault="00507FC8" w:rsidP="00BB5BB9">
      <w:pPr>
        <w:pStyle w:val="Heading2"/>
        <w:spacing w:line="360" w:lineRule="auto"/>
        <w:rPr>
          <w:rFonts w:asciiTheme="minorHAnsi" w:hAnsiTheme="minorHAnsi" w:cstheme="minorHAnsi"/>
          <w:b/>
          <w:bCs/>
          <w:color w:val="000000" w:themeColor="text1"/>
        </w:rPr>
      </w:pPr>
      <w:bookmarkStart w:id="150" w:name="_Toc135384304"/>
      <w:r w:rsidRPr="00CA4ABC">
        <w:rPr>
          <w:rFonts w:asciiTheme="minorHAnsi" w:hAnsiTheme="minorHAnsi" w:cstheme="minorHAnsi"/>
          <w:b/>
          <w:bCs/>
          <w:color w:val="000000" w:themeColor="text1"/>
        </w:rPr>
        <w:lastRenderedPageBreak/>
        <w:t>3.6 Discussion</w:t>
      </w:r>
      <w:bookmarkEnd w:id="150"/>
    </w:p>
    <w:p w14:paraId="1EAAACF5" w14:textId="3614AE5C" w:rsidR="00507FC8" w:rsidRPr="00CA4ABC" w:rsidRDefault="00507FC8" w:rsidP="00BB5BB9">
      <w:pPr>
        <w:spacing w:line="360" w:lineRule="auto"/>
        <w:ind w:firstLine="720"/>
        <w:rPr>
          <w:rFonts w:cstheme="minorHAnsi"/>
          <w:color w:val="000000" w:themeColor="text1"/>
        </w:rPr>
      </w:pPr>
      <w:r w:rsidRPr="00CA4ABC">
        <w:rPr>
          <w:rFonts w:cstheme="minorHAnsi"/>
          <w:color w:val="000000" w:themeColor="text1"/>
        </w:rPr>
        <w:t xml:space="preserve">This </w:t>
      </w:r>
      <w:r w:rsidR="001920B8" w:rsidRPr="00CA4ABC">
        <w:rPr>
          <w:rFonts w:cstheme="minorHAnsi"/>
          <w:color w:val="000000" w:themeColor="text1"/>
        </w:rPr>
        <w:t>work</w:t>
      </w:r>
      <w:r w:rsidRPr="00CA4ABC">
        <w:rPr>
          <w:rFonts w:cstheme="minorHAnsi"/>
          <w:color w:val="000000" w:themeColor="text1"/>
        </w:rPr>
        <w:t xml:space="preserve"> was designed to validate </w:t>
      </w:r>
      <w:r w:rsidR="0020011F" w:rsidRPr="00CA4ABC">
        <w:rPr>
          <w:rFonts w:cstheme="minorHAnsi"/>
          <w:color w:val="000000" w:themeColor="text1"/>
        </w:rPr>
        <w:t>a</w:t>
      </w:r>
      <w:r w:rsidRPr="00CA4ABC">
        <w:rPr>
          <w:rFonts w:cstheme="minorHAnsi"/>
          <w:color w:val="000000" w:themeColor="text1"/>
        </w:rPr>
        <w:t xml:space="preserve"> protein screener tool</w:t>
      </w:r>
      <w:r w:rsidR="0020011F" w:rsidRPr="00CA4ABC">
        <w:rPr>
          <w:rFonts w:cstheme="minorHAnsi"/>
          <w:color w:val="000000" w:themeColor="text1"/>
        </w:rPr>
        <w:t xml:space="preserve"> (ProScreenerUK)</w:t>
      </w:r>
      <w:r w:rsidRPr="00CA4ABC">
        <w:rPr>
          <w:rFonts w:cstheme="minorHAnsi"/>
          <w:color w:val="000000" w:themeColor="text1"/>
        </w:rPr>
        <w:t>,</w:t>
      </w:r>
      <w:r w:rsidR="00AC128E" w:rsidRPr="00CA4ABC">
        <w:rPr>
          <w:rFonts w:cstheme="minorHAnsi"/>
          <w:color w:val="000000" w:themeColor="text1"/>
        </w:rPr>
        <w:t xml:space="preserve"> firstly</w:t>
      </w:r>
      <w:r w:rsidRPr="00CA4ABC">
        <w:rPr>
          <w:rFonts w:cstheme="minorHAnsi"/>
          <w:color w:val="000000" w:themeColor="text1"/>
        </w:rPr>
        <w:t xml:space="preserve"> using an FFQ and then</w:t>
      </w:r>
      <w:r w:rsidR="00694143" w:rsidRPr="00CA4ABC">
        <w:rPr>
          <w:rFonts w:cstheme="minorHAnsi"/>
          <w:color w:val="000000" w:themeColor="text1"/>
        </w:rPr>
        <w:t xml:space="preserve"> a</w:t>
      </w:r>
      <w:r w:rsidRPr="00CA4ABC">
        <w:rPr>
          <w:rFonts w:cstheme="minorHAnsi"/>
          <w:color w:val="000000" w:themeColor="text1"/>
        </w:rPr>
        <w:t xml:space="preserve"> 24-hour recall assessment</w:t>
      </w:r>
      <w:r w:rsidR="004D6C85" w:rsidRPr="00CA4ABC">
        <w:rPr>
          <w:rFonts w:cstheme="minorHAnsi"/>
          <w:color w:val="000000" w:themeColor="text1"/>
        </w:rPr>
        <w:t xml:space="preserve"> as a reference method</w:t>
      </w:r>
      <w:r w:rsidRPr="00CA4ABC">
        <w:rPr>
          <w:rFonts w:cstheme="minorHAnsi"/>
          <w:color w:val="000000" w:themeColor="text1"/>
        </w:rPr>
        <w:t>.  The protein screener was</w:t>
      </w:r>
      <w:r w:rsidR="001920B8" w:rsidRPr="00CA4ABC">
        <w:rPr>
          <w:rFonts w:cstheme="minorHAnsi"/>
          <w:color w:val="000000" w:themeColor="text1"/>
        </w:rPr>
        <w:t xml:space="preserve"> </w:t>
      </w:r>
      <w:r w:rsidRPr="00CA4ABC">
        <w:rPr>
          <w:rFonts w:cstheme="minorHAnsi"/>
          <w:color w:val="000000" w:themeColor="text1"/>
        </w:rPr>
        <w:t>a suitable instrument for identifying people with low protein intakes</w:t>
      </w:r>
      <w:r w:rsidR="0020011F" w:rsidRPr="00CA4ABC">
        <w:rPr>
          <w:rFonts w:cstheme="minorHAnsi"/>
          <w:color w:val="000000" w:themeColor="text1"/>
        </w:rPr>
        <w:t xml:space="preserve"> when an FFQ acted as the comparison dietary assessment tool, with an AUC of 0.731. </w:t>
      </w:r>
      <w:r w:rsidRPr="00CA4ABC">
        <w:rPr>
          <w:rFonts w:cstheme="minorHAnsi"/>
          <w:color w:val="000000" w:themeColor="text1"/>
        </w:rPr>
        <w:t>This is in contrast to when a</w:t>
      </w:r>
      <w:r w:rsidR="0020011F" w:rsidRPr="00CA4ABC">
        <w:rPr>
          <w:rFonts w:cstheme="minorHAnsi"/>
          <w:color w:val="000000" w:themeColor="text1"/>
        </w:rPr>
        <w:t xml:space="preserve"> 24-hour recall methodology was used. </w:t>
      </w:r>
      <w:r w:rsidR="00694143" w:rsidRPr="00CA4ABC">
        <w:rPr>
          <w:rFonts w:cstheme="minorHAnsi"/>
          <w:color w:val="000000" w:themeColor="text1"/>
        </w:rPr>
        <w:t>Sensitivity</w:t>
      </w:r>
      <w:r w:rsidR="0020011F" w:rsidRPr="00CA4ABC">
        <w:rPr>
          <w:rFonts w:cstheme="minorHAnsi"/>
          <w:color w:val="000000" w:themeColor="text1"/>
        </w:rPr>
        <w:t xml:space="preserve"> </w:t>
      </w:r>
      <w:r w:rsidR="00694143" w:rsidRPr="00CA4ABC">
        <w:rPr>
          <w:rFonts w:cstheme="minorHAnsi"/>
          <w:color w:val="000000" w:themeColor="text1"/>
        </w:rPr>
        <w:t xml:space="preserve">scores </w:t>
      </w:r>
      <w:r w:rsidR="0020011F" w:rsidRPr="00CA4ABC">
        <w:rPr>
          <w:rFonts w:cstheme="minorHAnsi"/>
          <w:color w:val="000000" w:themeColor="text1"/>
        </w:rPr>
        <w:t xml:space="preserve">of </w:t>
      </w:r>
      <w:r w:rsidR="0020011F" w:rsidRPr="00CA4ABC">
        <w:rPr>
          <w:rFonts w:cstheme="minorHAnsi"/>
          <w:color w:val="000000" w:themeColor="text1"/>
          <w:shd w:val="clear" w:color="auto" w:fill="FFFFFF"/>
        </w:rPr>
        <w:t xml:space="preserve">73.61% (65.62% to 80.60%), 63.19% (54.76% to 71.07%) and 55.56% (47.05% to 63.83%) </w:t>
      </w:r>
      <w:r w:rsidR="00694143" w:rsidRPr="00CA4ABC">
        <w:rPr>
          <w:rFonts w:cstheme="minorHAnsi"/>
          <w:color w:val="000000" w:themeColor="text1"/>
          <w:shd w:val="clear" w:color="auto" w:fill="FFFFFF"/>
        </w:rPr>
        <w:t xml:space="preserve">were obtained at </w:t>
      </w:r>
      <w:r w:rsidR="00694143" w:rsidRPr="00CA4ABC">
        <w:rPr>
          <w:rFonts w:cstheme="minorHAnsi"/>
          <w:color w:val="000000" w:themeColor="text1"/>
        </w:rPr>
        <w:t xml:space="preserve">probability cut-offs of 0.1, 0.2 and 0.3, </w:t>
      </w:r>
      <w:r w:rsidR="0020011F" w:rsidRPr="00CA4ABC">
        <w:rPr>
          <w:rFonts w:cstheme="minorHAnsi"/>
          <w:color w:val="000000" w:themeColor="text1"/>
          <w:shd w:val="clear" w:color="auto" w:fill="FFFFFF"/>
        </w:rPr>
        <w:t>respectively,</w:t>
      </w:r>
      <w:r w:rsidR="00694143" w:rsidRPr="00CA4ABC">
        <w:rPr>
          <w:rFonts w:cstheme="minorHAnsi"/>
          <w:color w:val="000000" w:themeColor="text1"/>
          <w:shd w:val="clear" w:color="auto" w:fill="FFFFFF"/>
        </w:rPr>
        <w:t xml:space="preserve"> and</w:t>
      </w:r>
      <w:r w:rsidR="0020011F" w:rsidRPr="00CA4ABC">
        <w:rPr>
          <w:rFonts w:cstheme="minorHAnsi"/>
          <w:color w:val="000000" w:themeColor="text1"/>
          <w:shd w:val="clear" w:color="auto" w:fill="FFFFFF"/>
        </w:rPr>
        <w:t xml:space="preserve"> an AUC of </w:t>
      </w:r>
      <w:r w:rsidR="0020011F" w:rsidRPr="00CA4ABC">
        <w:rPr>
          <w:rFonts w:cstheme="minorHAnsi"/>
          <w:color w:val="000000" w:themeColor="text1"/>
        </w:rPr>
        <w:t>0.658</w:t>
      </w:r>
      <w:r w:rsidR="0020011F" w:rsidRPr="00CA4ABC">
        <w:rPr>
          <w:rFonts w:cstheme="minorHAnsi"/>
          <w:color w:val="000000" w:themeColor="text1"/>
          <w:shd w:val="clear" w:color="auto" w:fill="FFFFFF"/>
        </w:rPr>
        <w:t xml:space="preserve"> at 1g/kg Bm/d</w:t>
      </w:r>
      <w:r w:rsidR="00694143" w:rsidRPr="00CA4ABC">
        <w:rPr>
          <w:rFonts w:cstheme="minorHAnsi"/>
          <w:color w:val="000000" w:themeColor="text1"/>
          <w:shd w:val="clear" w:color="auto" w:fill="FFFFFF"/>
        </w:rPr>
        <w:t xml:space="preserve"> was reached</w:t>
      </w:r>
      <w:r w:rsidR="007E288E" w:rsidRPr="00CA4ABC">
        <w:rPr>
          <w:rFonts w:cstheme="minorHAnsi"/>
          <w:color w:val="000000" w:themeColor="text1"/>
          <w:shd w:val="clear" w:color="auto" w:fill="FFFFFF"/>
        </w:rPr>
        <w:t>.</w:t>
      </w:r>
      <w:r w:rsidRPr="00CA4ABC">
        <w:rPr>
          <w:rFonts w:cstheme="minorHAnsi"/>
          <w:color w:val="000000" w:themeColor="text1"/>
        </w:rPr>
        <w:t xml:space="preserve"> </w:t>
      </w:r>
    </w:p>
    <w:p w14:paraId="14B9FA44" w14:textId="77777777" w:rsidR="00507FC8" w:rsidRPr="00CA4ABC" w:rsidRDefault="00507FC8" w:rsidP="004053D7">
      <w:pPr>
        <w:spacing w:line="360" w:lineRule="auto"/>
        <w:rPr>
          <w:rFonts w:cstheme="minorHAnsi"/>
          <w:color w:val="000000" w:themeColor="text1"/>
        </w:rPr>
      </w:pPr>
    </w:p>
    <w:p w14:paraId="3DC2AC37" w14:textId="6DAF005B" w:rsidR="00507FC8" w:rsidRPr="00CA4ABC" w:rsidRDefault="00507FC8" w:rsidP="004053D7">
      <w:pPr>
        <w:spacing w:line="360" w:lineRule="auto"/>
        <w:rPr>
          <w:rFonts w:cstheme="minorHAnsi"/>
          <w:color w:val="000000" w:themeColor="text1"/>
        </w:rPr>
      </w:pPr>
      <w:r w:rsidRPr="00CA4ABC">
        <w:rPr>
          <w:rFonts w:cstheme="minorHAnsi"/>
          <w:color w:val="000000" w:themeColor="text1"/>
        </w:rPr>
        <w:t xml:space="preserve">These results contrast </w:t>
      </w:r>
      <w:r w:rsidR="0026358E" w:rsidRPr="00CA4ABC">
        <w:rPr>
          <w:rFonts w:cstheme="minorHAnsi"/>
          <w:color w:val="000000" w:themeColor="text1"/>
        </w:rPr>
        <w:t>the</w:t>
      </w:r>
      <w:r w:rsidRPr="00CA4ABC">
        <w:rPr>
          <w:rFonts w:cstheme="minorHAnsi"/>
          <w:color w:val="000000" w:themeColor="text1"/>
        </w:rPr>
        <w:t xml:space="preserve"> </w:t>
      </w:r>
      <w:r w:rsidR="00E22A0C">
        <w:rPr>
          <w:rFonts w:cstheme="minorHAnsi"/>
          <w:color w:val="000000" w:themeColor="text1"/>
        </w:rPr>
        <w:t>original research findings</w:t>
      </w:r>
      <w:r w:rsidRPr="00CA4ABC">
        <w:rPr>
          <w:rFonts w:cstheme="minorHAnsi"/>
          <w:color w:val="000000" w:themeColor="text1"/>
        </w:rPr>
        <w:t xml:space="preserve"> by </w:t>
      </w:r>
      <w:r w:rsidR="00A75D04" w:rsidRPr="00CA4ABC">
        <w:rPr>
          <w:rFonts w:cstheme="minorHAnsi"/>
          <w:color w:val="000000" w:themeColor="text1"/>
        </w:rPr>
        <w:t>Wijnhoven et al</w:t>
      </w:r>
      <w:r w:rsidR="0043053F" w:rsidRPr="00CA4ABC">
        <w:rPr>
          <w:rFonts w:cstheme="minorHAnsi"/>
          <w:color w:val="000000" w:themeColor="text1"/>
        </w:rPr>
        <w:t>.</w:t>
      </w:r>
      <w:r w:rsidR="0026358E" w:rsidRPr="00CA4ABC">
        <w:rPr>
          <w:rFonts w:cstheme="minorHAnsi"/>
          <w:color w:val="000000" w:themeColor="text1"/>
        </w:rPr>
        <w:t xml:space="preserve"> </w:t>
      </w:r>
      <w:r w:rsidR="0026358E"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{"citationItems":[{"id":"ITEM-1","itemData":{"DOI":"10.1371/journal.pone.0196406","ISSN":"19326203","abstract":"In old age, sufficient protein intake is important to preserve muscle mass and function. Around 50% of older adults (65+ y) consumes 1.0 g/kg adjusted body weight (BW)/day (d). There is no rapid method available to screen for low protein intake in old age. Therefore, we aimed to develop and validate a short food questionnaire to screen for low protein intake in community-dwelling older adults. We used data of 1348 older men and women (56–101 y) of the LASA study (the Netherlands) to develop the questionnaire and data of 563 older men and women (55–71 y) of the HELIUS study (the Netherlands) for external validation. In both samples, protein intake was measured by the 238-item semi-quantitative HELIUS food frequency questionnaire (FFQ). Multivariable logistic regression analysis was used to predict protein intake 1.0 g/kg adjusted BW/d (based on the HELIUS FFQ). Candidate predictor variables were FFQ questions on frequency and amount of intake of specific foods. In both samples, 30% had a protein intake 1.0 g/kg adjusted BW/d. Our final model included adjusted body weight and 10 questions on the consumption (amount on average day or frequency in 4 weeks) of: slices of bread (number); glasses of milk (number); meat with warm meal (portion size); cheese (amount and frequency); dairy products (like yoghurt) (frequency); egg(s) (frequency); pasta/noodles (frequency); fish (frequency); and nuts/peanuts (frequency). The area under the receiver operating characteristic curve (AUC) was 0.889 (95% CI 0.870–0.907). The calibration slope was 1.03 (optimal slope 1.00). At a cut-off of 0.8 g/kg adjusted BW/d, the AUC was 0.916 (96% CI 0.897–0.936). Applying the regression equation to the HELIUS sample, the AUC was 0.856 (95% CI 0.824–0.888) and the calibration slope 0.92. Regression coefficients were therefore subsequently shrunken by a linear factor 0.92. To conclude, the short food questionnaire (Pro55+) can be used to validly screen for protein intake 1.0 g/kg adjusted BW/d in community-dwelling older adults. An online version can be found at www.proteinscreener.nl. External validation in other countries is recommended.","author":[{"dropping-particle":"","family":"Wijnhoven","given":"Hanneke A.H.","non-dropping-particle":"","parse-names":false,"suffix":""},{"dropping-particle":"","family":"Elstgeest","given":"Liset E.M.","non-dropping-particle":"","parse-names":false,"suffix":""},{"dropping-particle":"","family":"Vet","given":"Henrica C.W.","non-dropping-particle":"de","parse-names":false,"suffix":""},{"dropping-particle":"","family":"Nicolaou","given":"Mary","non-dropping-particle":"","parse-names":false,"suffix":""},{"dropping-particle":"","family":"Snijder","given":"Marieke B.","non-dropping-particle":"","parse-names":false,"suffix":""},{"dropping-particle":"","family":"Visser","given":"Marjolein","non-dropping-particle":"","parse-names":false,"suffix":""}],"container-title":"PLoS ONE","id":"ITEM-1","issue":"5","issued":{"date-parts":[["2018","5","1"]]},"publisher":"Public Library of Science","title":"Development and validation of a short food questionnaire to screen for low protein intake in community-dwelling older adults: The Protein Screener 55+ (Pro55+)","type":"article-journal","volume":"13"},"uris":["http://www.mendeley.com/documents/?uuid=ff0f1464-ecfa-3ac3-82d4-25c89ee39538"]}],"mendeley":{"formattedCitation":"(180)","plainTextFormattedCitation":"(180)","previouslyFormattedCitation":"(180)"},"properties":{"noteIndex":0},"schema":"https://github.com/citation-style-language/schema/raw/master/csl-citation.json"}</w:instrText>
      </w:r>
      <w:r w:rsidR="0026358E" w:rsidRPr="00CA4ABC">
        <w:rPr>
          <w:rFonts w:cstheme="minorHAnsi"/>
          <w:color w:val="000000" w:themeColor="text1"/>
        </w:rPr>
        <w:fldChar w:fldCharType="separate"/>
      </w:r>
      <w:r w:rsidR="00057AE3" w:rsidRPr="00057AE3">
        <w:rPr>
          <w:rFonts w:cstheme="minorHAnsi"/>
          <w:noProof/>
          <w:color w:val="000000" w:themeColor="text1"/>
        </w:rPr>
        <w:t>(180)</w:t>
      </w:r>
      <w:r w:rsidR="0026358E" w:rsidRPr="00CA4ABC">
        <w:rPr>
          <w:rFonts w:cstheme="minorHAnsi"/>
          <w:color w:val="000000" w:themeColor="text1"/>
        </w:rPr>
        <w:fldChar w:fldCharType="end"/>
      </w:r>
      <w:r w:rsidRPr="00CA4ABC">
        <w:rPr>
          <w:rFonts w:cstheme="minorHAnsi"/>
          <w:color w:val="000000" w:themeColor="text1"/>
        </w:rPr>
        <w:t xml:space="preserve">. The </w:t>
      </w:r>
      <w:r w:rsidR="00E003AF" w:rsidRPr="00CA4ABC">
        <w:rPr>
          <w:rFonts w:cstheme="minorHAnsi"/>
          <w:color w:val="000000" w:themeColor="text1"/>
        </w:rPr>
        <w:t xml:space="preserve">original </w:t>
      </w:r>
      <w:r w:rsidRPr="00CA4ABC">
        <w:rPr>
          <w:rFonts w:cstheme="minorHAnsi"/>
          <w:color w:val="000000" w:themeColor="text1"/>
        </w:rPr>
        <w:t>protein screening tool (Pro55+) was designed for a Dutch population</w:t>
      </w:r>
      <w:r w:rsidR="00E22A0C">
        <w:rPr>
          <w:rFonts w:cstheme="minorHAnsi"/>
          <w:color w:val="000000" w:themeColor="text1"/>
        </w:rPr>
        <w:t>,</w:t>
      </w:r>
      <w:r w:rsidRPr="00CA4ABC">
        <w:rPr>
          <w:rFonts w:cstheme="minorHAnsi"/>
          <w:color w:val="000000" w:themeColor="text1"/>
        </w:rPr>
        <w:t xml:space="preserve"> and</w:t>
      </w:r>
      <w:r w:rsidR="00E003AF" w:rsidRPr="00CA4ABC">
        <w:rPr>
          <w:rFonts w:cstheme="minorHAnsi"/>
          <w:color w:val="000000" w:themeColor="text1"/>
        </w:rPr>
        <w:t xml:space="preserve"> </w:t>
      </w:r>
      <w:r w:rsidRPr="00CA4ABC">
        <w:rPr>
          <w:rFonts w:cstheme="minorHAnsi"/>
          <w:color w:val="000000" w:themeColor="text1"/>
        </w:rPr>
        <w:t>pre-existing Dutch cohort data was u</w:t>
      </w:r>
      <w:r w:rsidR="004D6C85" w:rsidRPr="00CA4ABC">
        <w:rPr>
          <w:rFonts w:cstheme="minorHAnsi"/>
          <w:color w:val="000000" w:themeColor="text1"/>
        </w:rPr>
        <w:t>sed</w:t>
      </w:r>
      <w:r w:rsidRPr="00CA4ABC">
        <w:rPr>
          <w:rFonts w:cstheme="minorHAnsi"/>
          <w:color w:val="000000" w:themeColor="text1"/>
        </w:rPr>
        <w:t xml:space="preserve"> to develop the questions. Following this, external validation </w:t>
      </w:r>
      <w:r w:rsidR="00E003AF" w:rsidRPr="00CA4ABC">
        <w:rPr>
          <w:rFonts w:cstheme="minorHAnsi"/>
          <w:color w:val="000000" w:themeColor="text1"/>
        </w:rPr>
        <w:t xml:space="preserve">was </w:t>
      </w:r>
      <w:r w:rsidR="00E22A0C">
        <w:rPr>
          <w:rFonts w:cstheme="minorHAnsi"/>
          <w:color w:val="000000" w:themeColor="text1"/>
        </w:rPr>
        <w:t>conducted</w:t>
      </w:r>
      <w:r w:rsidR="00E003AF" w:rsidRPr="00CA4ABC">
        <w:rPr>
          <w:rFonts w:cstheme="minorHAnsi"/>
          <w:color w:val="000000" w:themeColor="text1"/>
        </w:rPr>
        <w:t xml:space="preserve"> using FFQ responses from a second cohort data set</w:t>
      </w:r>
      <w:r w:rsidRPr="00CA4ABC">
        <w:rPr>
          <w:rFonts w:cstheme="minorHAnsi"/>
          <w:color w:val="000000" w:themeColor="text1"/>
        </w:rPr>
        <w:t xml:space="preserve">. </w:t>
      </w:r>
      <w:r w:rsidR="0020011F" w:rsidRPr="00CA4ABC">
        <w:rPr>
          <w:rFonts w:cstheme="minorHAnsi"/>
          <w:color w:val="000000" w:themeColor="text1"/>
        </w:rPr>
        <w:t>This involved predicting what the response to the screener would likely be, based on their FFQ responses (rather than having the participants answer the screener)</w:t>
      </w:r>
      <w:r w:rsidR="004D6C85" w:rsidRPr="00CA4ABC">
        <w:rPr>
          <w:rFonts w:cstheme="minorHAnsi"/>
          <w:color w:val="000000" w:themeColor="text1"/>
        </w:rPr>
        <w:t>.</w:t>
      </w:r>
      <w:r w:rsidR="0020011F" w:rsidRPr="00CA4ABC">
        <w:rPr>
          <w:rFonts w:cstheme="minorHAnsi"/>
          <w:color w:val="000000" w:themeColor="text1"/>
        </w:rPr>
        <w:t xml:space="preserve"> </w:t>
      </w:r>
      <w:r w:rsidR="00E003AF" w:rsidRPr="00CA4ABC">
        <w:rPr>
          <w:rFonts w:cstheme="minorHAnsi"/>
          <w:color w:val="000000" w:themeColor="text1"/>
        </w:rPr>
        <w:t xml:space="preserve">Therefore, the syntax developed was likely to be sensitised for this data set and may </w:t>
      </w:r>
      <w:r w:rsidR="00AC128E" w:rsidRPr="00CA4ABC">
        <w:rPr>
          <w:rFonts w:cstheme="minorHAnsi"/>
          <w:color w:val="000000" w:themeColor="text1"/>
        </w:rPr>
        <w:t>reflect</w:t>
      </w:r>
      <w:r w:rsidR="00E003AF" w:rsidRPr="00CA4ABC">
        <w:rPr>
          <w:rFonts w:cstheme="minorHAnsi"/>
          <w:color w:val="000000" w:themeColor="text1"/>
        </w:rPr>
        <w:t xml:space="preserve"> its</w:t>
      </w:r>
      <w:r w:rsidR="0026358E" w:rsidRPr="00CA4ABC">
        <w:rPr>
          <w:rFonts w:cstheme="minorHAnsi"/>
          <w:color w:val="000000" w:themeColor="text1"/>
        </w:rPr>
        <w:t xml:space="preserve"> translatability </w:t>
      </w:r>
      <w:r w:rsidRPr="00CA4ABC">
        <w:rPr>
          <w:rFonts w:cstheme="minorHAnsi"/>
          <w:color w:val="000000" w:themeColor="text1"/>
        </w:rPr>
        <w:t>to alternative populations. Moreover, conducting an internal validation, whereby the same individuals completed the protein screener and the reference comparison, increases the real-world applicability of the results by removing the reliance upon assumptions. This is likely to be where the sensitivity differed</w:t>
      </w:r>
      <w:r w:rsidR="00E22A0C">
        <w:rPr>
          <w:rFonts w:cstheme="minorHAnsi"/>
          <w:color w:val="000000" w:themeColor="text1"/>
        </w:rPr>
        <w:t xml:space="preserve"> between the Netherlands and the UK, based on the</w:t>
      </w:r>
      <w:r w:rsidRPr="00CA4ABC">
        <w:rPr>
          <w:rFonts w:cstheme="minorHAnsi"/>
          <w:color w:val="000000" w:themeColor="text1"/>
        </w:rPr>
        <w:t xml:space="preserve"> </w:t>
      </w:r>
      <w:r w:rsidR="00E22A0C">
        <w:rPr>
          <w:rFonts w:cstheme="minorHAnsi"/>
          <w:color w:val="000000" w:themeColor="text1"/>
        </w:rPr>
        <w:t xml:space="preserve">different </w:t>
      </w:r>
      <w:r w:rsidRPr="00CA4ABC">
        <w:rPr>
          <w:rFonts w:cstheme="minorHAnsi"/>
          <w:color w:val="000000" w:themeColor="text1"/>
        </w:rPr>
        <w:t>approaches</w:t>
      </w:r>
      <w:r w:rsidR="00E22A0C">
        <w:rPr>
          <w:rFonts w:cstheme="minorHAnsi"/>
          <w:color w:val="000000" w:themeColor="text1"/>
        </w:rPr>
        <w:t>.</w:t>
      </w:r>
      <w:r w:rsidRPr="00CA4ABC">
        <w:rPr>
          <w:rFonts w:cstheme="minorHAnsi"/>
          <w:color w:val="000000" w:themeColor="text1"/>
        </w:rPr>
        <w:t xml:space="preserve"> </w:t>
      </w:r>
    </w:p>
    <w:p w14:paraId="70558595" w14:textId="77777777" w:rsidR="00507FC8" w:rsidRPr="00CA4ABC" w:rsidRDefault="00507FC8" w:rsidP="004053D7">
      <w:pPr>
        <w:spacing w:line="360" w:lineRule="auto"/>
        <w:rPr>
          <w:rFonts w:cstheme="minorHAnsi"/>
          <w:color w:val="000000" w:themeColor="text1"/>
        </w:rPr>
      </w:pPr>
    </w:p>
    <w:p w14:paraId="1BF28989" w14:textId="25428614" w:rsidR="00507FC8" w:rsidRPr="00CA4ABC" w:rsidRDefault="00507FC8" w:rsidP="004053D7">
      <w:pPr>
        <w:spacing w:line="360" w:lineRule="auto"/>
        <w:rPr>
          <w:rFonts w:cstheme="minorHAnsi"/>
          <w:color w:val="000000" w:themeColor="text1"/>
        </w:rPr>
      </w:pPr>
      <w:r w:rsidRPr="00CA4ABC">
        <w:rPr>
          <w:rFonts w:cstheme="minorHAnsi"/>
          <w:color w:val="000000" w:themeColor="text1"/>
        </w:rPr>
        <w:t xml:space="preserve">The most probable reason </w:t>
      </w:r>
      <w:r w:rsidR="009A3968" w:rsidRPr="00CA4ABC">
        <w:rPr>
          <w:rFonts w:cstheme="minorHAnsi"/>
          <w:color w:val="000000" w:themeColor="text1"/>
        </w:rPr>
        <w:t>for differences between the FFQ and</w:t>
      </w:r>
      <w:r w:rsidRPr="00CA4ABC">
        <w:rPr>
          <w:rFonts w:cstheme="minorHAnsi"/>
          <w:color w:val="000000" w:themeColor="text1"/>
        </w:rPr>
        <w:t xml:space="preserve"> 24-hour recall findings </w:t>
      </w:r>
      <w:r w:rsidR="009A3968" w:rsidRPr="00CA4ABC">
        <w:rPr>
          <w:rFonts w:cstheme="minorHAnsi"/>
          <w:color w:val="000000" w:themeColor="text1"/>
        </w:rPr>
        <w:t>is</w:t>
      </w:r>
      <w:r w:rsidRPr="00CA4ABC">
        <w:rPr>
          <w:rFonts w:cstheme="minorHAnsi"/>
          <w:color w:val="000000" w:themeColor="text1"/>
        </w:rPr>
        <w:t xml:space="preserve"> </w:t>
      </w:r>
      <w:r w:rsidR="009A3968" w:rsidRPr="00CA4ABC">
        <w:rPr>
          <w:rFonts w:cstheme="minorHAnsi"/>
          <w:color w:val="000000" w:themeColor="text1"/>
        </w:rPr>
        <w:t>the</w:t>
      </w:r>
      <w:r w:rsidRPr="00CA4ABC">
        <w:rPr>
          <w:rFonts w:cstheme="minorHAnsi"/>
          <w:color w:val="000000" w:themeColor="text1"/>
        </w:rPr>
        <w:t xml:space="preserve"> varying dietary assessment </w:t>
      </w:r>
      <w:r w:rsidR="007B45AF" w:rsidRPr="00CA4ABC">
        <w:rPr>
          <w:rFonts w:cstheme="minorHAnsi"/>
          <w:color w:val="000000" w:themeColor="text1"/>
        </w:rPr>
        <w:t>tools'</w:t>
      </w:r>
      <w:r w:rsidRPr="00CA4ABC">
        <w:rPr>
          <w:rFonts w:cstheme="minorHAnsi"/>
          <w:color w:val="000000" w:themeColor="text1"/>
        </w:rPr>
        <w:t xml:space="preserve"> accuracies</w:t>
      </w:r>
      <w:r w:rsidR="0097391B">
        <w:rPr>
          <w:rFonts w:cstheme="minorHAnsi"/>
          <w:color w:val="000000" w:themeColor="text1"/>
        </w:rPr>
        <w:t>,</w:t>
      </w:r>
      <w:r w:rsidRPr="00CA4ABC">
        <w:rPr>
          <w:rFonts w:cstheme="minorHAnsi"/>
          <w:color w:val="000000" w:themeColor="text1"/>
        </w:rPr>
        <w:t xml:space="preserve"> often as a reflection of burden, completion time and </w:t>
      </w:r>
      <w:r w:rsidR="009A3968" w:rsidRPr="00CA4ABC">
        <w:rPr>
          <w:rFonts w:cstheme="minorHAnsi"/>
          <w:color w:val="000000" w:themeColor="text1"/>
        </w:rPr>
        <w:t>cost</w:t>
      </w:r>
      <w:r w:rsidRPr="00CA4ABC">
        <w:rPr>
          <w:rFonts w:cstheme="minorHAnsi"/>
          <w:color w:val="000000" w:themeColor="text1"/>
        </w:rPr>
        <w:t xml:space="preserve">. Collecting more accurate and thorough data may come at the expense of </w:t>
      </w:r>
      <w:r w:rsidR="0097391B">
        <w:rPr>
          <w:rFonts w:cstheme="minorHAnsi"/>
          <w:color w:val="000000" w:themeColor="text1"/>
        </w:rPr>
        <w:t>extensive</w:t>
      </w:r>
      <w:r w:rsidRPr="00CA4ABC">
        <w:rPr>
          <w:rFonts w:cstheme="minorHAnsi"/>
          <w:color w:val="000000" w:themeColor="text1"/>
        </w:rPr>
        <w:t xml:space="preserve"> participant data collection, </w:t>
      </w:r>
      <w:r w:rsidR="00E87D8F" w:rsidRPr="00CA4ABC">
        <w:rPr>
          <w:rFonts w:cstheme="minorHAnsi"/>
          <w:color w:val="000000" w:themeColor="text1"/>
        </w:rPr>
        <w:t>meaning a</w:t>
      </w:r>
      <w:r w:rsidRPr="00CA4ABC">
        <w:rPr>
          <w:rFonts w:cstheme="minorHAnsi"/>
          <w:color w:val="000000" w:themeColor="text1"/>
        </w:rPr>
        <w:t xml:space="preserve"> trade-off between these is often required.  It has been suggested that</w:t>
      </w:r>
      <w:r w:rsidRPr="00CA4ABC">
        <w:rPr>
          <w:rFonts w:cstheme="minorHAnsi"/>
          <w:color w:val="000000" w:themeColor="text1"/>
          <w:shd w:val="clear" w:color="auto" w:fill="FFFFFF"/>
        </w:rPr>
        <w:t xml:space="preserve"> FFQs cannot be recommended </w:t>
      </w:r>
      <w:r w:rsidR="0097391B">
        <w:rPr>
          <w:rFonts w:cstheme="minorHAnsi"/>
          <w:color w:val="000000" w:themeColor="text1"/>
          <w:shd w:val="clear" w:color="auto" w:fill="FFFFFF"/>
        </w:rPr>
        <w:t>to evaluate</w:t>
      </w:r>
      <w:r w:rsidRPr="00CA4ABC">
        <w:rPr>
          <w:rFonts w:cstheme="minorHAnsi"/>
          <w:color w:val="000000" w:themeColor="text1"/>
          <w:shd w:val="clear" w:color="auto" w:fill="FFFFFF"/>
        </w:rPr>
        <w:t xml:space="preserve"> relations between</w:t>
      </w:r>
      <w:r w:rsidR="000B1EC9" w:rsidRPr="00CA4ABC">
        <w:rPr>
          <w:rFonts w:cstheme="minorHAnsi"/>
          <w:color w:val="000000" w:themeColor="text1"/>
          <w:shd w:val="clear" w:color="auto" w:fill="FFFFFF"/>
        </w:rPr>
        <w:t xml:space="preserve"> the</w:t>
      </w:r>
      <w:r w:rsidRPr="00CA4ABC">
        <w:rPr>
          <w:rFonts w:cstheme="minorHAnsi"/>
          <w:color w:val="000000" w:themeColor="text1"/>
          <w:shd w:val="clear" w:color="auto" w:fill="FFFFFF"/>
        </w:rPr>
        <w:t xml:space="preserve"> absolute intake of energy or protein and disease</w:t>
      </w:r>
      <w:r w:rsidR="0026358E" w:rsidRPr="00CA4ABC">
        <w:rPr>
          <w:rFonts w:cstheme="minorHAnsi"/>
          <w:color w:val="000000" w:themeColor="text1"/>
          <w:shd w:val="clear" w:color="auto" w:fill="FFFFFF"/>
        </w:rPr>
        <w:t xml:space="preserve"> </w:t>
      </w:r>
      <w:r w:rsidR="0026358E"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{"citationItems":[{"id":"ITEM-1","itemData":{"DOI":"10.1093/IJE/DYG264","ISSN":"0300-5771","PMID":"14681273","abstract":"Background. Most large cohort studies have used a food frequency questionnaire (FFQ) for assessing dietary intake. Several biomarker studies, however, have cast doubt on whether the FFQ has sufficient precision to allow detection of moderate but important diet-disease associations. We use data from the Observing Protein and Energy Nutrition (OPEN) study to compare the performance of a FFQ with that of a 24-hour recall (24HR). Methods. The OPEN study included 484 healthy volunteer participants (261 men, 223 women) from Montgomery County, Maryland, aged 40-69. Each participant was asked to complete a FFQ and 24HR on two occasions 3 months apart, and a doubly labelled water (DLW) assessment and two 24-hour urine collections during the 2 weeks after the first FFQ and 24HR assessment. For both the FFQ and 24HR and for both men and women, we calculated attenuation factors for absolute energy, absolute protein, and protein density. Results. For absolute energy and protein, a single FFQs attenuation factor is 0.04-0.16. Repeat administrations lead to little improvement (0.08-0.19). Attenuation factors for a single 24HR are 0.10-0.20, but four repeats would yield attenuations of 0.20-0.37. For protein density a single FFQ has an attenuation of 0.3-0.4; for a single 24HR the attenuation factor is 0.15-0.25 but would increase to 0.35-0.50 with four repeats. Conclusions. Because of severe attenuation, the FFQ cannot be recommended as an instrument for evaluating relations between absolute intake of energy or protein and disease. Although this attenuation is lessened in analyses of energy-adjusted protein, it remains substantial for both FFQ and multiple 24HR. The utility of either of these instruments for detecting important but moderate relative risks (between 1.5 and 2.0), even for energy-adjusted dietary factors, is questionable.","author":[{"dropping-particle":"","family":"Schatzkin","given":"Arthur","non-dropping-particle":"","parse-names":false,"suffix":""},{"dropping-particle":"","family":"Kipnis","given":"Victor","non-dropping-particle":"","parse-names":false,"suffix":""},{"dropping-particle":"","family":"Carroll","given":"Raymond J.","non-dropping-particle":"","parse-names":false,"suffix":""},{"dropping-particle":"","family":"Midthune","given":"Douglas","non-dropping-particle":"","parse-names":false,"suffix":""},{"dropping-particle":"","family":"Subar","given":"Amy F.","non-dropping-particle":"","parse-names":false,"suffix":""},{"dropping-particle":"","family":"Bingham","given":"Sheila","non-dropping-particle":"","parse-names":false,"suffix":""},{"dropping-particle":"","family":"Schoeller","given":"Dale A.","non-dropping-particle":"","parse-names":false,"suffix":""},{"dropping-particle":"","family":"Troiano","given":"Richard P.","non-dropping-particle":"","parse-names":false,"suffix":""},{"dropping-particle":"","family":"Freedman","given":"Laurence S.","non-dropping-particle":"","parse-names":false,"suffix":""}],"container-title":"International journal of epidemiology","id":"ITEM-1","issue":"6","issued":{"date-parts":[["2003","12"]]},"page":"1054-1062","publisher":"Int J Epidemiol","title":"A comparison of a food frequency questionnaire with a 24-hour recall for use in an epidemiological cohort study: results from the biomarker-based Observing Protein and Energy Nutrition (OPEN) study","type":"article-journal","volume":"32"},"uris":["http://www.mendeley.com/documents/?uuid=3bfeb467-62fb-3b33-89cc-6aea46c47b71"]}],"mendeley":{"formattedCitation":"(206)","plainTextFormattedCitation":"(206)","previouslyFormattedCitation":"(206)"},"properties":{"noteIndex":0},"schema":"https://github.com/citation-style-language/schema/raw/master/csl-citation.json"}</w:instrText>
      </w:r>
      <w:r w:rsidR="0026358E"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(206)</w:t>
      </w:r>
      <w:r w:rsidR="0026358E" w:rsidRPr="00CA4ABC">
        <w:rPr>
          <w:rFonts w:cstheme="minorHAnsi"/>
          <w:color w:val="000000" w:themeColor="text1"/>
          <w:shd w:val="clear" w:color="auto" w:fill="FFFFFF"/>
        </w:rPr>
        <w:fldChar w:fldCharType="end"/>
      </w:r>
      <w:r w:rsidR="0026358E" w:rsidRPr="00CA4ABC">
        <w:rPr>
          <w:rFonts w:cstheme="minorHAnsi"/>
          <w:color w:val="000000" w:themeColor="text1"/>
          <w:shd w:val="clear" w:color="auto" w:fill="FFFFFF"/>
        </w:rPr>
        <w:t xml:space="preserve">. </w:t>
      </w:r>
      <w:r w:rsidRPr="00CA4ABC">
        <w:rPr>
          <w:rFonts w:cstheme="minorHAnsi"/>
          <w:color w:val="000000" w:themeColor="text1"/>
        </w:rPr>
        <w:t>Evidence to support 24-hour recalls being more accurate than FFQ was undertaken by Sabir et al</w:t>
      </w:r>
      <w:r w:rsidR="009A3968" w:rsidRPr="00CA4ABC">
        <w:rPr>
          <w:rFonts w:cstheme="minorHAnsi"/>
          <w:color w:val="000000" w:themeColor="text1"/>
        </w:rPr>
        <w:t>.</w:t>
      </w:r>
      <w:r w:rsidRPr="00CA4ABC">
        <w:rPr>
          <w:rFonts w:cstheme="minorHAnsi"/>
          <w:color w:val="000000" w:themeColor="text1"/>
        </w:rPr>
        <w:t xml:space="preserve"> </w:t>
      </w:r>
      <w:r w:rsidR="0026358E"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{"citationItems":[{"id":"ITEM-1","itemData":{"DOI":"10.1017/JNS.2022.97","ISSN":"2048-6790","abstract":"All dietary assessment methods inevitably introduce measurement errors, which should ideally be considered during data analysis and interpretation. Methodological studies should be conducted to address how well a given assessment method captures dietary intake and to highlight the extent and direction of the measurement error. Within a subgroup of the Hordaland Health Study (HUSK3), we examined the relative validity of a web-based food frequency questionnaire (WebFFQ) by comparing its estimates of mean daily intake of nutrients and foods with estimated mean daily intakes from repeated administrations of 24-hour dietary recall interviews (24-HDRs). Men and women born between 1950 and 1951 were recruited from HUSK3. The participants (n = 67) completed a WebFFQ and three non-consecutive 24-HDRs over the course of a year. Relative validity was assessed using Spearman's rank correlation, crosstab analysis and Bland–Altman plots. Linear regression models were used to compute the calibration coefficients. The estimated correlation coefficients were acceptable or strong for all nutrients and foods except iodine (rs = 0</w:instrText>
      </w:r>
      <w:r w:rsidR="00821D82">
        <w:rPr>
          <w:rFonts w:ascii="Cambria Math" w:hAnsi="Cambria Math" w:cs="Cambria Math"/>
          <w:color w:val="000000" w:themeColor="text1"/>
        </w:rPr>
        <w:instrText>⋅</w:instrText>
      </w:r>
      <w:r w:rsidR="00821D82">
        <w:rPr>
          <w:rFonts w:cstheme="minorHAnsi"/>
          <w:color w:val="000000" w:themeColor="text1"/>
        </w:rPr>
        <w:instrText>19). The highest correlation coefficient was found for juice (rs = 0</w:instrText>
      </w:r>
      <w:r w:rsidR="00821D82">
        <w:rPr>
          <w:rFonts w:ascii="Cambria Math" w:hAnsi="Cambria Math" w:cs="Cambria Math"/>
          <w:color w:val="000000" w:themeColor="text1"/>
        </w:rPr>
        <w:instrText>⋅</w:instrText>
      </w:r>
      <w:r w:rsidR="00821D82">
        <w:rPr>
          <w:rFonts w:cstheme="minorHAnsi"/>
          <w:color w:val="000000" w:themeColor="text1"/>
        </w:rPr>
        <w:instrText>71), whereas the lowest correlation coefficient was found for iodine (rs = 0</w:instrText>
      </w:r>
      <w:r w:rsidR="00821D82">
        <w:rPr>
          <w:rFonts w:ascii="Cambria Math" w:hAnsi="Cambria Math" w:cs="Cambria Math"/>
          <w:color w:val="000000" w:themeColor="text1"/>
        </w:rPr>
        <w:instrText>⋅</w:instrText>
      </w:r>
      <w:r w:rsidR="00821D82">
        <w:rPr>
          <w:rFonts w:cstheme="minorHAnsi"/>
          <w:color w:val="000000" w:themeColor="text1"/>
        </w:rPr>
        <w:instrText>19). Cross-classification by quartiles categorised more than 72 % of the participants into the same or adjacent quartiles using the two methods. Few data points fell outside the limits of agreement in the Bland–Altman plots. Calibration coefficients ranged from 0</w:instrText>
      </w:r>
      <w:r w:rsidR="00821D82">
        <w:rPr>
          <w:rFonts w:ascii="Cambria Math" w:hAnsi="Cambria Math" w:cs="Cambria Math"/>
          <w:color w:val="000000" w:themeColor="text1"/>
        </w:rPr>
        <w:instrText>⋅</w:instrText>
      </w:r>
      <w:r w:rsidR="00821D82">
        <w:rPr>
          <w:rFonts w:cstheme="minorHAnsi"/>
          <w:color w:val="000000" w:themeColor="text1"/>
        </w:rPr>
        <w:instrText>10 (wholegrain) to 0</w:instrText>
      </w:r>
      <w:r w:rsidR="00821D82">
        <w:rPr>
          <w:rFonts w:ascii="Cambria Math" w:hAnsi="Cambria Math" w:cs="Cambria Math"/>
          <w:color w:val="000000" w:themeColor="text1"/>
        </w:rPr>
        <w:instrText>⋅</w:instrText>
      </w:r>
      <w:r w:rsidR="00821D82">
        <w:rPr>
          <w:rFonts w:cstheme="minorHAnsi"/>
          <w:color w:val="000000" w:themeColor="text1"/>
        </w:rPr>
        <w:instrText>81 (alcohol). Our findings suggest that the WebFFQ has reasonable ranking abilities for all the included nutrients and foods, except for iodine.","author":[{"dropping-particle":"","family":"Sabir","given":"Zoya","non-dropping-particle":"","parse-names":false,"suffix":""},{"dropping-particle":"","family":"Rosendahl-Riise","given":"Hanne","non-dropping-particle":"","parse-names":false,"suffix":""},{"dropping-particle":"","family":"Dierkes","given":"Jutta","non-dropping-particle":"","parse-names":false,"suffix":""},{"dropping-particle":"","family":"Dahl","given":"Helene","non-dropping-particle":"","parse-names":false,"suffix":""},{"dropping-particle":"","family":"Hjartåker","given":"Anette","non-dropping-particle":"","parse-names":false,"suffix":""}],"container-title":"Journal of Nutritional Science","id":"ITEM-1","issued":{"date-parts":[["2022","11","4"]]},"page":"e98","publisher":"Cambridge University Press","title":"Comparison of dietary intake measured by a web-based FFQ and repeated 24-hour dietary recalls: the Hordaland Health Study","type":"article-journal","volume":"11"},"uris":["http://www.mendeley.com/documents/?uuid=9164187f-5263-39f3-ad9f-f38577be9c10"]}],"mendeley":{"formattedCitation":"(207)","plainTextFormattedCitation":"(207)","previouslyFormattedCitation":"(207)"},"properties":{"noteIndex":0},"schema":"https://github.com/citation-style-language/schema/raw/master/csl-citation.json"}</w:instrText>
      </w:r>
      <w:r w:rsidR="0026358E" w:rsidRPr="00CA4ABC">
        <w:rPr>
          <w:rFonts w:cstheme="minorHAnsi"/>
          <w:color w:val="000000" w:themeColor="text1"/>
        </w:rPr>
        <w:fldChar w:fldCharType="separate"/>
      </w:r>
      <w:r w:rsidR="00FF0BCE" w:rsidRPr="00FF0BCE">
        <w:rPr>
          <w:rFonts w:cstheme="minorHAnsi"/>
          <w:noProof/>
          <w:color w:val="000000" w:themeColor="text1"/>
        </w:rPr>
        <w:t>(207)</w:t>
      </w:r>
      <w:r w:rsidR="0026358E" w:rsidRPr="00CA4ABC">
        <w:rPr>
          <w:rFonts w:cstheme="minorHAnsi"/>
          <w:color w:val="000000" w:themeColor="text1"/>
        </w:rPr>
        <w:fldChar w:fldCharType="end"/>
      </w:r>
      <w:r w:rsidR="0026358E" w:rsidRPr="00CA4ABC">
        <w:rPr>
          <w:rFonts w:cstheme="minorHAnsi"/>
          <w:color w:val="000000" w:themeColor="text1"/>
        </w:rPr>
        <w:t xml:space="preserve"> </w:t>
      </w:r>
      <w:r w:rsidRPr="00CA4ABC">
        <w:rPr>
          <w:rFonts w:cstheme="minorHAnsi"/>
          <w:color w:val="000000" w:themeColor="text1"/>
        </w:rPr>
        <w:t xml:space="preserve">who made comparisons of dietary intakes measured by a 279-item web-based FFQ with </w:t>
      </w:r>
      <w:r w:rsidR="00E87D8F" w:rsidRPr="00CA4ABC">
        <w:rPr>
          <w:rFonts w:cstheme="minorHAnsi"/>
          <w:color w:val="000000" w:themeColor="text1"/>
        </w:rPr>
        <w:t>three</w:t>
      </w:r>
      <w:r w:rsidRPr="00CA4ABC">
        <w:rPr>
          <w:rFonts w:cstheme="minorHAnsi"/>
          <w:color w:val="000000" w:themeColor="text1"/>
        </w:rPr>
        <w:t xml:space="preserve"> repeated 24-hour </w:t>
      </w:r>
      <w:r w:rsidRPr="00CA4ABC">
        <w:rPr>
          <w:rFonts w:cstheme="minorHAnsi"/>
          <w:color w:val="000000" w:themeColor="text1"/>
        </w:rPr>
        <w:lastRenderedPageBreak/>
        <w:t xml:space="preserve">dietary recalls. </w:t>
      </w:r>
      <w:r w:rsidR="00E87D8F" w:rsidRPr="00CA4ABC">
        <w:rPr>
          <w:rFonts w:cstheme="minorHAnsi"/>
          <w:color w:val="000000" w:themeColor="text1"/>
        </w:rPr>
        <w:t>T</w:t>
      </w:r>
      <w:r w:rsidRPr="00CA4ABC">
        <w:rPr>
          <w:rFonts w:cstheme="minorHAnsi"/>
          <w:color w:val="000000" w:themeColor="text1"/>
        </w:rPr>
        <w:t>he first</w:t>
      </w:r>
      <w:r w:rsidR="00E87D8F" w:rsidRPr="00CA4ABC">
        <w:rPr>
          <w:rFonts w:cstheme="minorHAnsi"/>
          <w:color w:val="000000" w:themeColor="text1"/>
        </w:rPr>
        <w:t xml:space="preserve"> recall was collected </w:t>
      </w:r>
      <w:r w:rsidRPr="00CA4ABC">
        <w:rPr>
          <w:rFonts w:cstheme="minorHAnsi"/>
          <w:color w:val="000000" w:themeColor="text1"/>
        </w:rPr>
        <w:t>in person</w:t>
      </w:r>
      <w:r w:rsidR="007B45AF" w:rsidRPr="00CA4ABC">
        <w:rPr>
          <w:rFonts w:cstheme="minorHAnsi"/>
          <w:color w:val="000000" w:themeColor="text1"/>
        </w:rPr>
        <w:t>,</w:t>
      </w:r>
      <w:r w:rsidR="00E87D8F" w:rsidRPr="00CA4ABC">
        <w:rPr>
          <w:rFonts w:cstheme="minorHAnsi"/>
          <w:color w:val="000000" w:themeColor="text1"/>
        </w:rPr>
        <w:t xml:space="preserve"> </w:t>
      </w:r>
      <w:r w:rsidR="000B1EC9" w:rsidRPr="00CA4ABC">
        <w:rPr>
          <w:rFonts w:cstheme="minorHAnsi"/>
          <w:color w:val="000000" w:themeColor="text1"/>
        </w:rPr>
        <w:t>followed by</w:t>
      </w:r>
      <w:r w:rsidRPr="00CA4ABC">
        <w:rPr>
          <w:rFonts w:cstheme="minorHAnsi"/>
          <w:color w:val="000000" w:themeColor="text1"/>
        </w:rPr>
        <w:t xml:space="preserve"> two via telephone. They found that the </w:t>
      </w:r>
      <w:r w:rsidRPr="00CA4ABC">
        <w:rPr>
          <w:rFonts w:cstheme="minorHAnsi"/>
          <w:color w:val="000000" w:themeColor="text1"/>
          <w:shd w:val="clear" w:color="auto" w:fill="FFFFFF"/>
        </w:rPr>
        <w:t>calculated intakes from the WebFFQ led to a significant overestimation of absolute intakes of all nutrients and most foods. Medin </w:t>
      </w:r>
      <w:r w:rsidRPr="00CA4ABC">
        <w:rPr>
          <w:rStyle w:val="Emphasis"/>
          <w:rFonts w:cstheme="minorHAnsi"/>
          <w:i w:val="0"/>
          <w:iCs w:val="0"/>
          <w:color w:val="000000" w:themeColor="text1"/>
          <w:bdr w:val="none" w:sz="0" w:space="0" w:color="auto" w:frame="1"/>
          <w:shd w:val="clear" w:color="auto" w:fill="FFFFFF"/>
        </w:rPr>
        <w:t>et al</w:t>
      </w:r>
      <w:r w:rsidR="007B45AF" w:rsidRPr="00CA4ABC">
        <w:rPr>
          <w:rStyle w:val="Emphasis"/>
          <w:rFonts w:cstheme="minorHAnsi"/>
          <w:color w:val="000000" w:themeColor="text1"/>
          <w:bdr w:val="none" w:sz="0" w:space="0" w:color="auto" w:frame="1"/>
          <w:shd w:val="clear" w:color="auto" w:fill="FFFFFF"/>
        </w:rPr>
        <w:t>.</w:t>
      </w:r>
      <w:r w:rsidR="0026358E" w:rsidRPr="00CA4ABC">
        <w:rPr>
          <w:rStyle w:val="Emphasis"/>
          <w:rFonts w:cstheme="minorHAnsi"/>
          <w:color w:val="000000" w:themeColor="text1"/>
          <w:bdr w:val="none" w:sz="0" w:space="0" w:color="auto" w:frame="1"/>
          <w:shd w:val="clear" w:color="auto" w:fill="FFFFFF"/>
        </w:rPr>
        <w:t xml:space="preserve"> </w:t>
      </w:r>
      <w:r w:rsidR="008B4D05" w:rsidRPr="00CA4ABC">
        <w:rPr>
          <w:rStyle w:val="Emphasis"/>
          <w:rFonts w:cstheme="minorHAnsi"/>
          <w:color w:val="000000" w:themeColor="text1"/>
          <w:bdr w:val="none" w:sz="0" w:space="0" w:color="auto" w:frame="1"/>
          <w:shd w:val="clear" w:color="auto" w:fill="FFFFFF"/>
        </w:rPr>
        <w:fldChar w:fldCharType="begin" w:fldLock="1"/>
      </w:r>
      <w:r w:rsidR="00821D82">
        <w:rPr>
          <w:rStyle w:val="Emphasis"/>
          <w:rFonts w:cstheme="minorHAnsi"/>
          <w:color w:val="000000" w:themeColor="text1"/>
          <w:bdr w:val="none" w:sz="0" w:space="0" w:color="auto" w:frame="1"/>
          <w:shd w:val="clear" w:color="auto" w:fill="FFFFFF"/>
        </w:rPr>
        <w:instrText>ADDIN CSL_CITATION {"citationItems":[{"id":"ITEM-1","itemData":{"DOI":"10.1017/S0007114517003178","ISSN":"1475-2662","PMID":"29202890","abstract":"The aim of this study was to validate the estimated habitual dietary intake from a newly developed web-based FFQ (WebFFQ), for use in an adult population in Norway. In total, ninety-two individuals were recruited. Total energy expenditure (TEE) measured by doubly labelled water was used as the reference method for energy intake (EI) in a subsample of twenty-nine women, and multiple 24-h recalls (24HR) were used as the reference method for the relative validation of macronutrients and food groups in the entire sample. Absolute differences, ratios, crude and deattenuated correlations, cross-classifications, Bland-Altman plot and plots between misreporting of EI (EI-TEE) and the relative misreporting of food groups (WebFFQ-24HR) were used to assess the validity. Results showed that EI on group level was not significantly different from TEE measured by doubly labelled water (0·7 MJ/d), but ranking abilities were poor (r -0·18). The relative validation showed an overestimation for the majority of the variables using absolute intakes, especially for the food groups 'vegetables' and 'fish and shellfish', but an improved agreement between the test and reference tool was observed for energy adjusted intakes. Deattenuated correlation coefficients were between 0·22 and 0·89, and low levels of grossly misclassified individuals (0-3 %) were observed for the majority of the energy adjusted variables for macronutrients and food groups. In conclusion, energy estimates from the WebFFQ should be used with caution, but the estimated absolute intakes on group level and ranking abilities seem acceptable for macronutrients and most food groups.","author":[{"dropping-particle":"","family":"Medin","given":"Anine C.","non-dropping-particle":"","parse-names":false,"suffix":""},{"dropping-particle":"","family":"Carlsen","given":"Monica H.","non-dropping-particle":"","parse-names":false,"suffix":""},{"dropping-particle":"","family":"Hambly","given":"Catherine","non-dropping-particle":"","parse-names":false,"suffix":""},{"dropping-particle":"","family":"Speakman","given":"John R.","non-dropping-particle":"","parse-names":false,"suffix":""},{"dropping-particle":"","family":"Strohmaier","given":"Susanne","non-dropping-particle":"","parse-names":false,"suffix":""},{"dropping-particle":"","family":"Andersen","given":"Lene F.","non-dropping-particle":"","parse-names":false,"suffix":""}],"container-title":"The British journal of nutrition","id":"ITEM-1","issue":"12","issued":{"date-parts":[["2017","12","28"]]},"page":"1106-1117","publisher":"Br J Nutr","title":"The validity of a web-based FFQ assessed by doubly labelled water and multiple 24-h recalls","type":"article-journal","volume":"118"},"uris":["http://www.mendeley.com/documents/?uuid=78c89910-df1e-30fc-8ca2-ec274d33084a"]}],"mendeley":{"formattedCitation":"(208)","plainTextFormattedCitation":"(208)","previouslyFormattedCitation":"(208)"},"properties":{"noteIndex":0},"schema":"https://github.com/citation-style-language/schema/raw/master/csl-citation.json"}</w:instrText>
      </w:r>
      <w:r w:rsidR="008B4D05" w:rsidRPr="00CA4ABC">
        <w:rPr>
          <w:rStyle w:val="Emphasis"/>
          <w:rFonts w:cstheme="minorHAnsi"/>
          <w:color w:val="000000" w:themeColor="text1"/>
          <w:bdr w:val="none" w:sz="0" w:space="0" w:color="auto" w:frame="1"/>
          <w:shd w:val="clear" w:color="auto" w:fill="FFFFFF"/>
        </w:rPr>
        <w:fldChar w:fldCharType="separate"/>
      </w:r>
      <w:r w:rsidR="00FF0BCE" w:rsidRPr="00FF0BCE">
        <w:rPr>
          <w:rStyle w:val="Emphasis"/>
          <w:rFonts w:cstheme="minorHAnsi"/>
          <w:i w:val="0"/>
          <w:noProof/>
          <w:color w:val="000000" w:themeColor="text1"/>
          <w:bdr w:val="none" w:sz="0" w:space="0" w:color="auto" w:frame="1"/>
          <w:shd w:val="clear" w:color="auto" w:fill="FFFFFF"/>
        </w:rPr>
        <w:t>(208)</w:t>
      </w:r>
      <w:r w:rsidR="008B4D05" w:rsidRPr="00CA4ABC">
        <w:rPr>
          <w:rStyle w:val="Emphasis"/>
          <w:rFonts w:cstheme="minorHAnsi"/>
          <w:color w:val="000000" w:themeColor="text1"/>
          <w:bdr w:val="none" w:sz="0" w:space="0" w:color="auto" w:frame="1"/>
          <w:shd w:val="clear" w:color="auto" w:fill="FFFFFF"/>
        </w:rPr>
        <w:fldChar w:fldCharType="end"/>
      </w:r>
      <w:r w:rsidRPr="00CA4ABC">
        <w:rPr>
          <w:rFonts w:cstheme="minorHAnsi"/>
          <w:color w:val="000000" w:themeColor="text1"/>
          <w:shd w:val="clear" w:color="auto" w:fill="FFFFFF"/>
        </w:rPr>
        <w:t xml:space="preserve"> supported these findings </w:t>
      </w:r>
      <w:r w:rsidR="000B1EC9" w:rsidRPr="00CA4ABC">
        <w:rPr>
          <w:rFonts w:cstheme="minorHAnsi"/>
          <w:color w:val="000000" w:themeColor="text1"/>
          <w:shd w:val="clear" w:color="auto" w:fill="FFFFFF"/>
        </w:rPr>
        <w:t>using</w:t>
      </w:r>
      <w:r w:rsidRPr="00CA4ABC">
        <w:rPr>
          <w:rFonts w:cstheme="minorHAnsi"/>
          <w:color w:val="000000" w:themeColor="text1"/>
          <w:shd w:val="clear" w:color="auto" w:fill="FFFFFF"/>
        </w:rPr>
        <w:t xml:space="preserve"> the same 279-item FFQ and doubly labelled water as the comparison protocol. Moreover, when comparisons for accuracy of reporters using FFQ and dietary recalls were made, as assessed by comparisons with biomarkers,  it was reported that </w:t>
      </w:r>
      <w:r w:rsidRPr="00CA4ABC">
        <w:rPr>
          <w:rFonts w:cstheme="minorHAnsi"/>
          <w:color w:val="000000" w:themeColor="text1"/>
        </w:rPr>
        <w:t>underreporting of energy (based on mean intakes) compared with total energy expenditure was 12–14% on 24HRs and 31–36 % on FFQs</w:t>
      </w:r>
      <w:r w:rsidR="0026358E" w:rsidRPr="00CA4ABC">
        <w:rPr>
          <w:rFonts w:cstheme="minorHAnsi"/>
          <w:color w:val="000000" w:themeColor="text1"/>
        </w:rPr>
        <w:t xml:space="preserve"> </w:t>
      </w:r>
      <w:r w:rsidR="0026358E"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{"citationItems":[{"id":"ITEM-1","itemData":{"DOI":"10.1093/AJE/KWG092","ISSN":"0002-9262","PMID":"12835280","abstract":"This paper describes the Observing Protein and Energy Nutrition (OPEN) Study, conducted from September 1999 to March 2000. The purpose of the study was to assess dietary measurement error using two self-reported dietary instruments - the food frequency questionnaire (FFQ) and the 24-hour dietary recall (24HR) - and unbiased biomarkers of energy and protein intakes: doubly labeled water and urinary nitrogen. Participants were 484 men and women aged 40-69 years from Montgomery County, Maryland. Nine percent of men and 7% of women were defined as underreporters of both energy and protein intake on 24HRs; for FFQs, the comparable values were 35% for men and 23% for women. On average, men underreported energy intake compared with total energy expenditure by 12-14% on 24HRs and 31-36% on FFQs and underreported protein intake compared with a protein biomarker by 11-12% on 24HRs and 30-34% on FFQs. Women underreported energy intake on 24HRs by 16-20% and on FFQs by 34-38% and underreported protein intake by 11-15% on 24HRs and 27-32% on FFQs. There was little underreporting of the percentage of energy from protein for men or women. These findings have important implications for nutritional epidemiology and dietary surveillance.","author":[{"dropping-particle":"","family":"Subar","given":"Amy F.","non-dropping-particle":"","parse-names":false,"suffix":""},{"dropping-particle":"","family":"Kipnis","given":"Victor","non-dropping-particle":"","parse-names":false,"suffix":""},{"dropping-particle":"","family":"Troiano","given":"Richard P.","non-dropping-particle":"","parse-names":false,"suffix":""},{"dropping-particle":"","family":"Midthune","given":"Douglas","non-dropping-particle":"","parse-names":false,"suffix":""},{"dropping-particle":"","family":"Schoeller","given":"Dale A.","non-dropping-particle":"","parse-names":false,"suffix":""},{"dropping-particle":"","family":"Bingham","given":"Sheila","non-dropping-particle":"","parse-names":false,"suffix":""},{"dropping-particle":"","family":"Sharbaugh","given":"Carolyn O.","non-dropping-particle":"","parse-names":false,"suffix":""},{"dropping-particle":"","family":"Trabulsi","given":"Jillian","non-dropping-particle":"","parse-names":false,"suffix":""},{"dropping-particle":"","family":"Runswick","given":"Shirley","non-dropping-particle":"","parse-names":false,"suffix":""},{"dropping-particle":"","family":"Ballard-Barbash","given":"Rachel","non-dropping-particle":"","parse-names":false,"suffix":""},{"dropping-particle":"","family":"Sunshine","given":"Joel","non-dropping-particle":"","parse-names":false,"suffix":""},{"dropping-particle":"","family":"Schatzkin","given":"Arthur","non-dropping-particle":"","parse-names":false,"suffix":""}],"container-title":"American Journal of Epidemiology","id":"ITEM-1","issue":"1","issued":{"date-parts":[["2003","7","1"]]},"page":"1-13","publisher":"Oxford Academic","title":"Using Intake Biomarkers to Evaluate the Extent of Dietary Misreporting in a Large Sample of Adults: The OPEN Study","type":"article-journal","volume":"158"},"uris":["http://www.mendeley.com/documents/?uuid=5f533aef-22b0-3eb7-96e1-c7409111612b"]}],"mendeley":{"formattedCitation":"(209)","plainTextFormattedCitation":"(209)","previouslyFormattedCitation":"(209)"},"properties":{"noteIndex":0},"schema":"https://github.com/citation-style-language/schema/raw/master/csl-citation.json"}</w:instrText>
      </w:r>
      <w:r w:rsidR="0026358E" w:rsidRPr="00CA4ABC">
        <w:rPr>
          <w:rFonts w:cstheme="minorHAnsi"/>
          <w:color w:val="000000" w:themeColor="text1"/>
        </w:rPr>
        <w:fldChar w:fldCharType="separate"/>
      </w:r>
      <w:r w:rsidR="00FF0BCE" w:rsidRPr="00FF0BCE">
        <w:rPr>
          <w:rFonts w:cstheme="minorHAnsi"/>
          <w:noProof/>
          <w:color w:val="000000" w:themeColor="text1"/>
        </w:rPr>
        <w:t>(209)</w:t>
      </w:r>
      <w:r w:rsidR="0026358E" w:rsidRPr="00CA4ABC">
        <w:rPr>
          <w:rFonts w:cstheme="minorHAnsi"/>
          <w:color w:val="000000" w:themeColor="text1"/>
        </w:rPr>
        <w:fldChar w:fldCharType="end"/>
      </w:r>
      <w:r w:rsidR="00E87D8F" w:rsidRPr="00CA4ABC">
        <w:rPr>
          <w:rFonts w:cstheme="minorHAnsi"/>
          <w:color w:val="000000" w:themeColor="text1"/>
        </w:rPr>
        <w:t>.</w:t>
      </w:r>
    </w:p>
    <w:p w14:paraId="42930F88" w14:textId="440C33B6" w:rsidR="00507FC8" w:rsidRPr="00CA4ABC" w:rsidRDefault="00507FC8" w:rsidP="004053D7">
      <w:pPr>
        <w:spacing w:line="360" w:lineRule="auto"/>
        <w:rPr>
          <w:rFonts w:cstheme="minorHAnsi"/>
          <w:color w:val="000000" w:themeColor="text1"/>
          <w:shd w:val="clear" w:color="auto" w:fill="FFFFFF"/>
        </w:rPr>
      </w:pPr>
      <w:r w:rsidRPr="00CA4ABC">
        <w:rPr>
          <w:rFonts w:cstheme="minorHAnsi"/>
          <w:color w:val="000000" w:themeColor="text1"/>
          <w:shd w:val="clear" w:color="auto" w:fill="FFFFFF"/>
        </w:rPr>
        <w:t>This evidence supports the rationale for follow</w:t>
      </w:r>
      <w:r w:rsidR="00B9271C" w:rsidRPr="00CA4ABC">
        <w:rPr>
          <w:rFonts w:cstheme="minorHAnsi"/>
          <w:color w:val="000000" w:themeColor="text1"/>
          <w:shd w:val="clear" w:color="auto" w:fill="FFFFFF"/>
        </w:rPr>
        <w:t>-</w:t>
      </w:r>
      <w:r w:rsidRPr="00CA4ABC">
        <w:rPr>
          <w:rFonts w:cstheme="minorHAnsi"/>
          <w:color w:val="000000" w:themeColor="text1"/>
          <w:shd w:val="clear" w:color="auto" w:fill="FFFFFF"/>
        </w:rPr>
        <w:t>up analysis and could explain why the FFQ achieved appropriate levels to suggest validation of ProScreen</w:t>
      </w:r>
      <w:r w:rsidR="008B4D05" w:rsidRPr="00CA4ABC">
        <w:rPr>
          <w:rFonts w:cstheme="minorHAnsi"/>
          <w:color w:val="000000" w:themeColor="text1"/>
          <w:shd w:val="clear" w:color="auto" w:fill="FFFFFF"/>
        </w:rPr>
        <w:t>er</w:t>
      </w:r>
      <w:r w:rsidRPr="00CA4ABC">
        <w:rPr>
          <w:rFonts w:cstheme="minorHAnsi"/>
          <w:color w:val="000000" w:themeColor="text1"/>
          <w:shd w:val="clear" w:color="auto" w:fill="FFFFFF"/>
        </w:rPr>
        <w:t>UK</w:t>
      </w:r>
      <w:r w:rsidR="00B9271C"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whereas the 24-hour recall analysis did not. Overprediction of protein intakes aligns with the follow-up analysis</w:t>
      </w:r>
      <w:r w:rsidR="00B9271C" w:rsidRPr="00CA4ABC">
        <w:rPr>
          <w:rFonts w:cstheme="minorHAnsi"/>
          <w:color w:val="000000" w:themeColor="text1"/>
          <w:shd w:val="clear" w:color="auto" w:fill="FFFFFF"/>
        </w:rPr>
        <w:t>. It</w:t>
      </w:r>
      <w:r w:rsidRPr="00CA4ABC">
        <w:rPr>
          <w:rFonts w:cstheme="minorHAnsi"/>
          <w:color w:val="000000" w:themeColor="text1"/>
          <w:shd w:val="clear" w:color="auto" w:fill="FFFFFF"/>
        </w:rPr>
        <w:t xml:space="preserve"> was found that the screener appears to be more accurate at higher protein intake cut</w:t>
      </w:r>
      <w:r w:rsidR="00BD3AB9" w:rsidRPr="00CA4ABC">
        <w:rPr>
          <w:rFonts w:cstheme="minorHAnsi"/>
          <w:color w:val="000000" w:themeColor="text1"/>
          <w:shd w:val="clear" w:color="auto" w:fill="FFFFFF"/>
        </w:rPr>
        <w:t>-</w:t>
      </w:r>
      <w:r w:rsidRPr="00CA4ABC">
        <w:rPr>
          <w:rFonts w:cstheme="minorHAnsi"/>
          <w:color w:val="000000" w:themeColor="text1"/>
          <w:shd w:val="clear" w:color="auto" w:fill="FFFFFF"/>
        </w:rPr>
        <w:t>offs (i.e. 1.2g/kg BM/d.)</w:t>
      </w:r>
    </w:p>
    <w:p w14:paraId="1EC7A82E" w14:textId="77777777" w:rsidR="00507FC8" w:rsidRPr="00CA4ABC" w:rsidRDefault="00507FC8" w:rsidP="004053D7">
      <w:pPr>
        <w:spacing w:line="360" w:lineRule="auto"/>
        <w:rPr>
          <w:rFonts w:cstheme="minorHAnsi"/>
          <w:color w:val="000000" w:themeColor="text1"/>
          <w:shd w:val="clear" w:color="auto" w:fill="FFFFFF"/>
        </w:rPr>
      </w:pPr>
    </w:p>
    <w:p w14:paraId="6EA36F60" w14:textId="20B42470" w:rsidR="0097391B" w:rsidRDefault="00507FC8" w:rsidP="00AA3F6E">
      <w:pPr>
        <w:pStyle w:val="NoSpacing"/>
        <w:spacing w:line="360" w:lineRule="auto"/>
        <w:rPr>
          <w:rFonts w:cstheme="minorHAnsi"/>
          <w:color w:val="000000" w:themeColor="text1"/>
          <w:shd w:val="clear" w:color="auto" w:fill="FFFFFF" w:themeFill="background1"/>
        </w:rPr>
      </w:pPr>
      <w:r w:rsidRPr="00CA4ABC">
        <w:rPr>
          <w:rFonts w:cstheme="minorHAnsi"/>
          <w:color w:val="000000" w:themeColor="text1"/>
          <w:shd w:val="clear" w:color="auto" w:fill="FFFFFF"/>
        </w:rPr>
        <w:t xml:space="preserve">A </w:t>
      </w:r>
      <w:r w:rsidR="0097391B">
        <w:rPr>
          <w:rFonts w:cstheme="minorHAnsi"/>
          <w:color w:val="000000" w:themeColor="text1"/>
          <w:shd w:val="clear" w:color="auto" w:fill="FFFFFF"/>
        </w:rPr>
        <w:t>fundamental</w:t>
      </w:r>
      <w:r w:rsidRPr="00CA4ABC">
        <w:rPr>
          <w:rFonts w:cstheme="minorHAnsi"/>
          <w:color w:val="000000" w:themeColor="text1"/>
          <w:shd w:val="clear" w:color="auto" w:fill="FFFFFF"/>
        </w:rPr>
        <w:t xml:space="preserve"> limitation of this work is that only one 24-hour recall was collected. Attenuation is used to calculate the effect of</w:t>
      </w:r>
      <w:r w:rsidR="00B9271C" w:rsidRPr="00CA4ABC">
        <w:rPr>
          <w:rFonts w:cstheme="minorHAnsi"/>
          <w:color w:val="000000" w:themeColor="text1"/>
          <w:shd w:val="clear" w:color="auto" w:fill="FFFFFF"/>
        </w:rPr>
        <w:t xml:space="preserve"> the</w:t>
      </w:r>
      <w:r w:rsidRPr="00CA4ABC">
        <w:rPr>
          <w:rFonts w:cstheme="minorHAnsi"/>
          <w:color w:val="000000" w:themeColor="text1"/>
          <w:shd w:val="clear" w:color="auto" w:fill="FFFFFF"/>
        </w:rPr>
        <w:t xml:space="preserve"> error on an instrument for underpredicting risk in a disease model. A higher attenuation factor indicates </w:t>
      </w:r>
      <w:r w:rsidR="00BD3AB9" w:rsidRPr="00CA4ABC">
        <w:rPr>
          <w:rFonts w:cstheme="minorHAnsi"/>
          <w:color w:val="000000" w:themeColor="text1"/>
          <w:shd w:val="clear" w:color="auto" w:fill="FFFFFF"/>
        </w:rPr>
        <w:t xml:space="preserve">a </w:t>
      </w:r>
      <w:r w:rsidRPr="00CA4ABC">
        <w:rPr>
          <w:rFonts w:cstheme="minorHAnsi"/>
          <w:color w:val="000000" w:themeColor="text1"/>
          <w:shd w:val="clear" w:color="auto" w:fill="FFFFFF"/>
        </w:rPr>
        <w:t>lower error risk. When comparisons between a single FFQ and a single 24-hour recall, by calculating attenuation factors of each tool,</w:t>
      </w:r>
      <w:r w:rsidR="009A3968"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t>Schatzkin et al</w:t>
      </w:r>
      <w:r w:rsidR="00B9271C"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w:t>
      </w:r>
      <w:r w:rsidR="00E87D8F" w:rsidRPr="00CA4ABC">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{"citationItems":[{"id":"ITEM-1","itemData":{"DOI":"10.1093/IJE/DYG264","ISSN":"0300-5771","PMID":"14681273","abstract":"Background. Most large cohort studies have used a food frequency questionnaire (FFQ) for assessing dietary intake. Several biomarker studies, however, have cast doubt on whether the FFQ has sufficient precision to allow detection of moderate but important diet-disease associations. We use data from the Observing Protein and Energy Nutrition (OPEN) study to compare the performance of a FFQ with that of a 24-hour recall (24HR). Methods. The OPEN study included 484 healthy volunteer participants (261 men, 223 women) from Montgomery County, Maryland, aged 40-69. Each participant was asked to complete a FFQ and 24HR on two occasions 3 months apart, and a doubly labelled water (DLW) assessment and two 24-hour urine collections during the 2 weeks after the first FFQ and 24HR assessment. For both the FFQ and 24HR and for both men and women, we calculated attenuation factors for absolute energy, absolute protein, and protein density. Results. For absolute energy and protein, a single FFQs attenuation factor is 0.04-0.16. Repeat administrations lead to little improvement (0.08-0.19). Attenuation factors for a single 24HR are 0.10-0.20, but four repeats would yield attenuations of 0.20-0.37. For protein density a single FFQ has an attenuation of 0.3-0.4; for a single 24HR the attenuation factor is 0.15-0.25 but would increase to 0.35-0.50 with four repeats. Conclusions. Because of severe attenuation, the FFQ cannot be recommended as an instrument for evaluating relations between absolute intake of energy or protein and disease. Although this attenuation is lessened in analyses of energy-adjusted protein, it remains substantial for both FFQ and multiple 24HR. The utility of either of these instruments for detecting important but moderate relative risks (between 1.5 and 2.0), even for energy-adjusted dietary factors, is questionable.","author":[{"dropping-particle":"","family":"Schatzkin","given":"Arthur","non-dropping-particle":"","parse-names":false,"suffix":""},{"dropping-particle":"","family":"Kipnis","given":"Victor","non-dropping-particle":"","parse-names":false,"suffix":""},{"dropping-particle":"","family":"Carroll","given":"Raymond J.","non-dropping-particle":"","parse-names":false,"suffix":""},{"dropping-particle":"","family":"Midthune","given":"Douglas","non-dropping-particle":"","parse-names":false,"suffix":""},{"dropping-particle":"","family":"Subar","given":"Amy F.","non-dropping-particle":"","parse-names":false,"suffix":""},{"dropping-particle":"","family":"Bingham","given":"Sheila","non-dropping-particle":"","parse-names":false,"suffix":""},{"dropping-particle":"","family":"Schoeller","given":"Dale A.","non-dropping-particle":"","parse-names":false,"suffix":""},{"dropping-particle":"","family":"Troiano","given":"Richard P.","non-dropping-particle":"","parse-names":false,"suffix":""},{"dropping-particle":"","family":"Freedman","given":"Laurence S.","non-dropping-particle":"","parse-names":false,"suffix":""}],"container-title":"International journal of epidemiology","id":"ITEM-1","issue":"6","issued":{"date-parts":[["2003","12"]]},"page":"1054-1062","publisher":"Int J Epidemiol","title":"A comparison of a food frequency questionnaire with a 24-hour recall for use in an epidemiological cohort study: results from the biomarker-based Observing Protein and Energy Nutrition (OPEN) study","type":"article-journal","volume":"32"},"uris":["http://www.mendeley.com/documents/?uuid=34523b31-c2d3-3123-8398-240b012eb88f"]}],"mendeley":{"formattedCitation":"(190)","plainTextFormattedCitation":"(190)","previouslyFormattedCitation":"(190)"},"properties":{"noteIndex":0},"schema":"https://github.com/citation-style-language/schema/raw/master/csl-citation.json"}</w:instrText>
      </w:r>
      <w:r w:rsidR="00E87D8F" w:rsidRPr="00CA4ABC">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(190)</w:t>
      </w:r>
      <w:r w:rsidR="00E87D8F" w:rsidRPr="00CA4ABC">
        <w:rPr>
          <w:rFonts w:cstheme="minorHAnsi"/>
          <w:color w:val="000000" w:themeColor="text1"/>
          <w:shd w:val="clear" w:color="auto" w:fill="FFFFFF"/>
        </w:rPr>
        <w:fldChar w:fldCharType="end"/>
      </w:r>
      <w:r w:rsidR="00E87D8F"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t>found that</w:t>
      </w:r>
      <w:r w:rsidR="00E87D8F"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for protein </w:t>
      </w:r>
      <w:r w:rsidRPr="00CA4ABC">
        <w:rPr>
          <w:rFonts w:cstheme="minorHAnsi"/>
          <w:color w:val="000000" w:themeColor="text1"/>
          <w:shd w:val="clear" w:color="auto" w:fill="FFFFFF" w:themeFill="background1"/>
        </w:rPr>
        <w:t>density</w:t>
      </w:r>
      <w:r w:rsidR="00E87D8F" w:rsidRPr="00CA4ABC">
        <w:rPr>
          <w:rFonts w:cstheme="minorHAnsi"/>
          <w:color w:val="000000" w:themeColor="text1"/>
          <w:shd w:val="clear" w:color="auto" w:fill="FFFFFF" w:themeFill="background1"/>
        </w:rPr>
        <w:t>,</w:t>
      </w:r>
      <w:r w:rsidRPr="00CA4ABC">
        <w:rPr>
          <w:rFonts w:cstheme="minorHAnsi"/>
          <w:color w:val="000000" w:themeColor="text1"/>
          <w:shd w:val="clear" w:color="auto" w:fill="FFFFFF" w:themeFill="background1"/>
        </w:rPr>
        <w:t xml:space="preserve"> a single FFQ has an attenuation of 0.3–0.4 whereas a single 24HR had an attenuation factor of 0.16–0.23.</w:t>
      </w:r>
      <w:r w:rsidR="009A3968" w:rsidRPr="00CA4ABC">
        <w:rPr>
          <w:rFonts w:cstheme="minorHAnsi"/>
          <w:color w:val="000000" w:themeColor="text1"/>
          <w:shd w:val="clear" w:color="auto" w:fill="FFFFFF" w:themeFill="background1"/>
        </w:rPr>
        <w:t xml:space="preserve"> For this, </w:t>
      </w:r>
      <w:r w:rsidR="009A3968" w:rsidRPr="00CA4ABC">
        <w:rPr>
          <w:rFonts w:cstheme="minorHAnsi"/>
          <w:color w:val="000000" w:themeColor="text1"/>
          <w:shd w:val="clear" w:color="auto" w:fill="FFFFFF"/>
        </w:rPr>
        <w:t>doubly labelled water protocols were used as the reference instrument.</w:t>
      </w:r>
      <w:r w:rsidR="009A3968" w:rsidRPr="00CA4ABC">
        <w:rPr>
          <w:rFonts w:cstheme="minorHAnsi"/>
          <w:color w:val="000000" w:themeColor="text1"/>
          <w:shd w:val="clear" w:color="auto" w:fill="FFFFFF" w:themeFill="background1"/>
        </w:rPr>
        <w:t xml:space="preserve"> </w:t>
      </w:r>
      <w:r w:rsidRPr="00CA4ABC">
        <w:rPr>
          <w:rFonts w:cstheme="minorHAnsi"/>
          <w:color w:val="000000" w:themeColor="text1"/>
          <w:shd w:val="clear" w:color="auto" w:fill="FFFFFF" w:themeFill="background1"/>
        </w:rPr>
        <w:t xml:space="preserve">This information </w:t>
      </w:r>
      <w:r w:rsidR="00E87D8F" w:rsidRPr="00CA4ABC">
        <w:rPr>
          <w:rFonts w:cstheme="minorHAnsi"/>
          <w:color w:val="000000" w:themeColor="text1"/>
          <w:shd w:val="clear" w:color="auto" w:fill="FFFFFF" w:themeFill="background1"/>
        </w:rPr>
        <w:t xml:space="preserve">conflicts </w:t>
      </w:r>
      <w:r w:rsidR="00B9271C" w:rsidRPr="00CA4ABC">
        <w:rPr>
          <w:rFonts w:cstheme="minorHAnsi"/>
          <w:color w:val="000000" w:themeColor="text1"/>
          <w:shd w:val="clear" w:color="auto" w:fill="FFFFFF" w:themeFill="background1"/>
        </w:rPr>
        <w:t xml:space="preserve">with </w:t>
      </w:r>
      <w:r w:rsidR="00E87D8F" w:rsidRPr="00CA4ABC">
        <w:rPr>
          <w:rFonts w:cstheme="minorHAnsi"/>
          <w:color w:val="000000" w:themeColor="text1"/>
          <w:shd w:val="clear" w:color="auto" w:fill="FFFFFF" w:themeFill="background1"/>
        </w:rPr>
        <w:t>previous conclusions, instead</w:t>
      </w:r>
      <w:r w:rsidRPr="00CA4ABC">
        <w:rPr>
          <w:rFonts w:cstheme="minorHAnsi"/>
          <w:color w:val="000000" w:themeColor="text1"/>
          <w:shd w:val="clear" w:color="auto" w:fill="FFFFFF" w:themeFill="background1"/>
        </w:rPr>
        <w:t xml:space="preserve"> support</w:t>
      </w:r>
      <w:r w:rsidR="00E87D8F" w:rsidRPr="00CA4ABC">
        <w:rPr>
          <w:rFonts w:cstheme="minorHAnsi"/>
          <w:color w:val="000000" w:themeColor="text1"/>
          <w:shd w:val="clear" w:color="auto" w:fill="FFFFFF" w:themeFill="background1"/>
        </w:rPr>
        <w:t>ing</w:t>
      </w:r>
      <w:r w:rsidRPr="00CA4ABC">
        <w:rPr>
          <w:rFonts w:cstheme="minorHAnsi"/>
          <w:color w:val="000000" w:themeColor="text1"/>
          <w:shd w:val="clear" w:color="auto" w:fill="FFFFFF" w:themeFill="background1"/>
        </w:rPr>
        <w:t xml:space="preserve"> </w:t>
      </w:r>
      <w:r w:rsidR="00E87D8F" w:rsidRPr="00CA4ABC">
        <w:rPr>
          <w:rFonts w:cstheme="minorHAnsi"/>
          <w:color w:val="000000" w:themeColor="text1"/>
          <w:shd w:val="clear" w:color="auto" w:fill="FFFFFF" w:themeFill="background1"/>
        </w:rPr>
        <w:t>a single</w:t>
      </w:r>
      <w:r w:rsidRPr="00CA4ABC">
        <w:rPr>
          <w:rFonts w:cstheme="minorHAnsi"/>
          <w:color w:val="000000" w:themeColor="text1"/>
          <w:shd w:val="clear" w:color="auto" w:fill="FFFFFF" w:themeFill="background1"/>
        </w:rPr>
        <w:t xml:space="preserve"> FFQ </w:t>
      </w:r>
      <w:r w:rsidR="00E87D8F" w:rsidRPr="00CA4ABC">
        <w:rPr>
          <w:rFonts w:cstheme="minorHAnsi"/>
          <w:color w:val="000000" w:themeColor="text1"/>
          <w:shd w:val="clear" w:color="auto" w:fill="FFFFFF" w:themeFill="background1"/>
        </w:rPr>
        <w:t>being more</w:t>
      </w:r>
      <w:r w:rsidRPr="00CA4ABC">
        <w:rPr>
          <w:rFonts w:cstheme="minorHAnsi"/>
          <w:color w:val="000000" w:themeColor="text1"/>
          <w:shd w:val="clear" w:color="auto" w:fill="FFFFFF" w:themeFill="background1"/>
        </w:rPr>
        <w:t xml:space="preserve"> comprehensive than one single 24-hour recall without collecting multiple </w:t>
      </w:r>
      <w:r w:rsidR="0020011F" w:rsidRPr="00CA4ABC">
        <w:rPr>
          <w:rFonts w:cstheme="minorHAnsi"/>
          <w:color w:val="000000" w:themeColor="text1"/>
          <w:shd w:val="clear" w:color="auto" w:fill="FFFFFF" w:themeFill="background1"/>
        </w:rPr>
        <w:t>recalls</w:t>
      </w:r>
      <w:r w:rsidRPr="00CA4ABC">
        <w:rPr>
          <w:rFonts w:cstheme="minorHAnsi"/>
          <w:color w:val="000000" w:themeColor="text1"/>
          <w:shd w:val="clear" w:color="auto" w:fill="FFFFFF" w:themeFill="background1"/>
        </w:rPr>
        <w:t>.</w:t>
      </w:r>
    </w:p>
    <w:p w14:paraId="43FA5E32" w14:textId="2AA075B4" w:rsidR="00507FC8" w:rsidRPr="00CA4ABC" w:rsidRDefault="00E87D8F" w:rsidP="00AA3F6E">
      <w:pPr>
        <w:pStyle w:val="NoSpacing"/>
        <w:spacing w:line="360" w:lineRule="auto"/>
        <w:rPr>
          <w:rFonts w:cstheme="minorHAnsi"/>
          <w:color w:val="000000" w:themeColor="text1"/>
          <w:shd w:val="clear" w:color="auto" w:fill="FFFFFF"/>
        </w:rPr>
      </w:pPr>
      <w:r w:rsidRPr="00CA4ABC">
        <w:rPr>
          <w:rFonts w:cstheme="minorHAnsi"/>
          <w:color w:val="000000" w:themeColor="text1"/>
          <w:shd w:val="clear" w:color="auto" w:fill="FFFFFF" w:themeFill="background1"/>
        </w:rPr>
        <w:t>A</w:t>
      </w:r>
      <w:r w:rsidR="00507FC8" w:rsidRPr="00CA4ABC">
        <w:rPr>
          <w:rFonts w:cstheme="minorHAnsi"/>
          <w:color w:val="000000" w:themeColor="text1"/>
          <w:shd w:val="clear" w:color="auto" w:fill="FFFFFF" w:themeFill="background1"/>
        </w:rPr>
        <w:t xml:space="preserve">ttenuation rates for 24-hour recalls </w:t>
      </w:r>
      <w:r w:rsidRPr="00CA4ABC">
        <w:rPr>
          <w:rFonts w:cstheme="minorHAnsi"/>
          <w:color w:val="000000" w:themeColor="text1"/>
          <w:shd w:val="clear" w:color="auto" w:fill="FFFFFF" w:themeFill="background1"/>
        </w:rPr>
        <w:t>rose to</w:t>
      </w:r>
      <w:r w:rsidR="00507FC8" w:rsidRPr="00CA4ABC">
        <w:rPr>
          <w:rFonts w:cstheme="minorHAnsi"/>
          <w:color w:val="000000" w:themeColor="text1"/>
          <w:shd w:val="clear" w:color="auto" w:fill="FFFFFF" w:themeFill="background1"/>
        </w:rPr>
        <w:t xml:space="preserve"> 0.4–0.5 with four repeats</w:t>
      </w:r>
      <w:r w:rsidRPr="00CA4ABC">
        <w:rPr>
          <w:rFonts w:cstheme="minorHAnsi"/>
          <w:color w:val="000000" w:themeColor="text1"/>
          <w:shd w:val="clear" w:color="auto" w:fill="FFFFFF" w:themeFill="background1"/>
        </w:rPr>
        <w:t xml:space="preserve"> </w:t>
      </w:r>
      <w:r w:rsidRPr="00CA4ABC">
        <w:rPr>
          <w:rFonts w:cstheme="minorHAnsi"/>
          <w:color w:val="000000" w:themeColor="text1"/>
          <w:shd w:val="clear" w:color="auto" w:fill="FFFFFF" w:themeFill="background1"/>
        </w:rPr>
        <w:fldChar w:fldCharType="begin" w:fldLock="1"/>
      </w:r>
      <w:r w:rsidR="00E86F8C">
        <w:rPr>
          <w:rFonts w:cstheme="minorHAnsi"/>
          <w:color w:val="000000" w:themeColor="text1"/>
          <w:shd w:val="clear" w:color="auto" w:fill="FFFFFF" w:themeFill="background1"/>
        </w:rPr>
        <w:instrText>ADDIN CSL_CITATION {"citationItems":[{"id":"ITEM-1","itemData":{"DOI":"10.1093/IJE/DYG264","ISSN":"0300-5771","PMID":"14681273","abstract":"Background. Most large cohort studies have used a food frequency questionnaire (FFQ) for assessing dietary intake. Several biomarker studies, however, have cast doubt on whether the FFQ has sufficient precision to allow detection of moderate but important diet-disease associations. We use data from the Observing Protein and Energy Nutrition (OPEN) study to compare the performance of a FFQ with that of a 24-hour recall (24HR). Methods. The OPEN study included 484 healthy volunteer participants (261 men, 223 women) from Montgomery County, Maryland, aged 40-69. Each participant was asked to complete a FFQ and 24HR on two occasions 3 months apart, and a doubly labelled water (DLW) assessment and two 24-hour urine collections during the 2 weeks after the first FFQ and 24HR assessment. For both the FFQ and 24HR and for both men and women, we calculated attenuation factors for absolute energy, absolute protein, and protein density. Results. For absolute energy and protein, a single FFQs attenuation factor is 0.04-0.16. Repeat administrations lead to little improvement (0.08-0.19). Attenuation factors for a single 24HR are 0.10-0.20, but four repeats would yield attenuations of 0.20-0.37. For protein density a single FFQ has an attenuation of 0.3-0.4; for a single 24HR the attenuation factor is 0.15-0.25 but would increase to 0.35-0.50 with four repeats. Conclusions. Because of severe attenuation, the FFQ cannot be recommended as an instrument for evaluating relations between absolute intake of energy or protein and disease. Although this attenuation is lessened in analyses of energy-adjusted protein, it remains substantial for both FFQ and multiple 24HR. The utility of either of these instruments for detecting important but moderate relative risks (between 1.5 and 2.0), even for energy-adjusted dietary factors, is questionable.","author":[{"dropping-particle":"","family":"Schatzkin","given":"Arthur","non-dropping-particle":"","parse-names":false,"suffix":""},{"dropping-particle":"","family":"Kipnis","given":"Victor","non-dropping-particle":"","parse-names":false,"suffix":""},{"dropping-particle":"","family":"Carroll","given":"Raymond J.","non-dropping-particle":"","parse-names":false,"suffix":""},{"dropping-particle":"","family":"Midthune","given":"Douglas","non-dropping-particle":"","parse-names":false,"suffix":""},{"dropping-particle":"","family":"Subar","given":"Amy F.","non-dropping-particle":"","parse-names":false,"suffix":""},{"dropping-particle":"","family":"Bingham","given":"Sheila","non-dropping-particle":"","parse-names":false,"suffix":""},{"dropping-particle":"","family":"Schoeller","given":"Dale A.","non-dropping-particle":"","parse-names":false,"suffix":""},{"dropping-particle":"","family":"Troiano","given":"Richard P.","non-dropping-particle":"","parse-names":false,"suffix":""},{"dropping-particle":"","family":"Freedman","given":"Laurence S.","non-dropping-particle":"","parse-names":false,"suffix":""}],"container-title":"International journal of epidemiology","id":"ITEM-1","issue":"6","issued":{"date-parts":[["2003","12"]]},"page":"1054-1062","publisher":"Int J Epidemiol","title":"A comparison of a food frequency questionnaire with a 24-hour recall for use in an epidemiological cohort study: results from the biomarker-based Observing Protein and Energy Nutrition (OPEN) study","type":"article-journal","volume":"32"},"uris":["http://www.mendeley.com/documents/?uuid=34523b31-c2d3-3123-8398-240b012eb88f"]}],"mendeley":{"formattedCitation":"(190)","plainTextFormattedCitation":"(190)","previouslyFormattedCitation":"(190)"},"properties":{"noteIndex":0},"schema":"https://github.com/citation-style-language/schema/raw/master/csl-citation.json"}</w:instrText>
      </w:r>
      <w:r w:rsidRPr="00CA4ABC">
        <w:rPr>
          <w:rFonts w:cstheme="minorHAnsi"/>
          <w:color w:val="000000" w:themeColor="text1"/>
          <w:shd w:val="clear" w:color="auto" w:fill="FFFFFF" w:themeFill="background1"/>
        </w:rPr>
        <w:fldChar w:fldCharType="separate"/>
      </w:r>
      <w:r w:rsidR="00057AE3" w:rsidRPr="00057AE3">
        <w:rPr>
          <w:rFonts w:cstheme="minorHAnsi"/>
          <w:noProof/>
          <w:color w:val="000000" w:themeColor="text1"/>
          <w:shd w:val="clear" w:color="auto" w:fill="FFFFFF" w:themeFill="background1"/>
        </w:rPr>
        <w:t>(190)</w:t>
      </w:r>
      <w:r w:rsidRPr="00CA4ABC">
        <w:rPr>
          <w:rFonts w:cstheme="minorHAnsi"/>
          <w:color w:val="000000" w:themeColor="text1"/>
          <w:shd w:val="clear" w:color="auto" w:fill="FFFFFF" w:themeFill="background1"/>
        </w:rPr>
        <w:fldChar w:fldCharType="end"/>
      </w:r>
      <w:r w:rsidRPr="00CA4ABC">
        <w:rPr>
          <w:rFonts w:cstheme="minorHAnsi"/>
          <w:color w:val="000000" w:themeColor="text1"/>
          <w:shd w:val="clear" w:color="auto" w:fill="FFFFFF" w:themeFill="background1"/>
        </w:rPr>
        <w:t>, providing further evidence to highlight the importance of multiple recalls</w:t>
      </w:r>
      <w:r w:rsidR="00507FC8" w:rsidRPr="00CA4ABC">
        <w:rPr>
          <w:rFonts w:cstheme="minorHAnsi"/>
          <w:color w:val="000000" w:themeColor="text1"/>
          <w:shd w:val="clear" w:color="auto" w:fill="FFFFFF" w:themeFill="background1"/>
        </w:rPr>
        <w:t>.</w:t>
      </w:r>
      <w:r w:rsidR="00507FC8" w:rsidRPr="00CA4ABC">
        <w:rPr>
          <w:rFonts w:cstheme="minorHAnsi"/>
          <w:color w:val="000000" w:themeColor="text1"/>
          <w:shd w:val="clear" w:color="auto" w:fill="FFFFFF"/>
        </w:rPr>
        <w:t xml:space="preserve"> </w:t>
      </w:r>
      <w:r w:rsidR="00507FC8" w:rsidRPr="00CA4ABC">
        <w:rPr>
          <w:rFonts w:cstheme="minorHAnsi"/>
          <w:color w:val="000000" w:themeColor="text1"/>
        </w:rPr>
        <w:t xml:space="preserve">It was the intention to collect </w:t>
      </w:r>
      <w:r w:rsidR="0097391B">
        <w:rPr>
          <w:rFonts w:cstheme="minorHAnsi"/>
          <w:color w:val="000000" w:themeColor="text1"/>
        </w:rPr>
        <w:t>numerous</w:t>
      </w:r>
      <w:r w:rsidR="00507FC8" w:rsidRPr="00CA4ABC">
        <w:rPr>
          <w:rFonts w:cstheme="minorHAnsi"/>
          <w:color w:val="000000" w:themeColor="text1"/>
        </w:rPr>
        <w:t xml:space="preserve"> 24-hour recalls</w:t>
      </w:r>
      <w:r w:rsidR="00BD3AB9" w:rsidRPr="00CA4ABC">
        <w:rPr>
          <w:rFonts w:cstheme="minorHAnsi"/>
          <w:color w:val="000000" w:themeColor="text1"/>
        </w:rPr>
        <w:t>. H</w:t>
      </w:r>
      <w:r w:rsidR="00507FC8" w:rsidRPr="00CA4ABC">
        <w:rPr>
          <w:rFonts w:cstheme="minorHAnsi"/>
          <w:color w:val="000000" w:themeColor="text1"/>
        </w:rPr>
        <w:t>owever</w:t>
      </w:r>
      <w:r w:rsidR="002B2043" w:rsidRPr="00CA4ABC">
        <w:rPr>
          <w:rFonts w:cstheme="minorHAnsi"/>
          <w:color w:val="000000" w:themeColor="text1"/>
        </w:rPr>
        <w:t>,</w:t>
      </w:r>
      <w:r w:rsidR="00507FC8" w:rsidRPr="00CA4ABC">
        <w:rPr>
          <w:rFonts w:cstheme="minorHAnsi"/>
          <w:color w:val="000000" w:themeColor="text1"/>
          <w:shd w:val="clear" w:color="auto" w:fill="FFFFFF"/>
        </w:rPr>
        <w:t xml:space="preserve"> large dropout rates</w:t>
      </w:r>
      <w:r w:rsidRPr="00CA4ABC">
        <w:rPr>
          <w:rFonts w:cstheme="minorHAnsi"/>
          <w:color w:val="000000" w:themeColor="text1"/>
          <w:shd w:val="clear" w:color="auto" w:fill="FFFFFF"/>
        </w:rPr>
        <w:t xml:space="preserve"> were</w:t>
      </w:r>
      <w:r w:rsidR="00507FC8" w:rsidRPr="00CA4ABC">
        <w:rPr>
          <w:rFonts w:cstheme="minorHAnsi"/>
          <w:color w:val="000000" w:themeColor="text1"/>
          <w:shd w:val="clear" w:color="auto" w:fill="FFFFFF"/>
        </w:rPr>
        <w:t xml:space="preserve"> observed between part one and part two of the survey</w:t>
      </w:r>
      <w:r w:rsidRPr="00CA4ABC">
        <w:rPr>
          <w:rFonts w:cstheme="minorHAnsi"/>
          <w:color w:val="000000" w:themeColor="text1"/>
          <w:shd w:val="clear" w:color="auto" w:fill="FFFFFF"/>
        </w:rPr>
        <w:t xml:space="preserve">. It </w:t>
      </w:r>
      <w:r w:rsidR="00507FC8" w:rsidRPr="00CA4ABC">
        <w:rPr>
          <w:rFonts w:cstheme="minorHAnsi"/>
          <w:color w:val="000000" w:themeColor="text1"/>
        </w:rPr>
        <w:t>was</w:t>
      </w:r>
      <w:r w:rsidRPr="00CA4ABC">
        <w:rPr>
          <w:rFonts w:cstheme="minorHAnsi"/>
          <w:color w:val="000000" w:themeColor="text1"/>
        </w:rPr>
        <w:t>, therefore,</w:t>
      </w:r>
      <w:r w:rsidR="00507FC8" w:rsidRPr="00CA4ABC">
        <w:rPr>
          <w:rFonts w:cstheme="minorHAnsi"/>
          <w:color w:val="000000" w:themeColor="text1"/>
        </w:rPr>
        <w:t xml:space="preserve"> anticipated that dropout rates would be too high to meet participant recruitment targets</w:t>
      </w:r>
      <w:r w:rsidR="00507FC8" w:rsidRPr="00CA4ABC">
        <w:rPr>
          <w:rFonts w:cstheme="minorHAnsi"/>
          <w:color w:val="000000" w:themeColor="text1"/>
          <w:shd w:val="clear" w:color="auto" w:fill="FFFFFF"/>
        </w:rPr>
        <w:t xml:space="preserve"> and </w:t>
      </w:r>
      <w:r w:rsidRPr="00CA4ABC">
        <w:rPr>
          <w:rFonts w:cstheme="minorHAnsi"/>
          <w:color w:val="000000" w:themeColor="text1"/>
          <w:shd w:val="clear" w:color="auto" w:fill="FFFFFF"/>
        </w:rPr>
        <w:t xml:space="preserve">would </w:t>
      </w:r>
      <w:r w:rsidR="00507FC8" w:rsidRPr="00CA4ABC">
        <w:rPr>
          <w:rFonts w:cstheme="minorHAnsi"/>
          <w:color w:val="000000" w:themeColor="text1"/>
          <w:shd w:val="clear" w:color="auto" w:fill="FFFFFF"/>
        </w:rPr>
        <w:t>limit data collection.</w:t>
      </w:r>
      <w:r w:rsidR="00AA3F6E" w:rsidRPr="00CA4ABC">
        <w:rPr>
          <w:rFonts w:cstheme="minorHAnsi"/>
          <w:color w:val="000000" w:themeColor="text1"/>
          <w:shd w:val="clear" w:color="auto" w:fill="FFFFFF"/>
        </w:rPr>
        <w:t xml:space="preserve"> </w:t>
      </w:r>
      <w:r w:rsidR="00507FC8" w:rsidRPr="00CA4ABC">
        <w:rPr>
          <w:rFonts w:cstheme="minorHAnsi"/>
          <w:color w:val="000000" w:themeColor="text1"/>
          <w:shd w:val="clear" w:color="auto" w:fill="FFFFFF"/>
        </w:rPr>
        <w:t>Sabir et al</w:t>
      </w:r>
      <w:r w:rsidR="002B2043"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{"citationItems":[{"id":"ITEM-1","itemData":{"DOI":"10.1017/JNS.2022.97","ISSN":"2048-6790","abstract":"All dietary assessment methods inevitably introduce measurement errors, which should ideally be considered during data analysis and interpretation. Methodological studies should be conducted to address how well a given assessment method captures dietary intake and to highlight the extent and direction of the measurement error. Within a subgroup of the Hordaland Health Study (HUSK3), we examined the relative validity of a web-based food frequency questionnaire (WebFFQ) by comparing its estimates of mean daily intake of nutrients and foods with estimated mean daily intakes from repeated administrations of 24-hour dietary recall interviews (24-HDRs). Men and women born between 1950 and 1951 were recruited from HUSK3. The participants (n = 67) completed a WebFFQ and three non-consecutive 24-HDRs over the course of a year. Relative validity was assessed using Spearman's rank correlation, crosstab analysis and Bland–Altman plots. Linear regression models were used to compute the calibration coefficients. The estimated correlation coefficients were acceptable or strong for all nutrients and foods except iodine (rs = 0</w:instrText>
      </w:r>
      <w:r w:rsidR="00821D82">
        <w:rPr>
          <w:rFonts w:ascii="Cambria Math" w:hAnsi="Cambria Math" w:cs="Cambria Math"/>
          <w:color w:val="000000" w:themeColor="text1"/>
          <w:shd w:val="clear" w:color="auto" w:fill="FFFFFF"/>
        </w:rPr>
        <w:instrText>⋅</w:instrText>
      </w:r>
      <w:r w:rsidR="00821D82">
        <w:rPr>
          <w:rFonts w:cstheme="minorHAnsi"/>
          <w:color w:val="000000" w:themeColor="text1"/>
          <w:shd w:val="clear" w:color="auto" w:fill="FFFFFF"/>
        </w:rPr>
        <w:instrText>19). The highest correlation coefficient was found for juice (rs = 0</w:instrText>
      </w:r>
      <w:r w:rsidR="00821D82">
        <w:rPr>
          <w:rFonts w:ascii="Cambria Math" w:hAnsi="Cambria Math" w:cs="Cambria Math"/>
          <w:color w:val="000000" w:themeColor="text1"/>
          <w:shd w:val="clear" w:color="auto" w:fill="FFFFFF"/>
        </w:rPr>
        <w:instrText>⋅</w:instrText>
      </w:r>
      <w:r w:rsidR="00821D82">
        <w:rPr>
          <w:rFonts w:cstheme="minorHAnsi"/>
          <w:color w:val="000000" w:themeColor="text1"/>
          <w:shd w:val="clear" w:color="auto" w:fill="FFFFFF"/>
        </w:rPr>
        <w:instrText>71), whereas the lowest correlation coefficient was found for iodine (rs = 0</w:instrText>
      </w:r>
      <w:r w:rsidR="00821D82">
        <w:rPr>
          <w:rFonts w:ascii="Cambria Math" w:hAnsi="Cambria Math" w:cs="Cambria Math"/>
          <w:color w:val="000000" w:themeColor="text1"/>
          <w:shd w:val="clear" w:color="auto" w:fill="FFFFFF"/>
        </w:rPr>
        <w:instrText>⋅</w:instrText>
      </w:r>
      <w:r w:rsidR="00821D82">
        <w:rPr>
          <w:rFonts w:cstheme="minorHAnsi"/>
          <w:color w:val="000000" w:themeColor="text1"/>
          <w:shd w:val="clear" w:color="auto" w:fill="FFFFFF"/>
        </w:rPr>
        <w:instrText>19). Cross-classification by quartiles categorised more than 72 % of the participants into the same or adjacent quartiles using the two methods. Few data points fell outside the limits of agreement in the Bland–Altman plots. Calibration coefficients ranged from 0</w:instrText>
      </w:r>
      <w:r w:rsidR="00821D82">
        <w:rPr>
          <w:rFonts w:ascii="Cambria Math" w:hAnsi="Cambria Math" w:cs="Cambria Math"/>
          <w:color w:val="000000" w:themeColor="text1"/>
          <w:shd w:val="clear" w:color="auto" w:fill="FFFFFF"/>
        </w:rPr>
        <w:instrText>⋅</w:instrText>
      </w:r>
      <w:r w:rsidR="00821D82">
        <w:rPr>
          <w:rFonts w:cstheme="minorHAnsi"/>
          <w:color w:val="000000" w:themeColor="text1"/>
          <w:shd w:val="clear" w:color="auto" w:fill="FFFFFF"/>
        </w:rPr>
        <w:instrText>10 (wholegrain) to 0</w:instrText>
      </w:r>
      <w:r w:rsidR="00821D82">
        <w:rPr>
          <w:rFonts w:ascii="Cambria Math" w:hAnsi="Cambria Math" w:cs="Cambria Math"/>
          <w:color w:val="000000" w:themeColor="text1"/>
          <w:shd w:val="clear" w:color="auto" w:fill="FFFFFF"/>
        </w:rPr>
        <w:instrText>⋅</w:instrText>
      </w:r>
      <w:r w:rsidR="00821D82">
        <w:rPr>
          <w:rFonts w:cstheme="minorHAnsi"/>
          <w:color w:val="000000" w:themeColor="text1"/>
          <w:shd w:val="clear" w:color="auto" w:fill="FFFFFF"/>
        </w:rPr>
        <w:instrText>81 (alcohol). Our findings suggest that the WebFFQ has reasonable ranking abilities for all the included nutrients and foods, except for iodine.","author":[{"dropping-particle":"","family":"Sabir","given":"Zoya","non-dropping-particle":"","parse-names":false,"suffix":""},{"dropping-particle":"","family":"Rosendahl-Riise","given":"Hanne","non-dropping-particle":"","parse-names":false,"suffix":""},{"dropping-particle":"","family":"Dierkes","given":"Jutta","non-dropping-particle":"","parse-names":false,"suffix":""},{"dropping-particle":"","family":"Dahl","given":"Helene","non-dropping-particle":"","parse-names":false,"suffix":""},{"dropping-particle":"","family":"Hjartåker","given":"Anette","non-dropping-particle":"","parse-names":false,"suffix":""}],"container-title":"Journal of Nutritional Science","id":"ITEM-1","issued":{"date-parts":[["2022","11","4"]]},"page":"e98","publisher":"Cambridge University Press","title":"Comparison of dietary intake measured by a web-based FFQ and repeated 24-hour dietary recalls: the Hordaland Health Study","type":"article-journal","volume":"11"},"uris":["http://www.mendeley.com/documents/?uuid=9164187f-5263-39f3-ad9f-f38577be9c10"]}],"mendeley":{"formattedCitation":"(207)","plainTextFormattedCitation":"(207)","previouslyFormattedCitation":"(207)"},"properties":{"noteIndex":0},"schema":"https://github.com/citation-style-language/schema/raw/master/csl-citation.json"}</w:instrText>
      </w:r>
      <w:r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(207)</w:t>
      </w:r>
      <w:r w:rsidRPr="00CA4ABC">
        <w:rPr>
          <w:rFonts w:cstheme="minorHAnsi"/>
          <w:color w:val="000000" w:themeColor="text1"/>
          <w:shd w:val="clear" w:color="auto" w:fill="FFFFFF"/>
        </w:rPr>
        <w:fldChar w:fldCharType="end"/>
      </w:r>
      <w:r w:rsidR="00507FC8" w:rsidRPr="00CA4ABC">
        <w:rPr>
          <w:rFonts w:cstheme="minorHAnsi"/>
          <w:color w:val="000000" w:themeColor="text1"/>
          <w:shd w:val="clear" w:color="auto" w:fill="FFFFFF"/>
        </w:rPr>
        <w:t xml:space="preserve"> collected multiple pass recalls, </w:t>
      </w:r>
      <w:r w:rsidR="002B2043" w:rsidRPr="00CA4ABC">
        <w:rPr>
          <w:rFonts w:cstheme="minorHAnsi"/>
          <w:color w:val="000000" w:themeColor="text1"/>
          <w:shd w:val="clear" w:color="auto" w:fill="FFFFFF"/>
        </w:rPr>
        <w:t>increasing the data's accuracy</w:t>
      </w:r>
      <w:r w:rsidR="00507FC8" w:rsidRPr="00CA4ABC">
        <w:rPr>
          <w:rFonts w:cstheme="minorHAnsi"/>
          <w:color w:val="000000" w:themeColor="text1"/>
          <w:shd w:val="clear" w:color="auto" w:fill="FFFFFF"/>
        </w:rPr>
        <w:t xml:space="preserve">. </w:t>
      </w:r>
      <w:r w:rsidR="002B2043" w:rsidRPr="00CA4ABC">
        <w:rPr>
          <w:rFonts w:cstheme="minorHAnsi"/>
          <w:color w:val="000000" w:themeColor="text1"/>
          <w:shd w:val="clear" w:color="auto" w:fill="FFFFFF"/>
        </w:rPr>
        <w:t>However, drop-off rates were</w:t>
      </w:r>
      <w:r w:rsidR="00507FC8" w:rsidRPr="00CA4ABC">
        <w:rPr>
          <w:rFonts w:cstheme="minorHAnsi"/>
          <w:color w:val="000000" w:themeColor="text1"/>
          <w:shd w:val="clear" w:color="auto" w:fill="FFFFFF"/>
        </w:rPr>
        <w:t xml:space="preserve"> observed between </w:t>
      </w:r>
      <w:r w:rsidR="009A3968" w:rsidRPr="00CA4ABC">
        <w:rPr>
          <w:rFonts w:cstheme="minorHAnsi"/>
          <w:color w:val="000000" w:themeColor="text1"/>
          <w:shd w:val="clear" w:color="auto" w:fill="FFFFFF"/>
        </w:rPr>
        <w:t>the</w:t>
      </w:r>
      <w:r w:rsidR="002B2043" w:rsidRPr="00CA4ABC">
        <w:rPr>
          <w:rFonts w:cstheme="minorHAnsi"/>
          <w:color w:val="000000" w:themeColor="text1"/>
          <w:shd w:val="clear" w:color="auto" w:fill="FFFFFF"/>
        </w:rPr>
        <w:t xml:space="preserve"> first, second and third recalls</w:t>
      </w:r>
      <w:r w:rsidR="00507FC8" w:rsidRPr="00CA4ABC">
        <w:rPr>
          <w:rFonts w:cstheme="minorHAnsi"/>
          <w:color w:val="000000" w:themeColor="text1"/>
          <w:shd w:val="clear" w:color="auto" w:fill="FFFFFF"/>
        </w:rPr>
        <w:t>, achieving 175, 121 and 67, respectively. As such</w:t>
      </w:r>
      <w:r w:rsidR="002B2043" w:rsidRPr="00CA4ABC">
        <w:rPr>
          <w:rFonts w:cstheme="minorHAnsi"/>
          <w:color w:val="000000" w:themeColor="text1"/>
          <w:shd w:val="clear" w:color="auto" w:fill="FFFFFF"/>
        </w:rPr>
        <w:t>,</w:t>
      </w:r>
      <w:r w:rsidR="00507FC8" w:rsidRPr="00CA4ABC">
        <w:rPr>
          <w:rFonts w:cstheme="minorHAnsi"/>
          <w:color w:val="000000" w:themeColor="text1"/>
          <w:shd w:val="clear" w:color="auto" w:fill="FFFFFF"/>
        </w:rPr>
        <w:t xml:space="preserve"> their participant numbers were a lot lower than those collected in our research. Pragmatism is often needed when </w:t>
      </w:r>
      <w:r w:rsidR="002B2043" w:rsidRPr="00CA4ABC">
        <w:rPr>
          <w:rFonts w:cstheme="minorHAnsi"/>
          <w:color w:val="000000" w:themeColor="text1"/>
          <w:shd w:val="clear" w:color="auto" w:fill="FFFFFF"/>
        </w:rPr>
        <w:t>deciding</w:t>
      </w:r>
      <w:r w:rsidR="00507FC8" w:rsidRPr="00CA4ABC">
        <w:rPr>
          <w:rFonts w:cstheme="minorHAnsi"/>
          <w:color w:val="000000" w:themeColor="text1"/>
          <w:shd w:val="clear" w:color="auto" w:fill="FFFFFF"/>
        </w:rPr>
        <w:t xml:space="preserve"> whether to prioritise participant </w:t>
      </w:r>
      <w:r w:rsidR="00507FC8" w:rsidRPr="00CA4ABC">
        <w:rPr>
          <w:rFonts w:cstheme="minorHAnsi"/>
          <w:color w:val="000000" w:themeColor="text1"/>
          <w:shd w:val="clear" w:color="auto" w:fill="FFFFFF"/>
        </w:rPr>
        <w:lastRenderedPageBreak/>
        <w:t xml:space="preserve">responses or </w:t>
      </w:r>
      <w:r w:rsidR="002B2043" w:rsidRPr="00CA4ABC">
        <w:rPr>
          <w:rFonts w:cstheme="minorHAnsi"/>
          <w:color w:val="000000" w:themeColor="text1"/>
          <w:shd w:val="clear" w:color="auto" w:fill="FFFFFF"/>
        </w:rPr>
        <w:t xml:space="preserve">the </w:t>
      </w:r>
      <w:r w:rsidR="00507FC8" w:rsidRPr="00CA4ABC">
        <w:rPr>
          <w:rFonts w:cstheme="minorHAnsi"/>
          <w:color w:val="000000" w:themeColor="text1"/>
          <w:shd w:val="clear" w:color="auto" w:fill="FFFFFF"/>
        </w:rPr>
        <w:t xml:space="preserve">number of recalls. </w:t>
      </w:r>
      <w:r w:rsidR="00507FC8" w:rsidRPr="00CA4ABC">
        <w:rPr>
          <w:rFonts w:cstheme="minorHAnsi"/>
          <w:color w:val="000000" w:themeColor="text1"/>
        </w:rPr>
        <w:t>Telephone follow</w:t>
      </w:r>
      <w:r w:rsidR="00BD3AB9" w:rsidRPr="00CA4ABC">
        <w:rPr>
          <w:rFonts w:cstheme="minorHAnsi"/>
          <w:color w:val="000000" w:themeColor="text1"/>
        </w:rPr>
        <w:t>-</w:t>
      </w:r>
      <w:r w:rsidR="00507FC8" w:rsidRPr="00CA4ABC">
        <w:rPr>
          <w:rFonts w:cstheme="minorHAnsi"/>
          <w:color w:val="000000" w:themeColor="text1"/>
        </w:rPr>
        <w:t>up calls may be one way to increase participant data collection</w:t>
      </w:r>
      <w:r w:rsidR="002B2043" w:rsidRPr="00CA4ABC">
        <w:rPr>
          <w:rFonts w:cstheme="minorHAnsi"/>
          <w:color w:val="000000" w:themeColor="text1"/>
        </w:rPr>
        <w:t>; however</w:t>
      </w:r>
      <w:r w:rsidR="00507FC8" w:rsidRPr="00CA4ABC">
        <w:rPr>
          <w:rFonts w:cstheme="minorHAnsi"/>
          <w:color w:val="000000" w:themeColor="text1"/>
        </w:rPr>
        <w:t>, as seen in Sabir’s study, response collection can still decline.</w:t>
      </w:r>
    </w:p>
    <w:p w14:paraId="76FC7A67" w14:textId="77777777" w:rsidR="00507FC8" w:rsidRPr="00CA4ABC" w:rsidRDefault="00507FC8" w:rsidP="004053D7">
      <w:pPr>
        <w:spacing w:line="360" w:lineRule="auto"/>
        <w:rPr>
          <w:rFonts w:cstheme="minorHAnsi"/>
          <w:color w:val="000000" w:themeColor="text1"/>
        </w:rPr>
      </w:pPr>
    </w:p>
    <w:p w14:paraId="4EF0C43E" w14:textId="6B99EF68" w:rsidR="00507FC8" w:rsidRPr="00CA4ABC" w:rsidRDefault="00AA3F6E" w:rsidP="004053D7">
      <w:pPr>
        <w:spacing w:line="360" w:lineRule="auto"/>
        <w:rPr>
          <w:rFonts w:cstheme="minorHAnsi"/>
          <w:color w:val="000000" w:themeColor="text1"/>
        </w:rPr>
      </w:pPr>
      <w:r w:rsidRPr="00CA4ABC">
        <w:rPr>
          <w:rFonts w:cstheme="minorHAnsi"/>
          <w:color w:val="000000" w:themeColor="text1"/>
        </w:rPr>
        <w:t>Furthermore</w:t>
      </w:r>
      <w:r w:rsidR="008B4D05" w:rsidRPr="00CA4ABC">
        <w:rPr>
          <w:rFonts w:cstheme="minorHAnsi"/>
          <w:color w:val="000000" w:themeColor="text1"/>
        </w:rPr>
        <w:t>,</w:t>
      </w:r>
      <w:r w:rsidR="00507FC8" w:rsidRPr="00CA4ABC">
        <w:rPr>
          <w:rFonts w:cstheme="minorHAnsi"/>
          <w:color w:val="000000" w:themeColor="text1"/>
        </w:rPr>
        <w:t xml:space="preserve"> 24-hour recalls, even when multiple recalls are collected, are still not considered the gold standard and most accurate methodology for estimating dietary intakes due to them being self-reported.  Self-reported intakes are highly prone to error, particularly underreporting. Banna et al</w:t>
      </w:r>
      <w:r w:rsidR="0097391B">
        <w:rPr>
          <w:rFonts w:cstheme="minorHAnsi"/>
          <w:color w:val="000000" w:themeColor="text1"/>
        </w:rPr>
        <w:t>.</w:t>
      </w:r>
      <w:r w:rsidR="008B4D05" w:rsidRPr="00CA4ABC">
        <w:rPr>
          <w:rFonts w:cstheme="minorHAnsi"/>
          <w:color w:val="000000" w:themeColor="text1"/>
        </w:rPr>
        <w:t xml:space="preserve"> </w:t>
      </w:r>
      <w:r w:rsidR="008B4D05"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{"citationItems":[{"id":"ITEM-1","itemData":{"DOI":"10.1016/J.JAND.2014.06.358","ISSN":"22122672","PMID":"25132121","abstract":"Misreporting of dietary intake affects the validity of data collected and conclusions drawn in studies exploring diet and health outcomes. One consequence of misreporting is biological implausibility. Little is known regarding how accounting for biological implausibility of reported intake affects nutrient intake estimates in Hispanics, a rapidly growing demographic in the United States. Our study explores the effect of accounting for plausibility on nutrient intake estimates in a sample of Mexican-American women in northern California in 2008. Nutrient intakes are compared with Dietary Reference Intake recommendations, and intakes of Mexican-American women in a national survey are presented as a reference. Eighty-two women provided three 24-hour recalls. Reported energy intakes were classified as biologically plausible or implausible using the reported energy intakes to total energy expenditure cutoff of &lt;0.76 or &gt;1.24, with low-active physical activity levels used to estimate total energy expenditure. Differences in the means of nutrient intakes between implausible (n=36) and plausible (n=46) reporters of energy intake were examined by bivariate linear regression. Estimated energy, protein, cholesterol, dietary fiber, and vitamin E intakes were significantly higher in plausible reporters than implausible. There was a significant difference between the proportions of plausible vs implausible reporters meeting recommendations for several nutrients, with a larger proportion of plausible reporters meeting recommendations. Further research related to misreporting in Hispanic populations is warranted to explore the causes and effects of misreporting in studies measuring dietary intake, as well as actions to be taken to prevent or account for this issue.","author":[{"dropping-particle":"","family":"Banna","given":"Jinan C.","non-dropping-particle":"","parse-names":false,"suffix":""},{"dropping-particle":"","family":"Fialkowski","given":"Marie K.","non-dropping-particle":"","parse-names":false,"suffix":""},{"dropping-particle":"","family":"Townsend","given":"Marilyn S.","non-dropping-particle":"","parse-names":false,"suffix":""}],"container-title":"Journal of the Academy of Nutrition and Dietetics","id":"ITEM-1","issue":"7","issued":{"date-parts":[["2015","7","1"]]},"page":"1124","publisher":"NIH Public Access","title":"Misreporting of Dietary Intake Affects Estimated Nutrient Intakes in Low-Income Spanish-Speaking Women","type":"article-journal","volume":"115"},"uris":["http://www.mendeley.com/documents/?uuid=59e6f77d-747c-311d-a852-669c5b7ff7f1"]}],"mendeley":{"formattedCitation":"(210)","plainTextFormattedCitation":"(210)","previouslyFormattedCitation":"(210)"},"properties":{"noteIndex":0},"schema":"https://github.com/citation-style-language/schema/raw/master/csl-citation.json"}</w:instrText>
      </w:r>
      <w:r w:rsidR="008B4D05" w:rsidRPr="00CA4ABC">
        <w:rPr>
          <w:rFonts w:cstheme="minorHAnsi"/>
          <w:color w:val="000000" w:themeColor="text1"/>
        </w:rPr>
        <w:fldChar w:fldCharType="separate"/>
      </w:r>
      <w:r w:rsidR="00FF0BCE" w:rsidRPr="00FF0BCE">
        <w:rPr>
          <w:rFonts w:cstheme="minorHAnsi"/>
          <w:noProof/>
          <w:color w:val="000000" w:themeColor="text1"/>
        </w:rPr>
        <w:t>(210)</w:t>
      </w:r>
      <w:r w:rsidR="008B4D05" w:rsidRPr="00CA4ABC">
        <w:rPr>
          <w:rFonts w:cstheme="minorHAnsi"/>
          <w:color w:val="000000" w:themeColor="text1"/>
        </w:rPr>
        <w:fldChar w:fldCharType="end"/>
      </w:r>
      <w:r w:rsidR="00507FC8" w:rsidRPr="00CA4ABC">
        <w:rPr>
          <w:rFonts w:cstheme="minorHAnsi"/>
          <w:color w:val="000000" w:themeColor="text1"/>
        </w:rPr>
        <w:t xml:space="preserve"> aimed to explore the effects of estimated </w:t>
      </w:r>
      <w:r w:rsidR="002B2043" w:rsidRPr="00CA4ABC">
        <w:rPr>
          <w:rFonts w:cstheme="minorHAnsi"/>
          <w:color w:val="000000" w:themeColor="text1"/>
        </w:rPr>
        <w:t>nutrient</w:t>
      </w:r>
      <w:r w:rsidR="00507FC8" w:rsidRPr="00CA4ABC">
        <w:rPr>
          <w:rFonts w:cstheme="minorHAnsi"/>
          <w:color w:val="000000" w:themeColor="text1"/>
        </w:rPr>
        <w:t xml:space="preserve"> intakes caused by misreporting dietary intakes. They asked participants to complete three 24-hour recalls and then class</w:t>
      </w:r>
      <w:r w:rsidR="002B2043" w:rsidRPr="00CA4ABC">
        <w:rPr>
          <w:rFonts w:cstheme="minorHAnsi"/>
          <w:color w:val="000000" w:themeColor="text1"/>
        </w:rPr>
        <w:t>ed</w:t>
      </w:r>
      <w:r w:rsidR="00507FC8" w:rsidRPr="00CA4ABC">
        <w:rPr>
          <w:rFonts w:cstheme="minorHAnsi"/>
          <w:color w:val="000000" w:themeColor="text1"/>
        </w:rPr>
        <w:t xml:space="preserve"> energy intakes as plausible (n=46) or implausible (n=36) reporters</w:t>
      </w:r>
      <w:r w:rsidR="00507FC8" w:rsidRPr="00CA4ABC">
        <w:rPr>
          <w:rFonts w:cstheme="minorHAnsi"/>
          <w:color w:val="000000" w:themeColor="text1"/>
          <w:shd w:val="clear" w:color="auto" w:fill="FFFFFF"/>
        </w:rPr>
        <w:t xml:space="preserve"> using the reported Energy Intake:</w:t>
      </w:r>
      <w:r w:rsidR="00BD3AB9" w:rsidRPr="00CA4ABC">
        <w:rPr>
          <w:rFonts w:cstheme="minorHAnsi"/>
          <w:color w:val="000000" w:themeColor="text1"/>
          <w:shd w:val="clear" w:color="auto" w:fill="FFFFFF"/>
        </w:rPr>
        <w:t xml:space="preserve"> </w:t>
      </w:r>
      <w:r w:rsidR="00507FC8" w:rsidRPr="00CA4ABC">
        <w:rPr>
          <w:rFonts w:cstheme="minorHAnsi"/>
          <w:color w:val="000000" w:themeColor="text1"/>
          <w:shd w:val="clear" w:color="auto" w:fill="FFFFFF"/>
        </w:rPr>
        <w:t>Total Energy Expenditure cutoff of &lt;0.76 or &gt;1.24, based on Livingstone</w:t>
      </w:r>
      <w:r w:rsidR="008B4D05" w:rsidRPr="00CA4ABC">
        <w:rPr>
          <w:rFonts w:cstheme="minorHAnsi"/>
          <w:color w:val="000000" w:themeColor="text1"/>
          <w:shd w:val="clear" w:color="auto" w:fill="FFFFFF"/>
        </w:rPr>
        <w:t xml:space="preserve">’s protocols </w:t>
      </w:r>
      <w:r w:rsidR="008B4D05"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{"citationItems":[{"id":"ITEM-1","itemData":{"DOI":"10.1093/JN/133.3.895S","ISSN":"0022-3166","PMID":"12612176","abstract":"Energy intake (EI) is the foundation of the diet, because all other nutrients must be provided within the quantity of food needed to fulfill the energy requirement. Thus if total EI is underestimated, it is probable that the intakes of other nutrients are also underestimated. Under conditions of weight stability, EI equals energy expenditure (EE). Because at the group level weight may be regarded as stable in the timescale of a dietary assessment, the validity of reported EI can be evaluated by comparing it with either measured EE or an estimate of the energy requirement of the population. This paper provides the first comprehensive review of studies in which EI was reported and EE was measured using the doubly labeled water technique. These conclusively demonstrate widespread bias to the underestimation of EI. Because energy requirements of populations or individuals can be conveniently expressed as multiples of the basal metabolic rate (BMR), EE:BMR, reported EI may also be expressed as EI:BMR for comparison. Values of EI:BMR falling below the 95% confidence limit of agreement between these two measures signify the presence of underreporting. A formula for calculating the lower 95% confidence limit was proposed by Goldberg et al. (the Goldberg cutoff). It has been used by numerous authors to identify individual underreporters in different dietary databases to explore the variables associated with underreporting. These studies are also comprehensively reviewed. They explore the characteristics of underreporters and the biases in estimating nutrient intake and in describing meal patterns associated with underreporting. This review also examines some of the problems for the interpretation of data introduced by underreporting and particularly by variable underreporting across subjects. Future directions for research are identified.","author":[{"dropping-particle":"","family":"Livingstone","given":"M. Barbara E.","non-dropping-particle":"","parse-names":false,"suffix":""},{"dropping-particle":"","family":"Black","given":"Alison E.","non-dropping-particle":"","parse-names":false,"suffix":""}],"container-title":"The Journal of nutrition","id":"ITEM-1","issue":"3 SUPPL.","issued":{"date-parts":[["2003","3","1"]]},"publisher":"J Nutr","title":"Markers of the validity of reported energy intake","type":"article-journal","volume":"133 Suppl 3"},"uris":["http://www.mendeley.com/documents/?uuid=722b1592-fbd7-388d-b3cc-2e2e29da5c78"]}],"mendeley":{"formattedCitation":"(211)","plainTextFormattedCitation":"(211)","previouslyFormattedCitation":"(211)"},"properties":{"noteIndex":0},"schema":"https://github.com/citation-style-language/schema/raw/master/csl-citation.json"}</w:instrText>
      </w:r>
      <w:r w:rsidR="008B4D05"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(211)</w:t>
      </w:r>
      <w:r w:rsidR="008B4D05" w:rsidRPr="00CA4ABC">
        <w:rPr>
          <w:rFonts w:cstheme="minorHAnsi"/>
          <w:color w:val="000000" w:themeColor="text1"/>
          <w:shd w:val="clear" w:color="auto" w:fill="FFFFFF"/>
        </w:rPr>
        <w:fldChar w:fldCharType="end"/>
      </w:r>
      <w:r w:rsidR="008B4D05" w:rsidRPr="00CA4ABC">
        <w:rPr>
          <w:rFonts w:cstheme="minorHAnsi"/>
          <w:color w:val="000000" w:themeColor="text1"/>
          <w:shd w:val="clear" w:color="auto" w:fill="FFFFFF"/>
        </w:rPr>
        <w:t>.</w:t>
      </w:r>
      <w:r w:rsidR="00507FC8" w:rsidRPr="00CA4ABC">
        <w:rPr>
          <w:rFonts w:cstheme="minorHAnsi"/>
          <w:color w:val="000000" w:themeColor="text1"/>
        </w:rPr>
        <w:t xml:space="preserve"> The authors concluded that estimated intakes were significantly higher among the plausible reporters. </w:t>
      </w:r>
      <w:r w:rsidR="0097391B">
        <w:rPr>
          <w:rFonts w:cstheme="minorHAnsi"/>
          <w:color w:val="000000" w:themeColor="text1"/>
        </w:rPr>
        <w:t>It was noted that protein contributed significantly more</w:t>
      </w:r>
      <w:r w:rsidR="00507FC8" w:rsidRPr="00CA4ABC">
        <w:rPr>
          <w:rFonts w:cstheme="minorHAnsi"/>
          <w:color w:val="000000" w:themeColor="text1"/>
          <w:shd w:val="clear" w:color="auto" w:fill="FFFFFF"/>
        </w:rPr>
        <w:t xml:space="preserve"> to total energy intakes in implausible reporters. This is </w:t>
      </w:r>
      <w:r w:rsidR="002B2043" w:rsidRPr="00CA4ABC">
        <w:rPr>
          <w:rFonts w:cstheme="minorHAnsi"/>
          <w:color w:val="000000" w:themeColor="text1"/>
          <w:shd w:val="clear" w:color="auto" w:fill="FFFFFF"/>
        </w:rPr>
        <w:t>relevant because it demonstrates how self-reported intake measures as validation protocols could impact the screener's performance</w:t>
      </w:r>
      <w:r w:rsidR="00507FC8" w:rsidRPr="00CA4ABC">
        <w:rPr>
          <w:rFonts w:cstheme="minorHAnsi"/>
          <w:color w:val="000000" w:themeColor="text1"/>
          <w:shd w:val="clear" w:color="auto" w:fill="FFFFFF"/>
        </w:rPr>
        <w:t xml:space="preserve"> </w:t>
      </w:r>
      <w:r w:rsidR="008B4D05" w:rsidRPr="00CA4ABC">
        <w:rPr>
          <w:rFonts w:cstheme="minorHAnsi"/>
          <w:color w:val="000000" w:themeColor="text1"/>
          <w:shd w:val="clear" w:color="auto" w:fill="FFFFFF"/>
        </w:rPr>
        <w:t xml:space="preserve">due to </w:t>
      </w:r>
      <w:r w:rsidR="0097391B">
        <w:rPr>
          <w:rFonts w:cstheme="minorHAnsi"/>
          <w:color w:val="000000" w:themeColor="text1"/>
          <w:shd w:val="clear" w:color="auto" w:fill="FFFFFF"/>
        </w:rPr>
        <w:t>inaccurately captured protein intakes</w:t>
      </w:r>
      <w:r w:rsidR="00507FC8" w:rsidRPr="00CA4ABC">
        <w:rPr>
          <w:rFonts w:cstheme="minorHAnsi"/>
          <w:color w:val="000000" w:themeColor="text1"/>
          <w:shd w:val="clear" w:color="auto" w:fill="FFFFFF"/>
        </w:rPr>
        <w:t>. Guidelines for best practice of dietary assessment</w:t>
      </w:r>
      <w:r w:rsidRPr="00CA4ABC">
        <w:rPr>
          <w:rFonts w:cstheme="minorHAnsi"/>
          <w:color w:val="000000" w:themeColor="text1"/>
          <w:shd w:val="clear" w:color="auto" w:fill="FFFFFF"/>
        </w:rPr>
        <w:t>s</w:t>
      </w:r>
      <w:r w:rsidR="00507FC8" w:rsidRPr="00CA4ABC">
        <w:rPr>
          <w:rFonts w:cstheme="minorHAnsi"/>
          <w:color w:val="000000" w:themeColor="text1"/>
          <w:shd w:val="clear" w:color="auto" w:fill="FFFFFF"/>
        </w:rPr>
        <w:t xml:space="preserve"> have been outline</w:t>
      </w:r>
      <w:r w:rsidR="0020011F" w:rsidRPr="00CA4ABC">
        <w:rPr>
          <w:rFonts w:cstheme="minorHAnsi"/>
          <w:color w:val="000000" w:themeColor="text1"/>
          <w:shd w:val="clear" w:color="auto" w:fill="FFFFFF"/>
        </w:rPr>
        <w:t>d</w:t>
      </w:r>
      <w:r w:rsidR="00507FC8" w:rsidRPr="00CA4ABC">
        <w:rPr>
          <w:rFonts w:cstheme="minorHAnsi"/>
          <w:color w:val="000000" w:themeColor="text1"/>
          <w:shd w:val="clear" w:color="auto" w:fill="FFFFFF"/>
        </w:rPr>
        <w:t xml:space="preserve"> in review articles</w:t>
      </w:r>
      <w:r w:rsidR="008B4D05" w:rsidRPr="00CA4ABC">
        <w:rPr>
          <w:rFonts w:cstheme="minorHAnsi"/>
          <w:color w:val="000000" w:themeColor="text1"/>
          <w:shd w:val="clear" w:color="auto" w:fill="FFFFFF"/>
        </w:rPr>
        <w:t xml:space="preserve"> </w:t>
      </w:r>
      <w:r w:rsidR="008B4D05" w:rsidRPr="00CA4ABC">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{"citationItems":[{"id":"ITEM-1","itemData":{"DOI":"10.4178/epih/e2014009","ISSN":"2092-7193","PMID":"25078382","abstract":"Diet is a major lifestyle-related risk factor of various chronic diseases. Dietary intake can be assessed by subjective report and objective observation. Subjective assessment is possible using open-ended surveys such as dietary recalls or records, or using closed-ended surveys including food frequency questionnaires. Each method has inherent strengths and limitations. Continued efforts to improve the accuracy of dietary intake assessment and enhance its feasibility in epidemiological studies have been made. This article reviews common dietary assessment methods and their feasibility in epidemiological studies.","author":[{"dropping-particle":"","family":"Shim","given":"Jee-Seon","non-dropping-particle":"","parse-names":false,"suffix":""},{"dropping-particle":"","family":"Oh","given":"Kyungwon","non-dropping-particle":"","parse-names":false,"suffix":""},{"dropping-particle":"","family":"Kim","given":"Hyeon Chang","non-dropping-particle":"","parse-names":false,"suffix":""}],"container-title":"Epidemiology and Health","id":"ITEM-1","issued":{"date-parts":[["2014","7","22"]]},"page":"e2014009","publisher":"Korean Society of Epidemiology","title":"Dietary assessment methods in epidemiologic studies","type":"article-journal","volume":"36"},"uris":["http://www.mendeley.com/documents/?uuid=a4084ec3-e227-36d3-8465-164c677ffcc0"]}],"mendeley":{"formattedCitation":"(186)","plainTextFormattedCitation":"(186)","previouslyFormattedCitation":"(186)"},"properties":{"noteIndex":0},"schema":"https://github.com/citation-style-language/schema/raw/master/csl-citation.json"}</w:instrText>
      </w:r>
      <w:r w:rsidR="008B4D05" w:rsidRPr="00CA4ABC">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(186)</w:t>
      </w:r>
      <w:r w:rsidR="008B4D05" w:rsidRPr="00CA4ABC">
        <w:rPr>
          <w:rFonts w:cstheme="minorHAnsi"/>
          <w:color w:val="000000" w:themeColor="text1"/>
          <w:shd w:val="clear" w:color="auto" w:fill="FFFFFF"/>
        </w:rPr>
        <w:fldChar w:fldCharType="end"/>
      </w:r>
      <w:r w:rsidR="00507FC8" w:rsidRPr="00CA4ABC">
        <w:rPr>
          <w:rFonts w:cstheme="minorHAnsi"/>
          <w:color w:val="000000" w:themeColor="text1"/>
          <w:shd w:val="clear" w:color="auto" w:fill="FFFFFF"/>
        </w:rPr>
        <w:t xml:space="preserve"> and developed </w:t>
      </w:r>
      <w:r w:rsidR="00651431" w:rsidRPr="00CA4ABC">
        <w:rPr>
          <w:rFonts w:cstheme="minorHAnsi"/>
          <w:color w:val="000000" w:themeColor="text1"/>
          <w:shd w:val="clear" w:color="auto" w:fill="FFFFFF"/>
        </w:rPr>
        <w:t>using</w:t>
      </w:r>
      <w:r w:rsidR="00507FC8" w:rsidRPr="00CA4ABC">
        <w:rPr>
          <w:rFonts w:cstheme="minorHAnsi"/>
          <w:color w:val="000000" w:themeColor="text1"/>
          <w:shd w:val="clear" w:color="auto" w:fill="FFFFFF"/>
        </w:rPr>
        <w:t xml:space="preserve"> </w:t>
      </w:r>
      <w:r w:rsidR="0020011F" w:rsidRPr="00CA4ABC">
        <w:rPr>
          <w:rFonts w:cstheme="minorHAnsi"/>
          <w:color w:val="000000" w:themeColor="text1"/>
          <w:shd w:val="clear" w:color="auto" w:fill="FFFFFF"/>
        </w:rPr>
        <w:t>D</w:t>
      </w:r>
      <w:r w:rsidR="00507FC8" w:rsidRPr="00CA4ABC">
        <w:rPr>
          <w:rFonts w:cstheme="minorHAnsi"/>
          <w:color w:val="000000" w:themeColor="text1"/>
          <w:shd w:val="clear" w:color="auto" w:fill="FFFFFF"/>
        </w:rPr>
        <w:t>elphi techniques</w:t>
      </w:r>
      <w:r w:rsidR="008B4D05" w:rsidRPr="00CA4ABC">
        <w:rPr>
          <w:rFonts w:cstheme="minorHAnsi"/>
          <w:color w:val="000000" w:themeColor="text1"/>
          <w:shd w:val="clear" w:color="auto" w:fill="FFFFFF"/>
        </w:rPr>
        <w:t xml:space="preserve"> </w:t>
      </w:r>
      <w:r w:rsidR="008B4D05" w:rsidRPr="00CA4ABC">
        <w:rPr>
          <w:rFonts w:cstheme="minorHAnsi"/>
          <w:color w:val="000000" w:themeColor="text1"/>
          <w:shd w:val="clear" w:color="auto" w:fill="FFFFFF"/>
        </w:rPr>
        <w:fldChar w:fldCharType="begin" w:fldLock="1"/>
      </w:r>
      <w:r w:rsidR="00E86F8C">
        <w:rPr>
          <w:rFonts w:cstheme="minorHAnsi"/>
          <w:color w:val="000000" w:themeColor="text1"/>
          <w:shd w:val="clear" w:color="auto" w:fill="FFFFFF"/>
        </w:rPr>
        <w:instrText>ADDIN CSL_CITATION {"citationItems":[{"id":"ITEM-1","itemData":{"DOI":"10.1186/S12916-017-0962-X/TABLES/2","ISSN":"17417015","PMID":"29137630","abstract":"Background: Dietary assessment is complex, and strategies to select the most appropriate dietary assessment tool (DAT) in epidemiological research are needed. The DIETary Assessment Tool NETwork (DIET@NET) aimed to establish expert consensus on Best Practice Guidelines (BPGs) for dietary assessment using self-report. Methods: The BPGs were developed using the Delphi technique. Two Delphi rounds were conducted. A total of 131 experts were invited, and of these 65 accepted, with 48 completing Delphi round I and 51 completing Delphi round II. In all, a total of 57 experts from North America, Europe, Asia and Australia commented on the 47 suggested guidelines. Results: Forty-three guidelines were generated, grouped into the following four stages: Stage I. Define what is to be measured in terms of dietary intake (what? who? and when?); Stage II. Investigate different types of DATs; Stage III. Evaluate existing tools to select the most appropriate DAT by evaluating published validation studies; Stage IV. Think through the implementation of the chosen DAT and consider sources of potential biases. Conclusions: The Delphi technique consolidated expert views on best practice in assessing dietary intake. The BPGs provide a valuable guide for health researchers to choose the most appropriate dietary assessment method for their studies. These guidelines will be accessible through the Nutritools website, www.nutritools.org.","author":[{"dropping-particle":"","family":"Cade","given":"Janet E.","non-dropping-particle":"","parse-names":false,"suffix":""},{"dropping-particle":"","family":"Warthon-Medina","given":"Marisol","non-dropping-particle":"","parse-names":false,"suffix":""},{"dropping-particle":"","family":"Albar","given":"Salwa","non-dropping-particle":"","parse-names":false,"suffix":""},{"dropping-particle":"","family":"Alwan","given":"Nisreen A.","non-dropping-particle":"","parse-names":false,"suffix":""},{"dropping-particle":"","family":"Ness","given":"Andrew","non-dropping-particle":"","parse-names":false,"suffix":""},{"dropping-particle":"","family":"Roe","given":"Mark","non-dropping-particle":"","parse-names":false,"suffix":""},{"dropping-particle":"","family":"Wark","given":"Petra A.","non-dropping-particle":"","parse-names":false,"suffix":""},{"dropping-particle":"","family":"Greathead","given":"Katharine","non-dropping-particle":"","parse-names":false,"suffix":""},{"dropping-particle":"","family":"Burley","given":"Victoria J.","non-dropping-particle":"","parse-names":false,"suffix":""},{"dropping-particle":"","family":"Finglas","given":"Paul","non-dropping-particle":"","parse-names":false,"suffix":""},{"dropping-particle":"","family":"Johnson","given":"Laura","non-dropping-particle":"","parse-names":false,"suffix":""},{"dropping-particle":"","family":"Page","given":"Polly","non-dropping-particle":"","parse-names":false,"suffix":""},{"dropping-particle":"","family":"Roberts","given":"Katharine","non-dropping-particle":"","parse-names":false,"suffix":""},{"dropping-particle":"","family":"Steer","given":"Toni","non-dropping-particle":"","parse-names":false,"suffix":""},{"dropping-particle":"","family":"Hooson","given":"Jozef","non-dropping-particle":"","parse-names":false,"suffix":""},{"dropping-particle":"","family":"Greenwood","given":"Darren C.","non-dropping-particle":"","parse-names":false,"suffix":""},{"dropping-particle":"","family":"Robinson","given":"Sian","non-dropping-particle":"","parse-names":false,"suffix":""},{"dropping-particle":"","family":"Allman-Farinelli","given":"Margaret","non-dropping-particle":"","parse-names":false,"suffix":""},{"dropping-particle":"","family":"Ambrosini","given":"Gina","non-dropping-particle":"","parse-names":false,"suffix":""},{"dropping-particle":"","family":"Andersen","given":"Lene Frost","non-dropping-particle":"","parse-names":false,"suffix":""},{"dropping-particle":"","family":"Anderson","given":"Annie","non-dropping-particle":"","parse-names":false,"suffix":""},{"dropping-particle":"","family":"Bandera","given":"Elisa","non-dropping-particle":"","parse-names":false,"suffix":""},{"dropping-particle":"","family":"Baranowski","given":"Thomas","non-dropping-particle":"","parse-names":false,"suffix":""},{"dropping-particle":"","family":"Bryant","given":"Maria","non-dropping-particle":"","parse-names":false,"suffix":""},{"dropping-particle":"","family":"Burrows","given":"Tracy","non-dropping-particle":"","parse-names":false,"suffix":""},{"dropping-particle":"","family":"Church","given":"Ms Susan","non-dropping-particle":"","parse-names":false,"suffix":""},{"dropping-particle":"","family":"Collins","given":"Clare","non-dropping-particle":"","parse-names":false,"suffix":""},{"dropping-particle":"","family":"Craig","given":"Leone","non-dropping-particle":"","parse-names":false,"suffix":""},{"dropping-particle":"","family":"Looy","given":"Anne","non-dropping-particle":"de","parse-names":false,"suffix":""},{"dropping-particle":"","family":"Drewnowski","given":"Adam","non-dropping-particle":"","parse-names":false,"suffix":""},{"dropping-particle":"","family":"Edwards","given":"Kim","non-dropping-particle":"","parse-names":false,"suffix":""},{"dropping-particle":"","family":"Emmett","given":"Pauline","non-dropping-particle":"","parse-names":false,"suffix":""},{"dropping-particle":"","family":"Foster","given":"Emma","non-dropping-particle":"","parse-names":false,"suffix":""},{"dropping-particle":"","family":"Gibson","given":"Rosalind","non-dropping-particle":"","parse-names":false,"suffix":""},{"dropping-particle":"","family":"Gurinovic","given":"Mirjana","non-dropping-particle":"","parse-names":false,"suffix":""},{"dropping-particle":"","family":"Holdsworth","given":"Michelle","non-dropping-particle":"","parse-names":false,"suffix":""},{"dropping-particle":"","family":"Holmes","given":"Bridget","non-dropping-particle":"","parse-names":false,"suffix":""},{"dropping-particle":"","family":"Kesse-Guyot","given":"Emmanuelle","non-dropping-particle":"","parse-names":false,"suffix":""},{"dropping-particle":"","family":"Kirkpatrick","given":"Sharron","non-dropping-particle":"","parse-names":false,"suffix":""},{"dropping-particle":"","family":"Kolahdooz","given":"Fariba","non-dropping-particle":"","parse-names":false,"suffix":""},{"dropping-particle":"","family":"Lachat","given":"Carl","non-dropping-particle":"","parse-names":false,"suffix":""},{"dropping-particle":"","family":"Lanigan","given":"Julie","non-dropping-particle":"","parse-names":false,"suffix":""},{"dropping-particle":"","family":"Lawrence","given":"Mark","non-dropping-particle":"","parse-names":false,"suffix":""},{"dropping-particle":"","family":"Lennox","given":"Alison","non-dropping-particle":"","parse-names":false,"suffix":""},{"dropping-particle":"","family":"Levy","given":"Renata","non-dropping-particle":"","parse-names":false,"suffix":""},{"dropping-particle":"","family":"Louzada","given":"Maria Laura","non-dropping-particle":"","parse-names":false,"suffix":""},{"dropping-particle":"","family":"Mendez","given":"Michelle","non-dropping-particle":"","parse-names":false,"suffix":""},{"dropping-particle":"","family":"Micha","given":"Renata","non-dropping-particle":"","parse-names":false,"suffix":""},{"dropping-particle":"","family":"Naska","given":"Androniki","non-dropping-particle":"","parse-names":false,"suffix":""},{"dropping-particle":"","family":"Nelson","given":"Michael","non-dropping-particle":"","parse-names":false,"suffix":""},{"dropping-particle":"","family":"Nestel","given":"Penny","non-dropping-particle":"","parse-names":false,"suffix":""},{"dropping-particle":"","family":"Nicolaou","given":"Mary","non-dropping-particle":"","parse-names":false,"suffix":""},{"dropping-particle":"","family":"Ocke","given":"Marga","non-dropping-particle":"","parse-names":false,"suffix":""},{"dropping-particle":"","family":"Okubo","given":"Hitomi","non-dropping-particle":"","parse-names":false,"suffix":""},{"dropping-particle":"","family":"Pot","given":"Gerda","non-dropping-particle":"","parse-names":false,"suffix":""},{"dropping-particle":"","family":"Robertson","given":"Claire","non-dropping-particle":"","parse-names":false,"suffix":""},{"dropping-particle":"","family":"Robson","given":"Paula","non-dropping-particle":"","parse-names":false,"suffix":""},{"dropping-particle":"","family":"Seal","given":"Chris","non-dropping-particle":"","parse-names":false,"suffix":""},{"dropping-particle":"","family":"Sharma","given":"Sangita","non-dropping-particle":"","parse-names":false,"suffix":""},{"dropping-particle":"","family":"Strachan","given":"Emma","non-dropping-particle":"","parse-names":false,"suffix":""},{"dropping-particle":"","family":"Subar","given":"Amy","non-dropping-particle":"","parse-names":false,"suffix":""},{"dropping-particle":"","family":"Summerbell","given":"Carolyn","non-dropping-particle":"","parse-names":false,"suffix":""},{"dropping-particle":"","family":"Swan","given":"Gillian","non-dropping-particle":"","parse-names":false,"suffix":""},{"dropping-particle":"","family":"Tabacchi","given":"Garden","non-dropping-particle":"","parse-names":false,"suffix":""},{"dropping-particle":"","family":"Thompson","given":"Frances","non-dropping-particle":"","parse-names":false,"suffix":""},{"dropping-particle":"","family":"Thompson","given":"Janice L.","non-dropping-particle":"","parse-names":false,"suffix":""},{"dropping-particle":"","family":"Thornton","given":"Lukar","non-dropping-particle":"","parse-names":false,"suffix":""},{"dropping-particle":"","family":"Touvier","given":"Mathilde","non-dropping-particle":"","parse-names":false,"suffix":""},{"dropping-particle":"","family":"Turrini","given":"Aida","non-dropping-particle":"","parse-names":false,"suffix":""},{"dropping-particle":"","family":"Warren","given":"Janet","non-dropping-particle":"","parse-names":false,"suffix":""},{"dropping-particle":"","family":"Welch","given":"Ailsa","non-dropping-particle":"","parse-names":false,"suffix":""},{"dropping-particle":"","family":"Wheeler","given":"Simon","non-dropping-particle":"","parse-names":false,"suffix":""},{"dropping-particle":"","family":"Willett","given":"Walter","non-dropping-particle":"","parse-names":false,"suffix":""},{"dropping-particle":"","family":"Harvey","given":"Linda","non-dropping-particle":"","parse-names":false,"suffix":""}],"container-title":"BMC Medicine","id":"ITEM-1","issue":"1","issued":{"date-parts":[["2017","11","15"]]},"page":"1-15","publisher":"BioMed Central Ltd.","title":"DIET@NET: Best Practice Guidelines for dietary assessment in health research","type":"article-journal","volume":"15"},"uris":["http://www.mendeley.com/documents/?uuid=669f5d24-014d-368b-827c-cec50b6ed51e"]}],"mendeley":{"formattedCitation":"(187)","plainTextFormattedCitation":"(187)","previouslyFormattedCitation":"(187)"},"properties":{"noteIndex":0},"schema":"https://github.com/citation-style-language/schema/raw/master/csl-citation.json"}</w:instrText>
      </w:r>
      <w:r w:rsidR="008B4D05" w:rsidRPr="00CA4ABC">
        <w:rPr>
          <w:rFonts w:cstheme="minorHAnsi"/>
          <w:color w:val="000000" w:themeColor="text1"/>
          <w:shd w:val="clear" w:color="auto" w:fill="FFFFFF"/>
        </w:rPr>
        <w:fldChar w:fldCharType="separate"/>
      </w:r>
      <w:r w:rsidR="00057AE3" w:rsidRPr="00057AE3">
        <w:rPr>
          <w:rFonts w:cstheme="minorHAnsi"/>
          <w:noProof/>
          <w:color w:val="000000" w:themeColor="text1"/>
          <w:shd w:val="clear" w:color="auto" w:fill="FFFFFF"/>
        </w:rPr>
        <w:t>(187)</w:t>
      </w:r>
      <w:r w:rsidR="008B4D05" w:rsidRPr="00CA4ABC">
        <w:rPr>
          <w:rFonts w:cstheme="minorHAnsi"/>
          <w:color w:val="000000" w:themeColor="text1"/>
          <w:shd w:val="clear" w:color="auto" w:fill="FFFFFF"/>
        </w:rPr>
        <w:fldChar w:fldCharType="end"/>
      </w:r>
      <w:r w:rsidR="00507FC8" w:rsidRPr="00CA4ABC">
        <w:rPr>
          <w:rFonts w:cstheme="minorHAnsi"/>
          <w:color w:val="000000" w:themeColor="text1"/>
          <w:shd w:val="clear" w:color="auto" w:fill="FFFFFF"/>
        </w:rPr>
        <w:t xml:space="preserve">. </w:t>
      </w:r>
      <w:r w:rsidR="00651431" w:rsidRPr="00CA4ABC">
        <w:rPr>
          <w:rFonts w:cstheme="minorHAnsi"/>
          <w:color w:val="000000" w:themeColor="text1"/>
          <w:shd w:val="clear" w:color="auto" w:fill="FFFFFF"/>
        </w:rPr>
        <w:t>Awareness</w:t>
      </w:r>
      <w:r w:rsidR="00507FC8" w:rsidRPr="00CA4ABC">
        <w:rPr>
          <w:rFonts w:cstheme="minorHAnsi"/>
          <w:color w:val="000000" w:themeColor="text1"/>
          <w:shd w:val="clear" w:color="auto" w:fill="FFFFFF"/>
        </w:rPr>
        <w:t xml:space="preserve"> and adopting </w:t>
      </w:r>
      <w:r w:rsidR="008B4D05" w:rsidRPr="00CA4ABC">
        <w:rPr>
          <w:rFonts w:cstheme="minorHAnsi"/>
          <w:color w:val="000000" w:themeColor="text1"/>
          <w:shd w:val="clear" w:color="auto" w:fill="FFFFFF"/>
        </w:rPr>
        <w:t xml:space="preserve">these </w:t>
      </w:r>
      <w:r w:rsidR="00507FC8" w:rsidRPr="00CA4ABC">
        <w:rPr>
          <w:rFonts w:cstheme="minorHAnsi"/>
          <w:color w:val="000000" w:themeColor="text1"/>
          <w:shd w:val="clear" w:color="auto" w:fill="FFFFFF"/>
        </w:rPr>
        <w:t xml:space="preserve">guidelines can help increase </w:t>
      </w:r>
      <w:r w:rsidR="00651431" w:rsidRPr="00CA4ABC">
        <w:rPr>
          <w:rFonts w:cstheme="minorHAnsi"/>
          <w:color w:val="000000" w:themeColor="text1"/>
          <w:shd w:val="clear" w:color="auto" w:fill="FFFFFF"/>
        </w:rPr>
        <w:t xml:space="preserve">the </w:t>
      </w:r>
      <w:r w:rsidR="00507FC8" w:rsidRPr="00CA4ABC">
        <w:rPr>
          <w:rFonts w:cstheme="minorHAnsi"/>
          <w:color w:val="000000" w:themeColor="text1"/>
          <w:shd w:val="clear" w:color="auto" w:fill="FFFFFF"/>
        </w:rPr>
        <w:t xml:space="preserve">accuracy of data collection when self-reported means are necessary. </w:t>
      </w:r>
    </w:p>
    <w:p w14:paraId="05A55E10" w14:textId="77777777" w:rsidR="00507FC8" w:rsidRPr="00CA4ABC" w:rsidRDefault="00507FC8" w:rsidP="004053D7">
      <w:pPr>
        <w:spacing w:line="360" w:lineRule="auto"/>
        <w:rPr>
          <w:rFonts w:cstheme="minorHAnsi"/>
          <w:color w:val="000000" w:themeColor="text1"/>
        </w:rPr>
      </w:pPr>
    </w:p>
    <w:p w14:paraId="34162FA1" w14:textId="044AE948" w:rsidR="00507FC8" w:rsidRPr="00CA4ABC" w:rsidRDefault="00651431" w:rsidP="004053D7">
      <w:pPr>
        <w:spacing w:line="360" w:lineRule="auto"/>
        <w:rPr>
          <w:rFonts w:cstheme="minorHAnsi"/>
          <w:color w:val="000000" w:themeColor="text1"/>
        </w:rPr>
      </w:pPr>
      <w:r w:rsidRPr="00CA4ABC">
        <w:rPr>
          <w:rFonts w:cstheme="minorHAnsi"/>
          <w:color w:val="000000" w:themeColor="text1"/>
        </w:rPr>
        <w:t>Various</w:t>
      </w:r>
      <w:r w:rsidR="00507FC8" w:rsidRPr="00CA4ABC">
        <w:rPr>
          <w:rFonts w:cstheme="minorHAnsi"/>
          <w:color w:val="000000" w:themeColor="text1"/>
        </w:rPr>
        <w:t xml:space="preserve"> methods to try and account for the impact </w:t>
      </w:r>
      <w:r w:rsidR="0097391B">
        <w:rPr>
          <w:rFonts w:cstheme="minorHAnsi"/>
          <w:color w:val="000000" w:themeColor="text1"/>
        </w:rPr>
        <w:t xml:space="preserve">of </w:t>
      </w:r>
      <w:r w:rsidR="00507FC8" w:rsidRPr="00CA4ABC">
        <w:rPr>
          <w:rFonts w:cstheme="minorHAnsi"/>
          <w:color w:val="000000" w:themeColor="text1"/>
        </w:rPr>
        <w:t>misreporting</w:t>
      </w:r>
      <w:r w:rsidR="00AA3F6E" w:rsidRPr="00CA4ABC">
        <w:rPr>
          <w:rFonts w:cstheme="minorHAnsi"/>
          <w:color w:val="000000" w:themeColor="text1"/>
        </w:rPr>
        <w:t xml:space="preserve"> </w:t>
      </w:r>
      <w:r w:rsidR="00507FC8" w:rsidRPr="00CA4ABC">
        <w:rPr>
          <w:rFonts w:cstheme="minorHAnsi"/>
          <w:color w:val="000000" w:themeColor="text1"/>
        </w:rPr>
        <w:t>have been developed</w:t>
      </w:r>
      <w:r w:rsidR="008B4D05" w:rsidRPr="00CA4ABC">
        <w:rPr>
          <w:rFonts w:cstheme="minorHAnsi"/>
          <w:color w:val="000000" w:themeColor="text1"/>
        </w:rPr>
        <w:t xml:space="preserve"> and reviewed </w:t>
      </w:r>
      <w:r w:rsidR="00603562"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{"citationItems":[{"id":"ITEM-1","itemData":{"DOI":"10.1017/S0007114515004237","abstract":"The association of dietary exposures with health outcomes may be attenuated or reversed as a result of energy intake (EI) misreporting. This study evaluated several methods for dealing with implausible recalls when analysing the association between dietary factors and obesity. We examined data from 16 187 Canadians aged ≥12 years in the nationally representative Canadian Community Health Survey 2.2. Under-and over-reporting were defined as the ratio of EI:estimated energy requirement &lt;0·7 and &gt;1·42, respectively. Multinomial logistic regression-generalised logit model was conducted to test the utility of different methods for handling misreporting, including (a) adjusting for variables related to misreporting, (b) excluding misreported recalls, (c) adjusting for reporting groups (under-, plausible and over-reporters), (d) adjusting for propensity score and (e) stratifying the analyses by reporting groups. In the basic model, EI showed a negative association with overweight (OR 0·988; 95 % CI 0·979, 0·998) and obesity (OR 0·989; 95 % CI 0·977, 0·999). Similarly, the association between total energy density and overweight (OR 0·670; 95 % CI 0·487, 0·923) and obesity (OR 0·709; 95 % CI 0·495, 1·016) was inverse. Among all methods of handling misreporting, adjusting for the reporting status revealed the most satisfactory results, where a positive association between EI and overweight (OR 1·037; 95 % CI 1·019, 1·055) and obesity (OR 1·109; 95 % CI 1·082, 1·137) was observed (P &lt; 0·0001), as well as direct positive associations between energy density and percentage energy from solid fats and added sugars with obesity (P &lt; 0·05). The results of this study can help advance knowledge about the relationship between dietary variables and obesity and demonstrate to researchers and nutrition policy makers the importance of adjusting for recall plausibility in obesity research, which is highly relevant in light of global obesity epidemic.","author":[{"dropping-particle":"","family":"Jessri","given":"Mahsa","non-dropping-particle":"","parse-names":false,"suffix":""},{"dropping-particle":"","family":"Lou","given":"Wendy Y","non-dropping-particle":"","parse-names":false,"suffix":""},{"dropping-particle":"","family":"L'abbé","given":"Mary R","non-dropping-particle":"","parse-names":false,"suffix":""}],"id":"ITEM-1","issued":{"date-parts":[["2015"]]},"title":"Evaluation of different methods to handle misreporting in obesity research: evidence from the Canadian national nutrition survey","type":"article-journal"},"uris":["http://www.mendeley.com/documents/?uuid=86a4cd9a-d9a6-3106-b076-e409ce98e8a7"]}],"mendeley":{"formattedCitation":"(212)","plainTextFormattedCitation":"(212)","previouslyFormattedCitation":"(212)"},"properties":{"noteIndex":0},"schema":"https://github.com/citation-style-language/schema/raw/master/csl-citation.json"}</w:instrText>
      </w:r>
      <w:r w:rsidR="00603562" w:rsidRPr="00CA4ABC">
        <w:rPr>
          <w:rFonts w:cstheme="minorHAnsi"/>
          <w:color w:val="000000" w:themeColor="text1"/>
        </w:rPr>
        <w:fldChar w:fldCharType="separate"/>
      </w:r>
      <w:r w:rsidR="00FF0BCE" w:rsidRPr="00FF0BCE">
        <w:rPr>
          <w:rFonts w:cstheme="minorHAnsi"/>
          <w:noProof/>
          <w:color w:val="000000" w:themeColor="text1"/>
        </w:rPr>
        <w:t>(212)</w:t>
      </w:r>
      <w:r w:rsidR="00603562" w:rsidRPr="00CA4ABC">
        <w:rPr>
          <w:rFonts w:cstheme="minorHAnsi"/>
          <w:color w:val="000000" w:themeColor="text1"/>
        </w:rPr>
        <w:fldChar w:fldCharType="end"/>
      </w:r>
      <w:r w:rsidR="001920B8" w:rsidRPr="00CA4ABC">
        <w:rPr>
          <w:rFonts w:cstheme="minorHAnsi"/>
          <w:color w:val="000000" w:themeColor="text1"/>
        </w:rPr>
        <w:t xml:space="preserve">. </w:t>
      </w:r>
      <w:r w:rsidR="00507FC8" w:rsidRPr="00CA4ABC">
        <w:rPr>
          <w:rFonts w:cstheme="minorHAnsi"/>
          <w:color w:val="000000" w:themeColor="text1"/>
        </w:rPr>
        <w:t>Huang et al</w:t>
      </w:r>
      <w:r w:rsidRPr="00CA4ABC">
        <w:rPr>
          <w:rFonts w:cstheme="minorHAnsi"/>
          <w:color w:val="000000" w:themeColor="text1"/>
        </w:rPr>
        <w:t>.</w:t>
      </w:r>
      <w:r w:rsidR="00507FC8" w:rsidRPr="00CA4ABC">
        <w:rPr>
          <w:rFonts w:cstheme="minorHAnsi"/>
          <w:color w:val="000000" w:themeColor="text1"/>
        </w:rPr>
        <w:t xml:space="preserve"> </w:t>
      </w:r>
      <w:r w:rsidR="00603562"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{"citationItems":[{"id":"ITEM-1","itemData":{"DOI":"10.1038/OBY.2005.143","ISSN":"1071-7323","PMID":"16076990","abstract":"Objective: We present an updated method for identifying physiologically implausible dietary reports by comparing reported energy intake (rEI) with predicted energy requirements (pER), and we examine the impact of excluding these reports. Research Methods and Procedures: Adult data from the Continuing Survey of Food Intakes by Individuals 1994 to 1996 were used. pER was calculated from the dietary reference intake equations. Within-subject variations and errors in rEI [coefficient of variation (CV) ≈ = 23%] over 2 days (d), pER (CV ≈ 11%), and measured total energy expenditure (mTEE; doubly labeled water, CV ≈ 8.2%) were propagated, where ± 1 SD = √CV 2rEI/d + CV2pER + CV2mTEE = ±22%. Thus, a report was identified as implausible if rEI was not within 78% to 122% of pER. Multiple cut-offs between ± 1 and ± 2 SD were tested. Results: %rEI/pER = 81% in the total sample (n = 6499) and progressively increased to 95% in the ±1 SD sample (n = 2685). The ± 1 to 1.4 SD samples yielded rEI-weight associations closest to the theoretical relationship (mTEE to weight). Weak or spurious diet-BMI associations were present in the total sample; ± 1 to 1.4 SD samples showed the strongest set of associations and provided the maximum n while maintaining biological plausibility. Discussion: Our methodology can be applied to different data sets to evaluate the impact of implausible rEIs on health outcomes. Implausible rEIs reduce the overall validity of a sample, and not excluding them may lead to inappropriate conclusions about potential dietary causes of health outcomes such as obesity. Copyright © 2005 NAASO.","author":[{"dropping-particle":"","family":"Huang","given":"Terry T.K.","non-dropping-particle":"","parse-names":false,"suffix":""},{"dropping-particle":"","family":"Roberts","given":"Susan B.","non-dropping-particle":"","parse-names":false,"suffix":""},{"dropping-particle":"","family":"Howarth","given":"Nancy C.","non-dropping-particle":"","parse-names":false,"suffix":""},{"dropping-particle":"","family":"McCrory","given":"Megan A.","non-dropping-particle":"","parse-names":false,"suffix":""}],"container-title":"Obesity research","id":"ITEM-1","issue":"7","issued":{"date-parts":[["2005"]]},"page":"1205-1217","publisher":"Obes Res","title":"Effect of screening out implausible energy intake reports on relationships between diet and BMI","type":"article-journal","volume":"13"},"uris":["http://www.mendeley.com/documents/?uuid=bdb2357d-35a4-3b6a-a8d3-2dbe4c745ec4"]}],"mendeley":{"formattedCitation":"(213)","plainTextFormattedCitation":"(213)","previouslyFormattedCitation":"(213)"},"properties":{"noteIndex":0},"schema":"https://github.com/citation-style-language/schema/raw/master/csl-citation.json"}</w:instrText>
      </w:r>
      <w:r w:rsidR="00603562" w:rsidRPr="00CA4ABC">
        <w:rPr>
          <w:rFonts w:cstheme="minorHAnsi"/>
          <w:color w:val="000000" w:themeColor="text1"/>
        </w:rPr>
        <w:fldChar w:fldCharType="separate"/>
      </w:r>
      <w:r w:rsidR="00FF0BCE" w:rsidRPr="00FF0BCE">
        <w:rPr>
          <w:rFonts w:cstheme="minorHAnsi"/>
          <w:noProof/>
          <w:color w:val="000000" w:themeColor="text1"/>
        </w:rPr>
        <w:t>(213)</w:t>
      </w:r>
      <w:r w:rsidR="00603562" w:rsidRPr="00CA4ABC">
        <w:rPr>
          <w:rFonts w:cstheme="minorHAnsi"/>
          <w:color w:val="000000" w:themeColor="text1"/>
        </w:rPr>
        <w:fldChar w:fldCharType="end"/>
      </w:r>
      <w:r w:rsidR="001920B8" w:rsidRPr="00CA4ABC">
        <w:rPr>
          <w:rFonts w:cstheme="minorHAnsi"/>
          <w:color w:val="000000" w:themeColor="text1"/>
        </w:rPr>
        <w:t xml:space="preserve"> </w:t>
      </w:r>
      <w:r w:rsidR="00507FC8" w:rsidRPr="00CA4ABC">
        <w:rPr>
          <w:rFonts w:cstheme="minorHAnsi"/>
          <w:color w:val="000000" w:themeColor="text1"/>
        </w:rPr>
        <w:t xml:space="preserve">suggested that not removing misreporters could lead to inappropriate conclusions being drawn between relationships relating to dietary factors and health outcomes. However, it is also of note that excluding large numbers of </w:t>
      </w:r>
      <w:r w:rsidRPr="00CA4ABC">
        <w:rPr>
          <w:rFonts w:cstheme="minorHAnsi"/>
          <w:color w:val="000000" w:themeColor="text1"/>
        </w:rPr>
        <w:t>supposed</w:t>
      </w:r>
      <w:r w:rsidR="00507FC8" w:rsidRPr="00CA4ABC">
        <w:rPr>
          <w:rFonts w:cstheme="minorHAnsi"/>
          <w:color w:val="000000" w:themeColor="text1"/>
        </w:rPr>
        <w:t xml:space="preserve"> misreporters would implicate the statistical power of data collection. Moreover, it has been suggested that </w:t>
      </w:r>
      <w:r w:rsidRPr="00CA4ABC">
        <w:rPr>
          <w:rFonts w:cstheme="minorHAnsi"/>
          <w:color w:val="000000" w:themeColor="text1"/>
        </w:rPr>
        <w:t xml:space="preserve">certain characteristics of individuals </w:t>
      </w:r>
      <w:r w:rsidR="00507FC8" w:rsidRPr="00CA4ABC">
        <w:rPr>
          <w:rFonts w:cstheme="minorHAnsi"/>
          <w:color w:val="000000" w:themeColor="text1"/>
        </w:rPr>
        <w:t xml:space="preserve">make them more prone to misreporting </w:t>
      </w:r>
      <w:r w:rsidR="00603562"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{"citationItems":[{"id":"ITEM-1","itemData":{"DOI":"10.1017/S0007114515002706","ISSN":"1475-2662","PMID":"26299892","abstract":"Using data from the National Health and Nutrition Examination Survey (NHANES) 2003-2012, we investigated the prevalence and characteristics of under-reporting and over-reporting of energy intake (EI) among 19 693 US adults ≥20 years of age. For the assessment of EI, two 24-h dietary recalls were conducted using the US Department of Agriculture Automated Multiple-Pass Method. Under-reporters, acceptable reporters and over-reporters of EI were identified by two methods based on the 95 % confidence limits: (1) for agreement between the ratio of EI to BMR and a physical activity level for sedentary lifestyle (1·55) and (2) of the expected ratio of EI to estimated energy requirement (EER) of 1·0. BMR was calculated using Schofield's equations. EER was calculated using equations from the US Dietary Reference Intakes, assuming 'low active' level of physical activity. The risk of being an under-reporter or over-reporter compared with an acceptable reporter was analysed using multiple logistic regression. Percentages of under-reporters, acceptable reporters and over-reporters were 25·1, 73·5 and 1·4 %, respectively, based on EI:BMR, and 25·7, 71·8 and 2·5 %, respectively, based on EI:EER. Under-reporting was associated with female sex, older age, non-Hispanic blacks (compared with non-Hispanic whites), lower education, lower family poverty income ratio and overweight and obesity. Over-reporting was associated with male sex, younger age, lower family poverty income ratio, current smoking (compared with never smoking) and underweight. Similar findings were obtained when analysing only the first 24-h recall data from NHANES 1999-2012 (n 28 794). In conclusion, we found that misreporting of EI, particularly under-reporting, remains prevalent and differential in US adults.","author":[{"dropping-particle":"","family":"Murakami","given":"Kentaro","non-dropping-particle":"","parse-names":false,"suffix":""},{"dropping-particle":"","family":"Livingstone","given":"M. Barbara E.","non-dropping-particle":"","parse-names":false,"suffix":""}],"container-title":"The British journal of nutrition","id":"ITEM-1","issue":"8","issued":{"date-parts":[["2015","8","19"]]},"page":"1294-1303","publisher":"Br J Nutr","title":"Prevalence and characteristics of misreporting of energy intake in US adults: NHANES 2003-2012","type":"article-journal","volume":"114"},"uris":["http://www.mendeley.com/documents/?uuid=b7af312f-d696-3547-8496-93af7a9d6f0c"]}],"mendeley":{"formattedCitation":"(214)","plainTextFormattedCitation":"(214)","previouslyFormattedCitation":"(214)"},"properties":{"noteIndex":0},"schema":"https://github.com/citation-style-language/schema/raw/master/csl-citation.json"}</w:instrText>
      </w:r>
      <w:r w:rsidR="00603562" w:rsidRPr="00CA4ABC">
        <w:rPr>
          <w:rFonts w:cstheme="minorHAnsi"/>
          <w:color w:val="000000" w:themeColor="text1"/>
        </w:rPr>
        <w:fldChar w:fldCharType="separate"/>
      </w:r>
      <w:r w:rsidR="00FF0BCE" w:rsidRPr="00FF0BCE">
        <w:rPr>
          <w:rFonts w:cstheme="minorHAnsi"/>
          <w:noProof/>
          <w:color w:val="000000" w:themeColor="text1"/>
        </w:rPr>
        <w:t>(214)</w:t>
      </w:r>
      <w:r w:rsidR="00603562" w:rsidRPr="00CA4ABC">
        <w:rPr>
          <w:rFonts w:cstheme="minorHAnsi"/>
          <w:color w:val="000000" w:themeColor="text1"/>
        </w:rPr>
        <w:fldChar w:fldCharType="end"/>
      </w:r>
      <w:r w:rsidR="00603562" w:rsidRPr="00CA4ABC">
        <w:rPr>
          <w:rFonts w:cstheme="minorHAnsi"/>
          <w:color w:val="000000" w:themeColor="text1"/>
        </w:rPr>
        <w:t>. This</w:t>
      </w:r>
      <w:r w:rsidR="00507FC8" w:rsidRPr="00CA4ABC">
        <w:rPr>
          <w:rFonts w:cstheme="minorHAnsi"/>
          <w:color w:val="000000" w:themeColor="text1"/>
        </w:rPr>
        <w:t xml:space="preserve"> could mean that </w:t>
      </w:r>
      <w:r w:rsidR="00603562" w:rsidRPr="00CA4ABC">
        <w:rPr>
          <w:rFonts w:cstheme="minorHAnsi"/>
          <w:color w:val="000000" w:themeColor="text1"/>
        </w:rPr>
        <w:t>many</w:t>
      </w:r>
      <w:r w:rsidR="00507FC8" w:rsidRPr="00CA4ABC">
        <w:rPr>
          <w:rFonts w:cstheme="minorHAnsi"/>
          <w:color w:val="000000" w:themeColor="text1"/>
        </w:rPr>
        <w:t xml:space="preserve"> individuals fall</w:t>
      </w:r>
      <w:r w:rsidR="00603562" w:rsidRPr="00CA4ABC">
        <w:rPr>
          <w:rFonts w:cstheme="minorHAnsi"/>
          <w:color w:val="000000" w:themeColor="text1"/>
        </w:rPr>
        <w:t>ing</w:t>
      </w:r>
      <w:r w:rsidR="00507FC8" w:rsidRPr="00CA4ABC">
        <w:rPr>
          <w:rFonts w:cstheme="minorHAnsi"/>
          <w:color w:val="000000" w:themeColor="text1"/>
        </w:rPr>
        <w:t xml:space="preserve"> into valuable demographic categories </w:t>
      </w:r>
      <w:r w:rsidR="00603562" w:rsidRPr="00CA4ABC">
        <w:rPr>
          <w:rFonts w:cstheme="minorHAnsi"/>
          <w:color w:val="000000" w:themeColor="text1"/>
        </w:rPr>
        <w:t>could be</w:t>
      </w:r>
      <w:r w:rsidR="00507FC8" w:rsidRPr="00CA4ABC">
        <w:rPr>
          <w:rFonts w:cstheme="minorHAnsi"/>
          <w:color w:val="000000" w:themeColor="text1"/>
        </w:rPr>
        <w:t xml:space="preserve"> exclud</w:t>
      </w:r>
      <w:r w:rsidR="00603562" w:rsidRPr="00CA4ABC">
        <w:rPr>
          <w:rFonts w:cstheme="minorHAnsi"/>
          <w:color w:val="000000" w:themeColor="text1"/>
        </w:rPr>
        <w:t>ed and not accounted for in data analysis, leading to the introduction of unknown biases.</w:t>
      </w:r>
      <w:r w:rsidR="00507FC8" w:rsidRPr="00CA4ABC">
        <w:rPr>
          <w:rFonts w:cstheme="minorHAnsi"/>
          <w:color w:val="000000" w:themeColor="text1"/>
        </w:rPr>
        <w:t xml:space="preserve"> </w:t>
      </w:r>
      <w:r w:rsidR="00507FC8" w:rsidRPr="00CA4ABC">
        <w:rPr>
          <w:rFonts w:cstheme="minorHAnsi"/>
          <w:color w:val="000000" w:themeColor="text1"/>
          <w:shd w:val="clear" w:color="auto" w:fill="FFFFFF"/>
        </w:rPr>
        <w:t xml:space="preserve">Due to the </w:t>
      </w:r>
      <w:r w:rsidR="00507FC8" w:rsidRPr="00CA4ABC">
        <w:rPr>
          <w:rFonts w:cstheme="minorHAnsi"/>
          <w:color w:val="000000" w:themeColor="text1"/>
        </w:rPr>
        <w:t>major challenges associated with dealing with misreporte</w:t>
      </w:r>
      <w:r w:rsidRPr="00CA4ABC">
        <w:rPr>
          <w:rFonts w:cstheme="minorHAnsi"/>
          <w:color w:val="000000" w:themeColor="text1"/>
        </w:rPr>
        <w:t>rs</w:t>
      </w:r>
      <w:r w:rsidR="00507FC8" w:rsidRPr="00CA4ABC">
        <w:rPr>
          <w:rFonts w:cstheme="minorHAnsi"/>
          <w:color w:val="000000" w:themeColor="text1"/>
        </w:rPr>
        <w:t xml:space="preserve"> in nutrition research, there is still a </w:t>
      </w:r>
      <w:r w:rsidR="00507FC8" w:rsidRPr="00CA4ABC">
        <w:rPr>
          <w:rFonts w:cstheme="minorHAnsi"/>
          <w:color w:val="000000" w:themeColor="text1"/>
          <w:shd w:val="clear" w:color="auto" w:fill="FFFFFF"/>
        </w:rPr>
        <w:t xml:space="preserve">lack of consensus </w:t>
      </w:r>
      <w:r w:rsidR="00BD3AB9" w:rsidRPr="00CA4ABC">
        <w:rPr>
          <w:rFonts w:cstheme="minorHAnsi"/>
          <w:color w:val="000000" w:themeColor="text1"/>
          <w:shd w:val="clear" w:color="auto" w:fill="FFFFFF"/>
        </w:rPr>
        <w:t>on</w:t>
      </w:r>
      <w:r w:rsidR="00507FC8" w:rsidRPr="00CA4ABC">
        <w:rPr>
          <w:rFonts w:cstheme="minorHAnsi"/>
          <w:color w:val="000000" w:themeColor="text1"/>
        </w:rPr>
        <w:t xml:space="preserve"> the best way </w:t>
      </w:r>
      <w:r w:rsidR="00603562" w:rsidRPr="00CA4ABC">
        <w:rPr>
          <w:rFonts w:cstheme="minorHAnsi"/>
          <w:color w:val="000000" w:themeColor="text1"/>
        </w:rPr>
        <w:t>to approach this</w:t>
      </w:r>
      <w:r w:rsidR="00922AB1" w:rsidRPr="00CA4ABC">
        <w:rPr>
          <w:rFonts w:cstheme="minorHAnsi"/>
          <w:color w:val="000000" w:themeColor="text1"/>
        </w:rPr>
        <w:t xml:space="preserve"> </w:t>
      </w:r>
      <w:r w:rsidR="00922AB1"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{"citationItems":[{"id":"ITEM-1","itemData":{"DOI":"10.1111/NBU.12501","ISSN":"1467-3010","abstract":"The development of better and more robust measures of dietary intake in free living situations was identified as a priority for advancing nutrition research by the Office of Strategic Coordination for Health Research (OSCHR) Review of Nutrition and Human Health Research in 2017. The UK Nutrition Research Partnership (NRP) sponsored a workshop on Dietary Intake Assessment methodology alongside its series of 'Hot Topic' workshops designed to accelerate progress in nutrition research by bringing together people from a range of different disciplines. The workshop on Dietary Intake Assessment methodology took place via Zoom over two half-days in January 2021 and included 50 scientists from a wide range of disciplines. The problems with current methods of dietary assessment and how emerging technologies might address them were set out in pre-recorded presentations and explored in panel discussions. Participants then worked in breakout groups to discuss and prioritise the research questions that should be addressed to best further the field and lead to improvements in dietary assessment methodology. Five priority research questions were selected. Participants were asked to brainstorm potential approaches for addressing them and were then asked to focus on one approach and develop it further. At the end of these sessions, participants presented their project ideas to the rest of the workshop and these will be reported back to the Medical Research Council. It is hoped that potential collaborative projects arising from these discussions will be taken forward in response to future funding calls.","author":[{"dropping-particle":"la","family":"Hunty","given":"Anne de","non-dropping-particle":"","parse-names":false,"suffix":""},{"dropping-particle":"","family":"Buttriss","given":"Judith","non-dropping-particle":"","parse-names":false,"suffix":""},{"dropping-particle":"","family":"Draper","given":"John","non-dropping-particle":"","parse-names":false,"suffix":""},{"dropping-particle":"","family":"Roche","given":"Helen","non-dropping-particle":"","parse-names":false,"suffix":""},{"dropping-particle":"","family":"Levey","given":"Georgia","non-dropping-particle":"","parse-names":false,"suffix":""},{"dropping-particle":"","family":"Florescu","given":"Ana","non-dropping-particle":"","parse-names":false,"suffix":""},{"dropping-particle":"","family":"Penfold","given":"Naomi","non-dropping-particle":"","parse-names":false,"suffix":""},{"dropping-particle":"","family":"Frost","given":"Gary","non-dropping-particle":"","parse-names":false,"suffix":""}],"container-title":"Nutrition Bulletin","id":"ITEM-1","issue":"2","issued":{"date-parts":[["2021","6","1"]]},"page":"228-237","publisher":"John Wiley &amp; Sons, Ltd","title":"UK Nutrition Research Partnership (NRP) workshop: Forum on advancing dietary intake assessment","type":"article-journal","volume":"46"},"uris":["http://www.mendeley.com/documents/?uuid=67ea897e-ea89-3b96-b9a2-10468b219b39"]}],"mendeley":{"formattedCitation":"(215)","plainTextFormattedCitation":"(215)","previouslyFormattedCitation":"(215)"},"properties":{"noteIndex":0},"schema":"https://github.com/citation-style-language/schema/raw/master/csl-citation.json"}</w:instrText>
      </w:r>
      <w:r w:rsidR="00922AB1" w:rsidRPr="00CA4ABC">
        <w:rPr>
          <w:rFonts w:cstheme="minorHAnsi"/>
          <w:color w:val="000000" w:themeColor="text1"/>
        </w:rPr>
        <w:fldChar w:fldCharType="separate"/>
      </w:r>
      <w:r w:rsidR="00FF0BCE" w:rsidRPr="00FF0BCE">
        <w:rPr>
          <w:rFonts w:cstheme="minorHAnsi"/>
          <w:noProof/>
          <w:color w:val="000000" w:themeColor="text1"/>
        </w:rPr>
        <w:t>(215)</w:t>
      </w:r>
      <w:r w:rsidR="00922AB1" w:rsidRPr="00CA4ABC">
        <w:rPr>
          <w:rFonts w:cstheme="minorHAnsi"/>
          <w:color w:val="000000" w:themeColor="text1"/>
        </w:rPr>
        <w:fldChar w:fldCharType="end"/>
      </w:r>
      <w:r w:rsidR="00576C89">
        <w:rPr>
          <w:rFonts w:cstheme="minorHAnsi"/>
          <w:color w:val="000000" w:themeColor="text1"/>
        </w:rPr>
        <w:t>.</w:t>
      </w:r>
    </w:p>
    <w:p w14:paraId="522E0695" w14:textId="77777777" w:rsidR="00507FC8" w:rsidRPr="00CA4ABC" w:rsidRDefault="00507FC8" w:rsidP="004053D7">
      <w:pPr>
        <w:spacing w:line="360" w:lineRule="auto"/>
        <w:rPr>
          <w:rFonts w:cstheme="minorHAnsi"/>
          <w:color w:val="000000" w:themeColor="text1"/>
        </w:rPr>
      </w:pPr>
    </w:p>
    <w:p w14:paraId="4ABF6CD4" w14:textId="51EB81E7" w:rsidR="00507FC8" w:rsidRPr="00CA4ABC" w:rsidRDefault="007C049E" w:rsidP="004053D7">
      <w:pPr>
        <w:spacing w:line="360" w:lineRule="auto"/>
        <w:rPr>
          <w:rFonts w:cstheme="minorHAnsi"/>
          <w:color w:val="000000" w:themeColor="text1"/>
        </w:rPr>
      </w:pPr>
      <w:r w:rsidRPr="00CA4ABC">
        <w:rPr>
          <w:rFonts w:cstheme="minorHAnsi"/>
          <w:color w:val="000000" w:themeColor="text1"/>
        </w:rPr>
        <w:lastRenderedPageBreak/>
        <w:t>Alternative strategies were also</w:t>
      </w:r>
      <w:r w:rsidR="00844B57" w:rsidRPr="00CA4ABC">
        <w:rPr>
          <w:rFonts w:cstheme="minorHAnsi"/>
          <w:color w:val="000000" w:themeColor="text1"/>
        </w:rPr>
        <w:t xml:space="preserve"> investigated for removing inaccurate reporters </w:t>
      </w:r>
      <w:r w:rsidR="00844B57" w:rsidRPr="00CA4ABC">
        <w:rPr>
          <w:rFonts w:cstheme="minorHAnsi"/>
          <w:color w:val="000000" w:themeColor="text1"/>
        </w:rPr>
        <w:fldChar w:fldCharType="begin" w:fldLock="1"/>
      </w:r>
      <w:r w:rsidR="00821D82">
        <w:rPr>
          <w:rFonts w:cstheme="minorHAnsi"/>
          <w:color w:val="000000" w:themeColor="text1"/>
        </w:rPr>
        <w:instrText>ADDIN CSL_CITATION {"citationItems":[{"id":"ITEM-1","itemData":{"author":[{"dropping-particle":"","family":"GR.","given":"Goldberg","non-dropping-particle":"","parse-names":false,"suffix":""},{"dropping-particle":"","family":"AE.","given":"Black","non-dropping-particle":"","parse-names":false,"suffix":""},{"dropping-particle":"","family":"SA.","given":"Jebb","non-dropping-particle":"","parse-names":false,"suffix":""},{"dropping-particle":"","family":"TJ.","given":"Cole","non-dropping-particle":"","parse-names":false,"suffix":""},{"dropping-particle":"","family":"PR.","given":"Murgatroyd","non-dropping-particle":"","parse-names":false,"suffix":""},{"dropping-particle":"","family":"WA.","given":"Coward","non-dropping-particle":"","parse-names":false,"suffix":""},{"dropping-particle":"","family":"AM.","given":"Prentice","non-dropping-particle":"","parse-names":false,"suffix":""}],"container-title":"Eur J Clin Nutr","id":"ITEM-1","issued":{"date-parts":[["1991"]]},"page":"569-581","title":"Critical evaluation of energy intake data using fundamental principles of energy physiology: 1. Derivation of cut-off limits to identify under-recording.","type":"article-journal","volume":"45"},"uris":["http://www.mendeley.com/documents/?uuid=19f7780d-d986-3522-846a-aec25fe53543"]},{"id":"ITEM-2","itemData":{"DOI":"10.1038/SJ.IJO.0801376","ISSN":"03070565","PMID":"11033980","abstract":"OBJECTIVES: To re-state the principles underlying the Goldberg cut-off for identifying under-reporters of energy intake, re-examine the physiological principles and update the values to be substituted into the equation for calculating the cut-off, and to examine its use and limitations. RESULTS: New values are suggested for each element of the Goldberg equation. The physical activity level (PAL) for comparison with energy intake:basal metabolic rate (EI:BMR) should be selected to reflect the population under study; the PAL value of 1.55 x BMR is not necessarily the value of choice. The suggested value for average within-subject variation in energy intake is 23% (unchanged), but other sources of variation are increased in the light of new data. For within-subject variation in measured and estimated BMR, 4% and 8.5% respectively are suggested (previously 2.5% and 8%), and for total between-subject variation in PAL, the suggested value is 15% (previously 12.5%). The effect of these changes is to widen the confidence limits and reduce the sensitivity of the cut-off. CONCLUSIONS: The Goldberg cut-off can be used to evaluate the mean population bias in reported energy intake, but information on the activity or lifestyle of the population is needed to choose a suitable PAL energy requirement for comparison. Sensitivity for identifying under-reporters at the individual level is limited. In epidemiological studies information on home, leisure and occupational activity is essential in order to assign subjects to low, medium or high PAL levels before calculating the cut-offs. In small studies, it is desirable to measure energy expenditure, or to calculate individual energy requirements, and to compare energy intake directly with energy expenditure.","author":[{"dropping-particle":"","family":"Black","given":"A. E.","non-dropping-particle":"","parse-names":false,"suffix":""}],"container-title":"International journal of obesity and related metabolic disorders : journal of the International Association for the Study of Obesity","id":"ITEM-2","issue":"9","issued":{"date-parts":[["2000"]]},"page":"1119-1130","publisher":"Int J Obes Relat Metab Disord","title":"Critical evaluation of energy intake using the Goldberg cut-off for energy intake:basal metabolic rate. A practical guide to its calculation, use and limitations","type":"article-journal","volume":"24"},"uris":["http://www.mendeley.com/documents/?uuid=2caac03c-f2ff-3d6d-af14-1982353de7b9"]}],"mendeley":{"formattedCitation":"(204,216)","plainTextFormattedCitation":"(204,216)","previouslyFormattedCitation":"(204,216)"},"properties":{"noteIndex":0},"schema":"https://github.com/citation-style-language/schema/raw/master/csl-citation.json"}</w:instrText>
      </w:r>
      <w:r w:rsidR="00844B57" w:rsidRPr="00CA4ABC">
        <w:rPr>
          <w:rFonts w:cstheme="minorHAnsi"/>
          <w:color w:val="000000" w:themeColor="text1"/>
        </w:rPr>
        <w:fldChar w:fldCharType="separate"/>
      </w:r>
      <w:r w:rsidR="00FF0BCE" w:rsidRPr="00FF0BCE">
        <w:rPr>
          <w:rFonts w:cstheme="minorHAnsi"/>
          <w:noProof/>
          <w:color w:val="000000" w:themeColor="text1"/>
        </w:rPr>
        <w:t>(204,216)</w:t>
      </w:r>
      <w:r w:rsidR="00844B57" w:rsidRPr="00CA4ABC">
        <w:rPr>
          <w:rFonts w:cstheme="minorHAnsi"/>
          <w:color w:val="000000" w:themeColor="text1"/>
        </w:rPr>
        <w:fldChar w:fldCharType="end"/>
      </w:r>
      <w:r w:rsidR="00844B57" w:rsidRPr="00CA4ABC">
        <w:rPr>
          <w:rFonts w:cstheme="minorHAnsi"/>
          <w:color w:val="000000" w:themeColor="text1"/>
        </w:rPr>
        <w:t>, but these appeared to include lots of assumptions</w:t>
      </w:r>
      <w:r w:rsidR="0097391B">
        <w:rPr>
          <w:rFonts w:cstheme="minorHAnsi"/>
          <w:color w:val="000000" w:themeColor="text1"/>
        </w:rPr>
        <w:t>,</w:t>
      </w:r>
      <w:r w:rsidR="00844B57" w:rsidRPr="00CA4ABC">
        <w:rPr>
          <w:rFonts w:cstheme="minorHAnsi"/>
          <w:color w:val="000000" w:themeColor="text1"/>
        </w:rPr>
        <w:t xml:space="preserve"> and thus</w:t>
      </w:r>
      <w:r w:rsidR="00651431" w:rsidRPr="00CA4ABC">
        <w:rPr>
          <w:rFonts w:cstheme="minorHAnsi"/>
          <w:color w:val="000000" w:themeColor="text1"/>
        </w:rPr>
        <w:t>,</w:t>
      </w:r>
      <w:r w:rsidR="00844B57" w:rsidRPr="00CA4ABC">
        <w:rPr>
          <w:rFonts w:cstheme="minorHAnsi"/>
          <w:color w:val="000000" w:themeColor="text1"/>
        </w:rPr>
        <w:t xml:space="preserve"> it was felt that they overpredicted misreporters. </w:t>
      </w:r>
      <w:r w:rsidR="003A4E54" w:rsidRPr="00CA4ABC">
        <w:rPr>
          <w:rFonts w:cstheme="minorHAnsi"/>
          <w:color w:val="000000" w:themeColor="text1"/>
        </w:rPr>
        <w:t xml:space="preserve">Estimated prevalence rates of underreporting in women and men, determined using the Goldberg </w:t>
      </w:r>
      <w:r w:rsidR="003A4E54" w:rsidRPr="00CA4ABC">
        <w:rPr>
          <w:rFonts w:cstheme="minorHAnsi"/>
          <w:color w:val="000000" w:themeColor="text1"/>
        </w:rPr>
        <w:fldChar w:fldCharType="begin" w:fldLock="1"/>
      </w:r>
      <w:r w:rsidR="00821D82">
        <w:rPr>
          <w:rFonts w:cstheme="minorHAnsi"/>
          <w:color w:val="000000" w:themeColor="text1"/>
        </w:rPr>
        <w:instrText>ADDIN CSL_CITATION {"citationItems":[{"id":"ITEM-1","itemData":{"author":[{"dropping-particle":"","family":"GR.","given":"Goldberg","non-dropping-particle":"","parse-names":false,"suffix":""},{"dropping-particle":"","family":"AE.","given":"Black","non-dropping-particle":"","parse-names":false,"suffix":""},{"dropping-particle":"","family":"SA.","given":"Jebb","non-dropping-particle":"","parse-names":false,"suffix":""},{"dropping-particle":"","family":"TJ.","given":"Cole","non-dropping-particle":"","parse-names":false,"suffix":""},{"dropping-particle":"","family":"PR.","given":"Murgatroyd","non-dropping-particle":"","parse-names":false,"suffix":""},{"dropping-particle":"","family":"WA.","given":"Coward","non-dropping-particle":"","parse-names":false,"suffix":""},{"dropping-particle":"","family":"AM.","given":"Prentice","non-dropping-particle":"","parse-names":false,"suffix":""}],"container-title":"Eur J Clin Nutr","id":"ITEM-1","issued":{"date-parts":[["1991"]]},"page":"569-581","title":"Critical evaluation of energy intake data using fundamental principles of energy physiology: 1. Derivation of cut-off limits to identify under-recording.","type":"article-journal","volume":"45"},"uris":["http://www.mendeley.com/documents/?uuid=19f7780d-d986-3522-846a-aec25fe53543"]}],"mendeley":{"formattedCitation":"(204)","plainTextFormattedCitation":"(204)","previouslyFormattedCitation":"(204)"},"properties":{"noteIndex":0},"schema":"https://github.com/citation-style-language/schema/raw/master/csl-citation.json"}</w:instrText>
      </w:r>
      <w:r w:rsidR="003A4E54" w:rsidRPr="00CA4ABC">
        <w:rPr>
          <w:rFonts w:cstheme="minorHAnsi"/>
          <w:color w:val="000000" w:themeColor="text1"/>
        </w:rPr>
        <w:fldChar w:fldCharType="separate"/>
      </w:r>
      <w:r w:rsidR="00FF0BCE" w:rsidRPr="00FF0BCE">
        <w:rPr>
          <w:rFonts w:cstheme="minorHAnsi"/>
          <w:noProof/>
          <w:color w:val="000000" w:themeColor="text1"/>
        </w:rPr>
        <w:t>(204)</w:t>
      </w:r>
      <w:r w:rsidR="003A4E54" w:rsidRPr="00CA4ABC">
        <w:rPr>
          <w:rFonts w:cstheme="minorHAnsi"/>
          <w:color w:val="000000" w:themeColor="text1"/>
        </w:rPr>
        <w:fldChar w:fldCharType="end"/>
      </w:r>
      <w:r w:rsidR="003A4E54" w:rsidRPr="00CA4ABC">
        <w:rPr>
          <w:rFonts w:cstheme="minorHAnsi"/>
          <w:color w:val="000000" w:themeColor="text1"/>
        </w:rPr>
        <w:t xml:space="preserve"> method, were 21.7% and14.7%, respectively </w:t>
      </w:r>
      <w:r w:rsidR="00844B5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{"citationItems":[{"id":"ITEM-1","itemData":{"DOI":"10.1093/AJE/KWQ380","ISSN":"1476-6256","PMID":"21242302","author":[{"dropping-particle":"","family":"Mendez","given":"Michelle A.","non-dropping-particle":"","parse-names":false,"suffix":""},{"dropping-particle":"","family":"Popkin","given":"Barry M.","non-dropping-particle":"","parse-names":false,"suffix":""},{"dropping-particle":"","family":"Buckland","given":"Genevieve","non-dropping-particle":"","parse-names":false,"suffix":""},{"dropping-particle":"","family":"Schroder","given":"Helmut","non-dropping-particle":"","parse-names":false,"suffix":""},{"dropping-particle":"","family":"Amiano","given":"Pilar","non-dropping-particle":"","parse-names":false,"suffix":""},{"dropping-particle":"","family":"Barricarte","given":"Aurelio","non-dropping-particle":"","parse-names":false,"suffix":""},{"dropping-particle":"","family":"Huerta","given":"José-María","non-dropping-particle":"","parse-names":false,"suffix":""},{"dropping-particle":"","family":"Quirós","given":"José R.","non-dropping-particle":"","parse-names":false,"suffix":""},{"dropping-particle":"","family":"Sánchez","given":"María-José","non-dropping-particle":"","parse-names":false,"suffix":""},{"dropping-particle":"","family":"González","given":"Carlos A","non-dropping-particle":"","parse-names":false,"suffix":""}],"container-title":"American Journal of Epidemiology","id":"ITEM-1","issue":"4","issued":{"date-parts":[["2011","2","2"]]},"page":"448","publisher":"Oxford University Press","title":"Alternative Methods of Accounting for Underreporting and Overreporting When Measuring Dietary Intake-Obesity Relations","type":"article-journal","volume":"173"},"uris":["http://www.mendeley.com/documents/?uuid=b5327b67-6633-3972-b153-608014f00910"]}],"mendeley":{"formattedCitation":"(200)","plainTextFormattedCitation":"(200)","previouslyFormattedCitation":"(200)"},"properties":{"noteIndex":0},"schema":"https://github.com/citation-style-language/schema/raw/master/csl-citation.json"}</w:instrText>
      </w:r>
      <w:r w:rsidR="00844B57" w:rsidRPr="00CA4ABC">
        <w:rPr>
          <w:rFonts w:cstheme="minorHAnsi"/>
          <w:color w:val="000000" w:themeColor="text1"/>
        </w:rPr>
        <w:fldChar w:fldCharType="separate"/>
      </w:r>
      <w:r w:rsidR="00FF0BCE" w:rsidRPr="00FF0BCE">
        <w:rPr>
          <w:rFonts w:cstheme="minorHAnsi"/>
          <w:noProof/>
          <w:color w:val="000000" w:themeColor="text1"/>
        </w:rPr>
        <w:t>(200)</w:t>
      </w:r>
      <w:r w:rsidR="00844B57" w:rsidRPr="00CA4ABC">
        <w:rPr>
          <w:rFonts w:cstheme="minorHAnsi"/>
          <w:color w:val="000000" w:themeColor="text1"/>
        </w:rPr>
        <w:fldChar w:fldCharType="end"/>
      </w:r>
      <w:r w:rsidR="0097391B">
        <w:rPr>
          <w:rFonts w:cstheme="minorHAnsi"/>
          <w:color w:val="000000" w:themeColor="text1"/>
        </w:rPr>
        <w:t>. These</w:t>
      </w:r>
      <w:r w:rsidR="00507FC8" w:rsidRPr="00CA4ABC">
        <w:rPr>
          <w:rFonts w:cstheme="minorHAnsi"/>
          <w:color w:val="000000" w:themeColor="text1"/>
        </w:rPr>
        <w:t xml:space="preserve"> were higher than estimates determined using</w:t>
      </w:r>
      <w:r w:rsidR="003A4E54" w:rsidRPr="00CA4ABC">
        <w:rPr>
          <w:rFonts w:cstheme="minorHAnsi"/>
          <w:color w:val="000000" w:themeColor="text1"/>
        </w:rPr>
        <w:t xml:space="preserve"> both</w:t>
      </w:r>
      <w:r w:rsidR="00507FC8" w:rsidRPr="00CA4ABC">
        <w:rPr>
          <w:rFonts w:cstheme="minorHAnsi"/>
          <w:color w:val="000000" w:themeColor="text1"/>
        </w:rPr>
        <w:t xml:space="preserve"> the</w:t>
      </w:r>
      <w:r w:rsidR="00651431" w:rsidRPr="00CA4ABC">
        <w:rPr>
          <w:rFonts w:cstheme="minorHAnsi"/>
          <w:color w:val="000000" w:themeColor="text1"/>
        </w:rPr>
        <w:t xml:space="preserve"> </w:t>
      </w:r>
      <w:r w:rsidR="00507FC8" w:rsidRPr="00CA4ABC">
        <w:rPr>
          <w:rFonts w:cstheme="minorHAnsi"/>
          <w:color w:val="000000" w:themeColor="text1"/>
        </w:rPr>
        <w:t xml:space="preserve">revised Goldberg method </w:t>
      </w:r>
      <w:r w:rsidR="00844B5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{"citationItems":[{"id":"ITEM-1","itemData":{"DOI":"10.1038/SJ.EJCN.1600971","ISSN":"0954-3007","PMID":"10822286","abstract":"Objective: To explore the specificity and sensitivity of the Goldberg cut-off for EI:BMR for identifying diet reports of poor validity as compared with the direct comparison of energy intake with energy expenditure measured by doubly-labelled water. Design: Twenty-two studies with measurements of total energy expenditure by doubly-labelled water (EE), basal metabolic rate (BMR) and energy intake (EI) provided the database (n = 429). The ratio EI:EE provided the baseline definition of under- (UR), acceptable- (AR) and over-reporters (OR), respectively EI:EE &lt; 0.76, 0.76-1.24 and &gt; 1.24. Four strategies for identifying under- and over-reporters using the Goldberg cut-off were explored. Sensitivity of the cut-off was calculated as the proportion of UR correctly identified and specificity as the proportion of non-UR correctly identified. Results: UR, AR and OR (by EI:EE) were 34, 62 and 4% respectively of all subjects. When a single Goldberg cut-off for the physical activity level (PAL) of 1.55 was used, for men and women respectively the sensitivity was 0.50 and 0.52 and the specificity 1.00 and 0.99. Using a cut-off for higher PAL traded specificity for sensitivity. Using the cut-off for a PAL of 1.95, sensitivity was 0.76 and 0.85 and the specificity 0.87 and 0.78 for men and women respectively. Using cut-offs for mean age-sex specific PAL did not improve sensitivity. When subjects were assigned to low, medium and high activity levels and cut-offs for three different PALs used, sensitivity improved to 0.74 and 0.67 without loss of specificity (0.97 and 0.98), for men and women respectively. If activity levels for men were applied to the womens' data, sensitivity improved to 0.72. Conclusion: To identify diet reports of poor validity using the Goldberg cut-off for EI:BMR, information is needed on each subject's activity level.","author":[{"dropping-particle":"","family":"Black","given":"A. E.","non-dropping-particle":"","parse-names":false,"suffix":""}],"container-title":"European journal of clinical nutrition","id":"ITEM-1","issue":"5","issued":{"date-parts":[["2000"]]},"page":"395-404","publisher":"Eur J Clin Nutr","title":"The sensitivity and specificity of the Goldberg cut-off for EI:BMR for identifying diet reports of poor validity","type":"article-journal","volume":"54"},"uris":["http://www.mendeley.com/documents/?uuid=bc8d59e1-d36a-35d0-8e4e-a9f38320a20c"]}],"mendeley":{"formattedCitation":"(203)","plainTextFormattedCitation":"(203)","previouslyFormattedCitation":"(203)"},"properties":{"noteIndex":0},"schema":"https://github.com/citation-style-language/schema/raw/master/csl-citation.json"}</w:instrText>
      </w:r>
      <w:r w:rsidR="00844B57" w:rsidRPr="00CA4ABC">
        <w:rPr>
          <w:rFonts w:cstheme="minorHAnsi"/>
          <w:color w:val="000000" w:themeColor="text1"/>
        </w:rPr>
        <w:fldChar w:fldCharType="separate"/>
      </w:r>
      <w:r w:rsidR="00FF0BCE" w:rsidRPr="00FF0BCE">
        <w:rPr>
          <w:rFonts w:cstheme="minorHAnsi"/>
          <w:noProof/>
          <w:color w:val="000000" w:themeColor="text1"/>
        </w:rPr>
        <w:t>(203)</w:t>
      </w:r>
      <w:r w:rsidR="00844B57" w:rsidRPr="00CA4ABC">
        <w:rPr>
          <w:rFonts w:cstheme="minorHAnsi"/>
          <w:color w:val="000000" w:themeColor="text1"/>
        </w:rPr>
        <w:fldChar w:fldCharType="end"/>
      </w:r>
      <w:r w:rsidR="003A4E54" w:rsidRPr="00CA4ABC">
        <w:rPr>
          <w:rFonts w:cstheme="minorHAnsi"/>
          <w:color w:val="000000" w:themeColor="text1"/>
        </w:rPr>
        <w:t xml:space="preserve"> (</w:t>
      </w:r>
      <w:r w:rsidR="00507FC8" w:rsidRPr="00CA4ABC">
        <w:rPr>
          <w:rFonts w:cstheme="minorHAnsi"/>
          <w:color w:val="000000" w:themeColor="text1"/>
        </w:rPr>
        <w:t>14.4%  and  9.1%</w:t>
      </w:r>
      <w:r w:rsidR="003A4E54" w:rsidRPr="00CA4ABC">
        <w:rPr>
          <w:rFonts w:cstheme="minorHAnsi"/>
          <w:color w:val="000000" w:themeColor="text1"/>
        </w:rPr>
        <w:t>)</w:t>
      </w:r>
      <w:r w:rsidR="00507FC8" w:rsidRPr="00CA4ABC">
        <w:rPr>
          <w:rFonts w:cstheme="minorHAnsi"/>
          <w:color w:val="000000" w:themeColor="text1"/>
        </w:rPr>
        <w:t xml:space="preserve"> and the</w:t>
      </w:r>
      <w:r w:rsidR="001920B8" w:rsidRPr="00CA4ABC">
        <w:rPr>
          <w:rFonts w:cstheme="minorHAnsi"/>
          <w:color w:val="000000" w:themeColor="text1"/>
        </w:rPr>
        <w:t xml:space="preserve"> predicted total energy expenditure</w:t>
      </w:r>
      <w:r w:rsidR="00507FC8" w:rsidRPr="00CA4ABC">
        <w:rPr>
          <w:rFonts w:cstheme="minorHAnsi"/>
          <w:color w:val="000000" w:themeColor="text1"/>
        </w:rPr>
        <w:t xml:space="preserve"> </w:t>
      </w:r>
      <w:r w:rsidR="001920B8" w:rsidRPr="00CA4ABC">
        <w:rPr>
          <w:rFonts w:cstheme="minorHAnsi"/>
          <w:color w:val="000000" w:themeColor="text1"/>
        </w:rPr>
        <w:t>(</w:t>
      </w:r>
      <w:r w:rsidR="00507FC8" w:rsidRPr="00CA4ABC">
        <w:rPr>
          <w:rFonts w:cstheme="minorHAnsi"/>
          <w:color w:val="000000" w:themeColor="text1"/>
        </w:rPr>
        <w:t>pTEE</w:t>
      </w:r>
      <w:r w:rsidR="001920B8" w:rsidRPr="00CA4ABC">
        <w:rPr>
          <w:rFonts w:cstheme="minorHAnsi"/>
          <w:color w:val="000000" w:themeColor="text1"/>
        </w:rPr>
        <w:t>)</w:t>
      </w:r>
      <w:r w:rsidR="00507FC8" w:rsidRPr="00CA4ABC">
        <w:rPr>
          <w:rFonts w:cstheme="minorHAnsi"/>
          <w:color w:val="000000" w:themeColor="text1"/>
        </w:rPr>
        <w:t xml:space="preserve"> method</w:t>
      </w:r>
      <w:r w:rsidR="00844B57" w:rsidRPr="00CA4ABC">
        <w:rPr>
          <w:rFonts w:cstheme="minorHAnsi"/>
          <w:color w:val="000000" w:themeColor="text1"/>
        </w:rPr>
        <w:t xml:space="preserve"> </w:t>
      </w:r>
      <w:r w:rsidR="00844B5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{"citationItems":[{"id":"ITEM-1","itemData":{"DOI":"10.1079/PHN2002387","ISSN":"1368-9800","PMID":"12633510","abstract":"OBJECTIVE: To review existing methods and illustrate the use of a new, simple method for identifying inaccurate reports of dietary energy intake (rEI). DESIGN: Comparison of rEI with energy requirements estimated by using total energy expenditure predicted (pTEE) from age, weight, height and sex using a previously published equation. Propagation of error calculations was performed and cut-offs for excluding rEI at plus or minus two standard deviations (+/-2 SD) and +/-1 SD for the agreement between rEI and pTEE were established. SETTING: Dietary survey in a US national cohort: the Continuing Survey of Food Intakes by Individuals (CSFII), 1994-96. SUBJECTS: Men and non-pregnant, non-lactating women aged 21-45 years in the CSFII who provided two multiple-pass 24-hour recalls, height and weight (n = 3755). RESULTS: Average rEI was 77% of pTEE in men, and 64% of pTEE in women. Calculated cut-offs were rEI &lt;40% or &gt;160% of pTEE (+/-2 SD) and &lt;70% or &gt;130% of pTEE (+/-1 SD), respectively. Use of only the +/-1 SD cut-offs, not the +/-2 SD cut-offs, resulted in a relationship between rEI and body weight similar to what was expected (based on an independently calculated relationship between rEI and measured TEE). Exclusion of rEI outside either the +/-2 SD (11% of subjects) or +/-1 SD (57% of subjects) cut-offs did not affect mean reported macronutrient intakes, but did markedly affect relationships between dietary composition and body mass index. CONCLUSIONS: When examining relationships between diet and health, use of +/-1 SD cut-offs may be preferable to +/-2 SD cut-offs for excluding inaccurate dietary reports.","author":[{"dropping-particle":"","family":"MA","given":"McCrory","non-dropping-particle":"","parse-names":false,"suffix":""},{"dropping-particle":"","family":"MA","given":"McCrory","non-dropping-particle":"","parse-names":false,"suffix":""},{"dropping-particle":"","family":"CL","given":"Hajduk","non-dropping-particle":"","parse-names":false,"suffix":""},{"dropping-particle":"","family":"SB","given":"Roberts","non-dropping-particle":"","parse-names":false,"suffix":""}],"container-title":"Public health nutrition","id":"ITEM-1","issue":"6A","issued":{"date-parts":[["2002","12"]]},"page":"873-882","publisher":"Public Health Nutr","title":"Procedures for screening out inaccurate reports of dietary energy intake","type":"article-journal","volume":"5"},"uris":["http://www.mendeley.com/documents/?uuid=ebcb637a-0c9c-3624-a4c8-520dbe796567"]}],"mendeley":{"formattedCitation":"(201)","plainTextFormattedCitation":"(201)","previouslyFormattedCitation":"(201)"},"properties":{"noteIndex":0},"schema":"https://github.com/citation-style-language/schema/raw/master/csl-citation.json"}</w:instrText>
      </w:r>
      <w:r w:rsidR="00844B57" w:rsidRPr="00CA4ABC">
        <w:rPr>
          <w:rFonts w:cstheme="minorHAnsi"/>
          <w:color w:val="000000" w:themeColor="text1"/>
        </w:rPr>
        <w:fldChar w:fldCharType="separate"/>
      </w:r>
      <w:r w:rsidR="00FF0BCE" w:rsidRPr="00FF0BCE">
        <w:rPr>
          <w:rFonts w:cstheme="minorHAnsi"/>
          <w:noProof/>
          <w:color w:val="000000" w:themeColor="text1"/>
        </w:rPr>
        <w:t>(201)</w:t>
      </w:r>
      <w:r w:rsidR="00844B57" w:rsidRPr="00CA4ABC">
        <w:rPr>
          <w:rFonts w:cstheme="minorHAnsi"/>
          <w:color w:val="000000" w:themeColor="text1"/>
        </w:rPr>
        <w:fldChar w:fldCharType="end"/>
      </w:r>
      <w:r w:rsidR="00507FC8" w:rsidRPr="00CA4ABC">
        <w:rPr>
          <w:rFonts w:cstheme="minorHAnsi"/>
          <w:color w:val="000000" w:themeColor="text1"/>
        </w:rPr>
        <w:t xml:space="preserve"> (12.0% and 7.2%). </w:t>
      </w:r>
      <w:r w:rsidR="00AB4278">
        <w:rPr>
          <w:rFonts w:cstheme="minorHAnsi"/>
          <w:color w:val="000000" w:themeColor="text1"/>
        </w:rPr>
        <w:t>Only ten misreporters were removed in this analysis</w:t>
      </w:r>
      <w:r w:rsidR="00844B57" w:rsidRPr="00CA4ABC">
        <w:rPr>
          <w:rFonts w:cstheme="minorHAnsi"/>
          <w:color w:val="000000" w:themeColor="text1"/>
        </w:rPr>
        <w:t>, equating to 3% of the participants</w:t>
      </w:r>
      <w:r w:rsidR="00651431" w:rsidRPr="00CA4ABC">
        <w:rPr>
          <w:rFonts w:cstheme="minorHAnsi"/>
          <w:color w:val="000000" w:themeColor="text1"/>
        </w:rPr>
        <w:t>.</w:t>
      </w:r>
      <w:r w:rsidR="00844B57" w:rsidRPr="00CA4ABC">
        <w:rPr>
          <w:rFonts w:cstheme="minorHAnsi"/>
          <w:color w:val="000000" w:themeColor="text1"/>
        </w:rPr>
        <w:t xml:space="preserve"> </w:t>
      </w:r>
      <w:r w:rsidR="00AB4278">
        <w:rPr>
          <w:rFonts w:cstheme="minorHAnsi"/>
          <w:color w:val="000000" w:themeColor="text1"/>
        </w:rPr>
        <w:t>The avoidance</w:t>
      </w:r>
      <w:r w:rsidR="001920B8" w:rsidRPr="00CA4ABC">
        <w:rPr>
          <w:rFonts w:cstheme="minorHAnsi"/>
          <w:color w:val="000000" w:themeColor="text1"/>
        </w:rPr>
        <w:t xml:space="preserve"> of </w:t>
      </w:r>
      <w:r w:rsidR="00AB4278">
        <w:rPr>
          <w:rFonts w:cstheme="minorHAnsi"/>
          <w:color w:val="000000" w:themeColor="text1"/>
        </w:rPr>
        <w:t>eliminating</w:t>
      </w:r>
      <w:r w:rsidR="001920B8" w:rsidRPr="00CA4ABC">
        <w:rPr>
          <w:rFonts w:cstheme="minorHAnsi"/>
          <w:color w:val="000000" w:themeColor="text1"/>
        </w:rPr>
        <w:t xml:space="preserve"> </w:t>
      </w:r>
      <w:r w:rsidR="00507FC8" w:rsidRPr="00CA4ABC">
        <w:rPr>
          <w:rFonts w:cstheme="minorHAnsi"/>
          <w:color w:val="000000" w:themeColor="text1"/>
        </w:rPr>
        <w:t>too many participants</w:t>
      </w:r>
      <w:r w:rsidR="001920B8" w:rsidRPr="00CA4ABC">
        <w:rPr>
          <w:rFonts w:cstheme="minorHAnsi"/>
          <w:color w:val="000000" w:themeColor="text1"/>
        </w:rPr>
        <w:t xml:space="preserve"> was prioritised</w:t>
      </w:r>
      <w:r w:rsidR="00507FC8" w:rsidRPr="00CA4ABC">
        <w:rPr>
          <w:rFonts w:cstheme="minorHAnsi"/>
          <w:color w:val="000000" w:themeColor="text1"/>
        </w:rPr>
        <w:t xml:space="preserve"> </w:t>
      </w:r>
      <w:r w:rsidR="001920B8" w:rsidRPr="00CA4ABC">
        <w:rPr>
          <w:rFonts w:cstheme="minorHAnsi"/>
          <w:color w:val="000000" w:themeColor="text1"/>
        </w:rPr>
        <w:t>to limit the</w:t>
      </w:r>
      <w:r w:rsidR="00507FC8" w:rsidRPr="00CA4ABC">
        <w:rPr>
          <w:rFonts w:cstheme="minorHAnsi"/>
          <w:color w:val="000000" w:themeColor="text1"/>
        </w:rPr>
        <w:t xml:space="preserve"> introduc</w:t>
      </w:r>
      <w:r w:rsidR="001920B8" w:rsidRPr="00CA4ABC">
        <w:rPr>
          <w:rFonts w:cstheme="minorHAnsi"/>
          <w:color w:val="000000" w:themeColor="text1"/>
        </w:rPr>
        <w:t>tion of</w:t>
      </w:r>
      <w:r w:rsidR="00507FC8" w:rsidRPr="00CA4ABC">
        <w:rPr>
          <w:rFonts w:cstheme="minorHAnsi"/>
          <w:color w:val="000000" w:themeColor="text1"/>
        </w:rPr>
        <w:t xml:space="preserve"> selection bias </w:t>
      </w:r>
      <w:r w:rsidR="001920B8" w:rsidRPr="00CA4ABC">
        <w:rPr>
          <w:rFonts w:cstheme="minorHAnsi"/>
          <w:color w:val="000000" w:themeColor="text1"/>
        </w:rPr>
        <w:t>and the effect</w:t>
      </w:r>
      <w:r w:rsidR="00507FC8" w:rsidRPr="00CA4ABC">
        <w:rPr>
          <w:rFonts w:cstheme="minorHAnsi"/>
          <w:color w:val="000000" w:themeColor="text1"/>
        </w:rPr>
        <w:t xml:space="preserve"> </w:t>
      </w:r>
      <w:r w:rsidR="001920B8" w:rsidRPr="00CA4ABC">
        <w:rPr>
          <w:rFonts w:cstheme="minorHAnsi"/>
          <w:color w:val="000000" w:themeColor="text1"/>
        </w:rPr>
        <w:t xml:space="preserve">on </w:t>
      </w:r>
      <w:r w:rsidR="00507FC8" w:rsidRPr="00CA4ABC">
        <w:rPr>
          <w:rFonts w:cstheme="minorHAnsi"/>
          <w:color w:val="000000" w:themeColor="text1"/>
        </w:rPr>
        <w:t xml:space="preserve">the </w:t>
      </w:r>
      <w:r w:rsidR="00AB4278">
        <w:rPr>
          <w:rFonts w:cstheme="minorHAnsi"/>
          <w:color w:val="000000" w:themeColor="text1"/>
        </w:rPr>
        <w:t>data's magnitude and/or direction</w:t>
      </w:r>
      <w:r w:rsidR="001920B8" w:rsidRPr="00CA4ABC">
        <w:rPr>
          <w:rFonts w:cstheme="minorHAnsi"/>
          <w:color w:val="000000" w:themeColor="text1"/>
        </w:rPr>
        <w:t xml:space="preserve">. </w:t>
      </w:r>
      <w:r w:rsidR="00507FC8" w:rsidRPr="00CA4ABC">
        <w:rPr>
          <w:rFonts w:cstheme="minorHAnsi"/>
          <w:color w:val="000000" w:themeColor="text1"/>
        </w:rPr>
        <w:t>Goldberg protocols also ha</w:t>
      </w:r>
      <w:r w:rsidR="00844B57" w:rsidRPr="00CA4ABC">
        <w:rPr>
          <w:rFonts w:cstheme="minorHAnsi"/>
          <w:color w:val="000000" w:themeColor="text1"/>
        </w:rPr>
        <w:t>ve</w:t>
      </w:r>
      <w:r w:rsidR="00507FC8" w:rsidRPr="00CA4ABC">
        <w:rPr>
          <w:rFonts w:cstheme="minorHAnsi"/>
          <w:color w:val="000000" w:themeColor="text1"/>
        </w:rPr>
        <w:t xml:space="preserve"> the limitation that physical activity levels are required for energy expenditure calculations. </w:t>
      </w:r>
      <w:r w:rsidR="00815A13" w:rsidRPr="00CA4ABC">
        <w:rPr>
          <w:rFonts w:cstheme="minorHAnsi"/>
          <w:color w:val="000000"/>
        </w:rPr>
        <w:t xml:space="preserve">Although we collected this information, it was self-reported once again, which can lead to another degree of inaccuracies and errors being introduced. </w:t>
      </w:r>
      <w:r w:rsidR="00507FC8" w:rsidRPr="00CA4ABC">
        <w:rPr>
          <w:rFonts w:cstheme="minorHAnsi"/>
          <w:color w:val="000000" w:themeColor="text1"/>
        </w:rPr>
        <w:t xml:space="preserve">Conversely, most epidemiological studies have excluded participants with implausible energy intakes using </w:t>
      </w:r>
      <w:r w:rsidR="00844B57" w:rsidRPr="00CA4ABC">
        <w:rPr>
          <w:rFonts w:cstheme="minorHAnsi"/>
          <w:color w:val="000000" w:themeColor="text1"/>
        </w:rPr>
        <w:t>cut-offs</w:t>
      </w:r>
      <w:r w:rsidR="00507FC8" w:rsidRPr="00CA4ABC">
        <w:rPr>
          <w:rFonts w:cstheme="minorHAnsi"/>
          <w:color w:val="000000" w:themeColor="text1"/>
        </w:rPr>
        <w:t xml:space="preserve"> for plausible energy intakes. This method is more pragmatic and straight</w:t>
      </w:r>
      <w:r w:rsidR="00815A13" w:rsidRPr="00CA4ABC">
        <w:rPr>
          <w:rFonts w:cstheme="minorHAnsi"/>
          <w:color w:val="000000" w:themeColor="text1"/>
        </w:rPr>
        <w:t>-</w:t>
      </w:r>
      <w:r w:rsidR="00507FC8" w:rsidRPr="00CA4ABC">
        <w:rPr>
          <w:rFonts w:cstheme="minorHAnsi"/>
          <w:color w:val="000000" w:themeColor="text1"/>
        </w:rPr>
        <w:t>forward in that it does not require any extra mathematical calculations. In the Nurses’ Health Study (NHS)</w:t>
      </w:r>
      <w:r w:rsidR="00844B57" w:rsidRPr="00CA4ABC">
        <w:rPr>
          <w:rFonts w:cstheme="minorHAnsi"/>
          <w:color w:val="000000" w:themeColor="text1"/>
        </w:rPr>
        <w:t xml:space="preserve"> </w:t>
      </w:r>
      <w:r w:rsidR="00844B5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{"citationItems":[{"id":"ITEM-1","itemData":{"DOI":"10.1089/JWH.1997.6.49","ISSN":"1059-7115","PMID":"9065374","abstract":"The Nurses' Health Study was designed as a prospective follow-up study to examine relations between contraception and breast cancer. With follow-up questionnaires mailed every 2 years, investigators have added extensive details of lifestyle practices. The study, currently in its 20th year, has maintained high follow-up with &gt; 90% of participants responding to each of the follow-up cycles since 1988. The relations between use of hormones, diet, exercise, and other lifestyle practices have been related to the development of a wide range of chronic illnesses among women. This review describes the methods used to follow up the study participants and summarizes the major findings that have been described over the first 20 years of the study. We highlight additional areas added to the study in recent years to address emerging issues in women's health. Special emphasis is placed on the recent findings from the study, including relations between weight gain and heart disease, diabetes, and mortality, the lack of relation between calcium and osteoporotic fractures, and the positive relation between postmenopausal use of hormones and risk of breast cancer.","author":[{"dropping-particle":"","family":"Colditz","given":"Graham A.","non-dropping-particle":"","parse-names":false,"suffix":""},{"dropping-particle":"","family":"Manson","given":"Joann E.","non-dropping-particle":"","parse-names":false,"suffix":""},{"dropping-particle":"","family":"Hankinson","given":"Susan E.","non-dropping-particle":"","parse-names":false,"suffix":""}],"container-title":"Journal of women's health","id":"ITEM-1","issue":"1","issued":{"date-parts":[["1997"]]},"page":"49-62","publisher":"J Womens Health","title":"The Nurses' Health Study: 20-year contribution to the understanding of health among women","type":"article-journal","volume":"6"},"uris":["http://www.mendeley.com/documents/?uuid=4e675756-685f-3ae0-ae94-8e7b208cb4bf"]}],"mendeley":{"formattedCitation":"(217)","plainTextFormattedCitation":"(217)","previouslyFormattedCitation":"(217)"},"properties":{"noteIndex":0},"schema":"https://github.com/citation-style-language/schema/raw/master/csl-citation.json"}</w:instrText>
      </w:r>
      <w:r w:rsidR="00844B57" w:rsidRPr="00CA4ABC">
        <w:rPr>
          <w:rFonts w:cstheme="minorHAnsi"/>
          <w:color w:val="000000" w:themeColor="text1"/>
        </w:rPr>
        <w:fldChar w:fldCharType="separate"/>
      </w:r>
      <w:r w:rsidR="00FF0BCE" w:rsidRPr="00FF0BCE">
        <w:rPr>
          <w:rFonts w:cstheme="minorHAnsi"/>
          <w:noProof/>
          <w:color w:val="000000" w:themeColor="text1"/>
        </w:rPr>
        <w:t>(217)</w:t>
      </w:r>
      <w:r w:rsidR="00844B57" w:rsidRPr="00CA4ABC">
        <w:rPr>
          <w:rFonts w:cstheme="minorHAnsi"/>
          <w:color w:val="000000" w:themeColor="text1"/>
        </w:rPr>
        <w:fldChar w:fldCharType="end"/>
      </w:r>
      <w:r w:rsidR="00844B57" w:rsidRPr="00CA4ABC">
        <w:rPr>
          <w:rFonts w:cstheme="minorHAnsi"/>
          <w:color w:val="000000" w:themeColor="text1"/>
        </w:rPr>
        <w:t xml:space="preserve"> </w:t>
      </w:r>
      <w:r w:rsidR="00507FC8" w:rsidRPr="00CA4ABC">
        <w:rPr>
          <w:rFonts w:cstheme="minorHAnsi"/>
          <w:color w:val="000000" w:themeColor="text1"/>
        </w:rPr>
        <w:t xml:space="preserve">these </w:t>
      </w:r>
      <w:r w:rsidR="00844B57" w:rsidRPr="00CA4ABC">
        <w:rPr>
          <w:rFonts w:cstheme="minorHAnsi"/>
          <w:color w:val="000000" w:themeColor="text1"/>
        </w:rPr>
        <w:t>cut-offs</w:t>
      </w:r>
      <w:r w:rsidR="00507FC8" w:rsidRPr="00CA4ABC">
        <w:rPr>
          <w:rFonts w:cstheme="minorHAnsi"/>
          <w:color w:val="000000" w:themeColor="text1"/>
        </w:rPr>
        <w:t xml:space="preserve"> are defined as less than 500 kcal/day and greater than 3,500 kcal/day</w:t>
      </w:r>
      <w:r w:rsidR="00745D50" w:rsidRPr="00CA4ABC">
        <w:rPr>
          <w:rFonts w:cstheme="minorHAnsi"/>
          <w:color w:val="000000" w:themeColor="text1"/>
        </w:rPr>
        <w:t>. W</w:t>
      </w:r>
      <w:r w:rsidR="00507FC8" w:rsidRPr="00CA4ABC">
        <w:rPr>
          <w:rFonts w:cstheme="minorHAnsi"/>
          <w:color w:val="000000" w:themeColor="text1"/>
        </w:rPr>
        <w:t>ith</w:t>
      </w:r>
      <w:r w:rsidR="00745D50" w:rsidRPr="00CA4ABC">
        <w:rPr>
          <w:rFonts w:cstheme="minorHAnsi"/>
          <w:color w:val="000000" w:themeColor="text1"/>
        </w:rPr>
        <w:t xml:space="preserve"> this</w:t>
      </w:r>
      <w:r w:rsidR="00507FC8" w:rsidRPr="00CA4ABC">
        <w:rPr>
          <w:rFonts w:cstheme="minorHAnsi"/>
          <w:color w:val="000000" w:themeColor="text1"/>
        </w:rPr>
        <w:t xml:space="preserve"> data</w:t>
      </w:r>
      <w:r w:rsidR="00745D50" w:rsidRPr="00CA4ABC">
        <w:rPr>
          <w:rFonts w:cstheme="minorHAnsi"/>
          <w:color w:val="000000" w:themeColor="text1"/>
        </w:rPr>
        <w:t>set</w:t>
      </w:r>
      <w:r w:rsidR="00507FC8" w:rsidRPr="00CA4ABC">
        <w:rPr>
          <w:rFonts w:cstheme="minorHAnsi"/>
          <w:color w:val="000000" w:themeColor="text1"/>
        </w:rPr>
        <w:t xml:space="preserve">, using this approach did not lead to any participants being removed. </w:t>
      </w:r>
    </w:p>
    <w:p w14:paraId="2CBECDAB" w14:textId="77777777" w:rsidR="00507FC8" w:rsidRPr="00CA4ABC" w:rsidRDefault="00507FC8" w:rsidP="004053D7">
      <w:pPr>
        <w:spacing w:line="360" w:lineRule="auto"/>
        <w:rPr>
          <w:rFonts w:cstheme="minorHAnsi"/>
          <w:color w:val="000000" w:themeColor="text1"/>
        </w:rPr>
      </w:pPr>
    </w:p>
    <w:p w14:paraId="32EC7631" w14:textId="720692B1" w:rsidR="00507FC8" w:rsidRPr="00CA4ABC" w:rsidRDefault="00507FC8" w:rsidP="004053D7">
      <w:pPr>
        <w:spacing w:line="360" w:lineRule="auto"/>
        <w:rPr>
          <w:rFonts w:cstheme="minorHAnsi"/>
          <w:color w:val="000000" w:themeColor="text1"/>
        </w:rPr>
      </w:pPr>
      <w:r w:rsidRPr="00CA4ABC">
        <w:rPr>
          <w:rFonts w:cstheme="minorHAnsi"/>
          <w:color w:val="000000" w:themeColor="text1"/>
        </w:rPr>
        <w:t>Although participants</w:t>
      </w:r>
      <w:r w:rsidR="001920B8" w:rsidRPr="00CA4ABC">
        <w:rPr>
          <w:rFonts w:cstheme="minorHAnsi"/>
          <w:color w:val="000000" w:themeColor="text1"/>
        </w:rPr>
        <w:t xml:space="preserve"> were removed</w:t>
      </w:r>
      <w:r w:rsidRPr="00CA4ABC">
        <w:rPr>
          <w:rFonts w:cstheme="minorHAnsi"/>
          <w:color w:val="000000" w:themeColor="text1"/>
        </w:rPr>
        <w:t xml:space="preserve"> based on unrealistic energy intakes, </w:t>
      </w:r>
      <w:r w:rsidR="001920B8" w:rsidRPr="00CA4ABC">
        <w:rPr>
          <w:rFonts w:cstheme="minorHAnsi"/>
          <w:color w:val="000000" w:themeColor="text1"/>
        </w:rPr>
        <w:t>they were not</w:t>
      </w:r>
      <w:r w:rsidRPr="00CA4ABC">
        <w:rPr>
          <w:rFonts w:cstheme="minorHAnsi"/>
          <w:color w:val="000000" w:themeColor="text1"/>
        </w:rPr>
        <w:t xml:space="preserve"> remove</w:t>
      </w:r>
      <w:r w:rsidR="001920B8" w:rsidRPr="00CA4ABC">
        <w:rPr>
          <w:rFonts w:cstheme="minorHAnsi"/>
          <w:color w:val="000000" w:themeColor="text1"/>
        </w:rPr>
        <w:t>d</w:t>
      </w:r>
      <w:r w:rsidRPr="00CA4ABC">
        <w:rPr>
          <w:rFonts w:cstheme="minorHAnsi"/>
          <w:color w:val="000000" w:themeColor="text1"/>
        </w:rPr>
        <w:t xml:space="preserve"> based on</w:t>
      </w:r>
      <w:r w:rsidR="00576C89">
        <w:rPr>
          <w:rFonts w:cstheme="minorHAnsi"/>
          <w:color w:val="000000" w:themeColor="text1"/>
        </w:rPr>
        <w:t xml:space="preserve"> potentially</w:t>
      </w:r>
      <w:r w:rsidRPr="00CA4ABC">
        <w:rPr>
          <w:rFonts w:cstheme="minorHAnsi"/>
          <w:color w:val="000000" w:themeColor="text1"/>
        </w:rPr>
        <w:t xml:space="preserve"> unrealistic protein intakes.</w:t>
      </w:r>
      <w:r w:rsidR="00FF7C4D" w:rsidRPr="00CA4ABC">
        <w:rPr>
          <w:rFonts w:cstheme="minorHAnsi"/>
          <w:color w:val="000000" w:themeColor="text1"/>
        </w:rPr>
        <w:t xml:space="preserve"> </w:t>
      </w:r>
      <w:r w:rsidR="00AF1DFF" w:rsidRPr="00CA4ABC">
        <w:rPr>
          <w:rFonts w:cstheme="minorHAnsi"/>
          <w:color w:val="000000" w:themeColor="text1"/>
        </w:rPr>
        <w:t>Dietary underreporting may not occur evenly across food groups</w:t>
      </w:r>
      <w:r w:rsidR="00AB4278">
        <w:rPr>
          <w:rFonts w:cstheme="minorHAnsi"/>
          <w:color w:val="000000" w:themeColor="text1"/>
        </w:rPr>
        <w:t>,</w:t>
      </w:r>
      <w:r w:rsidR="00AF1DFF" w:rsidRPr="00CA4ABC">
        <w:rPr>
          <w:rFonts w:cstheme="minorHAnsi"/>
          <w:color w:val="000000" w:themeColor="text1"/>
        </w:rPr>
        <w:t xml:space="preserve"> and it has been suggested that fat and carbohydrate intakes are reported lower than protein intakes </w:t>
      </w:r>
      <w:r w:rsidR="00AF1DF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{"citationItems":[{"id":"ITEM-1","itemData":{"DOI":"10.1038/SJ.IJO.0801392","ISSN":"03070565","PMID":"11126348","abstract":"OBJECTIVE: To determine if energy intake underreporting concerns all major food groups or if it occurs for specific food groups only. DESIGN: Cross-sectional study on dietary habits and food consumption. SUBJECTS: Five-hundred and four women and 529 men, aged between 25 and 55 y participating in the Fleurbaix Laventie Ville Sante study. MEASUREMENTS: A nutritional survey was conducted between March and June 1993 using a 3-day food record. Reported weight and height were used to estimate body mass index and basal metabolic rate. Underreporters were defined as subjects whose ratio of mean energy intake to basal metabolic rate was lower than 1.05. Food consumption was compared between underreporters and non-underreporters. RESULTS: Energy percentage of fat and carbohydrate were lower in underreporters than in non-underreporters in contrast to the energy percentage of protein. This was due to the fact that food items rich in fat and/or carbohydrates (such as butter, French fries, sugars and confectionery, cakes and pastries) were reported to be less frequently eaten and/or in smaller quantities in underreporters compared to non-underreporters. CONCLUSION: Although this study presents some limitations, like the use of reported weight and a standard value for physical activity, it shows that reported foods differed, quantitatively and qualitatively, between severe underreporters and non-underreporters. Underreporting of food intake does not result from a systematical underestimation of portion sizes for all food items, but seems to concern specific food items which are generally considered 'bad for health'.","author":[{"dropping-particle":"","family":"Lafay","given":"L.","non-dropping-particle":"","parse-names":false,"suffix":""},{"dropping-particle":"","family":"Mennen","given":"L.","non-dropping-particle":"","parse-names":false,"suffix":""},{"dropping-particle":"","family":"Basdevant","given":"A.","non-dropping-particle":"","parse-names":false,"suffix":""},{"dropping-particle":"","family":"Charles","given":"M. A.","non-dropping-particle":"","parse-names":false,"suffix":""},{"dropping-particle":"","family":"Borys","given":"J. M.","non-dropping-particle":"","parse-names":false,"suffix":""},{"dropping-particle":"","family":"Eschwège","given":"E.","non-dropping-particle":"","parse-names":false,"suffix":""},{"dropping-particle":"","family":"Romon","given":"M.","non-dropping-particle":"","parse-names":false,"suffix":""}],"container-title":"International journal of obesity and related metabolic disorders : journal of the International Association for the Study of Obesity","id":"ITEM-1","issue":"11","issued":{"date-parts":[["2000"]]},"page":"1500-1506","publisher":"Int J Obes Relat Metab Disord","title":"Does energy intake underreporting involve all kinds of food or only specific food items? Results from the Fleurbaix Laventie Ville Santé (FLVS) study","type":"article-journal","volume":"24"},"uris":["http://www.mendeley.com/documents/?uuid=4fda860f-fede-3bb4-a345-1de7fa3de676"]}],"mendeley":{"formattedCitation":"(218)","plainTextFormattedCitation":"(218)","previouslyFormattedCitation":"(218)"},"properties":{"noteIndex":0},"schema":"https://github.com/citation-style-language/schema/raw/master/csl-citation.json"}</w:instrText>
      </w:r>
      <w:r w:rsidR="00AF1DFF" w:rsidRPr="00CA4ABC">
        <w:rPr>
          <w:rFonts w:cstheme="minorHAnsi"/>
          <w:color w:val="000000" w:themeColor="text1"/>
        </w:rPr>
        <w:fldChar w:fldCharType="separate"/>
      </w:r>
      <w:r w:rsidR="00FF0BCE" w:rsidRPr="00FF0BCE">
        <w:rPr>
          <w:rFonts w:cstheme="minorHAnsi"/>
          <w:noProof/>
          <w:color w:val="000000" w:themeColor="text1"/>
        </w:rPr>
        <w:t>(218)</w:t>
      </w:r>
      <w:r w:rsidR="00AF1DFF" w:rsidRPr="00CA4ABC">
        <w:rPr>
          <w:rFonts w:cstheme="minorHAnsi"/>
          <w:color w:val="000000" w:themeColor="text1"/>
        </w:rPr>
        <w:fldChar w:fldCharType="end"/>
      </w:r>
      <w:r w:rsidR="00655F38" w:rsidRPr="00CA4ABC">
        <w:rPr>
          <w:rFonts w:cstheme="minorHAnsi"/>
          <w:color w:val="000000" w:themeColor="text1"/>
        </w:rPr>
        <w:t xml:space="preserve">. </w:t>
      </w:r>
      <w:r w:rsidR="00D83555" w:rsidRPr="00CA4ABC">
        <w:rPr>
          <w:rFonts w:cstheme="minorHAnsi"/>
          <w:color w:val="000000" w:themeColor="text1"/>
        </w:rPr>
        <w:t>Despite this,</w:t>
      </w:r>
      <w:r w:rsidR="004D6C85" w:rsidRPr="00CA4ABC">
        <w:rPr>
          <w:rFonts w:cstheme="minorHAnsi"/>
          <w:color w:val="000000" w:themeColor="text1"/>
        </w:rPr>
        <w:t xml:space="preserve"> </w:t>
      </w:r>
      <w:r w:rsidR="006125FA" w:rsidRPr="00CA4ABC">
        <w:rPr>
          <w:rFonts w:cstheme="minorHAnsi"/>
          <w:color w:val="000000" w:themeColor="text1"/>
        </w:rPr>
        <w:t>removing implausible reporters also tended to</w:t>
      </w:r>
      <w:r w:rsidR="004D6C85" w:rsidRPr="00CA4ABC">
        <w:rPr>
          <w:rFonts w:cstheme="minorHAnsi"/>
          <w:color w:val="000000" w:themeColor="text1"/>
        </w:rPr>
        <w:t xml:space="preserve"> remove</w:t>
      </w:r>
      <w:r w:rsidR="00D83555" w:rsidRPr="00CA4ABC">
        <w:rPr>
          <w:rFonts w:cstheme="minorHAnsi"/>
          <w:color w:val="000000" w:themeColor="text1"/>
        </w:rPr>
        <w:t xml:space="preserve"> </w:t>
      </w:r>
      <w:r w:rsidRPr="00CA4ABC">
        <w:rPr>
          <w:rFonts w:cstheme="minorHAnsi"/>
          <w:color w:val="000000" w:themeColor="text1"/>
        </w:rPr>
        <w:t>extreme</w:t>
      </w:r>
      <w:r w:rsidR="00815A13" w:rsidRPr="00CA4ABC">
        <w:rPr>
          <w:rFonts w:cstheme="minorHAnsi"/>
          <w:color w:val="000000" w:themeColor="text1"/>
        </w:rPr>
        <w:t>ly</w:t>
      </w:r>
      <w:r w:rsidRPr="00CA4ABC">
        <w:rPr>
          <w:rFonts w:cstheme="minorHAnsi"/>
          <w:color w:val="000000" w:themeColor="text1"/>
        </w:rPr>
        <w:t xml:space="preserve"> low protein intake reporters</w:t>
      </w:r>
      <w:r w:rsidR="004D6C85" w:rsidRPr="00CA4ABC">
        <w:rPr>
          <w:rFonts w:cstheme="minorHAnsi"/>
          <w:color w:val="000000" w:themeColor="text1"/>
        </w:rPr>
        <w:t xml:space="preserve">. </w:t>
      </w:r>
      <w:r w:rsidRPr="00CA4ABC">
        <w:rPr>
          <w:rFonts w:cstheme="minorHAnsi"/>
          <w:color w:val="000000" w:themeColor="text1"/>
        </w:rPr>
        <w:t>This would support the conclusion of Banna</w:t>
      </w:r>
      <w:r w:rsidR="00745D50" w:rsidRPr="00CA4ABC">
        <w:rPr>
          <w:rFonts w:cstheme="minorHAnsi"/>
          <w:color w:val="000000" w:themeColor="text1"/>
        </w:rPr>
        <w:t xml:space="preserve"> </w:t>
      </w:r>
      <w:r w:rsidR="00745D50"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{"citationItems":[{"id":"ITEM-1","itemData":{"DOI":"10.1016/J.JAND.2014.06.358","ISSN":"22122672","PMID":"25132121","abstract":"Misreporting of dietary intake affects the validity of data collected and conclusions drawn in studies exploring diet and health outcomes. One consequence of misreporting is biological implausibility. Little is known regarding how accounting for biological implausibility of reported intake affects nutrient intake estimates in Hispanics, a rapidly growing demographic in the United States. Our study explores the effect of accounting for plausibility on nutrient intake estimates in a sample of Mexican-American women in northern California in 2008. Nutrient intakes are compared with Dietary Reference Intake recommendations, and intakes of Mexican-American women in a national survey are presented as a reference. Eighty-two women provided three 24-hour recalls. Reported energy intakes were classified as biologically plausible or implausible using the reported energy intakes to total energy expenditure cutoff of &lt;0.76 or &gt;1.24, with low-active physical activity levels used to estimate total energy expenditure. Differences in the means of nutrient intakes between implausible (n=36) and plausible (n=46) reporters of energy intake were examined by bivariate linear regression. Estimated energy, protein, cholesterol, dietary fiber, and vitamin E intakes were significantly higher in plausible reporters than implausible. There was a significant difference between the proportions of plausible vs implausible reporters meeting recommendations for several nutrients, with a larger proportion of plausible reporters meeting recommendations. Further research related to misreporting in Hispanic populations is warranted to explore the causes and effects of misreporting in studies measuring dietary intake, as well as actions to be taken to prevent or account for this issue.","author":[{"dropping-particle":"","family":"Banna","given":"Jinan C.","non-dropping-particle":"","parse-names":false,"suffix":""},{"dropping-particle":"","family":"Fialkowski","given":"Marie K.","non-dropping-particle":"","parse-names":false,"suffix":""},{"dropping-particle":"","family":"Townsend","given":"Marilyn S.","non-dropping-particle":"","parse-names":false,"suffix":""}],"container-title":"Journal of the Academy of Nutrition and Dietetics","id":"ITEM-1","issue":"7","issued":{"date-parts":[["2015","7","1"]]},"page":"1124","publisher":"NIH Public Access","title":"Misreporting of Dietary Intake Affects Estimated Nutrient Intakes in Low-Income Spanish-Speaking Women","type":"article-journal","volume":"115"},"uris":["http://www.mendeley.com/documents/?uuid=59e6f77d-747c-311d-a852-669c5b7ff7f1"]}],"mendeley":{"formattedCitation":"(210)","plainTextFormattedCitation":"(210)","previouslyFormattedCitation":"(210)"},"properties":{"noteIndex":0},"schema":"https://github.com/citation-style-language/schema/raw/master/csl-citation.json"}</w:instrText>
      </w:r>
      <w:r w:rsidR="00745D50" w:rsidRPr="00CA4ABC">
        <w:rPr>
          <w:rFonts w:cstheme="minorHAnsi"/>
          <w:color w:val="000000" w:themeColor="text1"/>
        </w:rPr>
        <w:fldChar w:fldCharType="separate"/>
      </w:r>
      <w:r w:rsidR="00FF0BCE" w:rsidRPr="00FF0BCE">
        <w:rPr>
          <w:rFonts w:cstheme="minorHAnsi"/>
          <w:noProof/>
          <w:color w:val="000000" w:themeColor="text1"/>
        </w:rPr>
        <w:t>(210)</w:t>
      </w:r>
      <w:r w:rsidR="00745D50" w:rsidRPr="00CA4ABC">
        <w:rPr>
          <w:rFonts w:cstheme="minorHAnsi"/>
          <w:color w:val="000000" w:themeColor="text1"/>
        </w:rPr>
        <w:fldChar w:fldCharType="end"/>
      </w:r>
      <w:r w:rsidRPr="00CA4ABC">
        <w:rPr>
          <w:rFonts w:cstheme="minorHAnsi"/>
          <w:color w:val="000000" w:themeColor="text1"/>
        </w:rPr>
        <w:t xml:space="preserve"> that th</w:t>
      </w:r>
      <w:r w:rsidR="00D83555" w:rsidRPr="00CA4ABC">
        <w:rPr>
          <w:rFonts w:cstheme="minorHAnsi"/>
          <w:color w:val="000000" w:themeColor="text1"/>
        </w:rPr>
        <w:t>e</w:t>
      </w:r>
      <w:r w:rsidRPr="00CA4ABC">
        <w:rPr>
          <w:rFonts w:cstheme="minorHAnsi"/>
          <w:color w:val="000000" w:themeColor="text1"/>
        </w:rPr>
        <w:t>s</w:t>
      </w:r>
      <w:r w:rsidR="00D83555" w:rsidRPr="00CA4ABC">
        <w:rPr>
          <w:rFonts w:cstheme="minorHAnsi"/>
          <w:color w:val="000000" w:themeColor="text1"/>
        </w:rPr>
        <w:t>e</w:t>
      </w:r>
      <w:r w:rsidRPr="00CA4ABC">
        <w:rPr>
          <w:rFonts w:cstheme="minorHAnsi"/>
          <w:color w:val="000000" w:themeColor="text1"/>
        </w:rPr>
        <w:t xml:space="preserve"> individuals were also reporting low carbohydrate and fat intakes. </w:t>
      </w:r>
      <w:r w:rsidR="00D83555" w:rsidRPr="00CA4ABC">
        <w:rPr>
          <w:rFonts w:cstheme="minorHAnsi"/>
          <w:color w:val="000000" w:themeColor="text1"/>
        </w:rPr>
        <w:t>Conversely, extreme</w:t>
      </w:r>
      <w:r w:rsidR="00815A13" w:rsidRPr="00CA4ABC">
        <w:rPr>
          <w:rFonts w:cstheme="minorHAnsi"/>
          <w:color w:val="000000" w:themeColor="text1"/>
        </w:rPr>
        <w:t>ly</w:t>
      </w:r>
      <w:r w:rsidR="00D83555" w:rsidRPr="00CA4ABC">
        <w:rPr>
          <w:rFonts w:cstheme="minorHAnsi"/>
          <w:color w:val="000000" w:themeColor="text1"/>
        </w:rPr>
        <w:t xml:space="preserve"> high protein reporters may not have been captured at the </w:t>
      </w:r>
      <w:r w:rsidR="00815A13" w:rsidRPr="00CA4ABC">
        <w:rPr>
          <w:rFonts w:cstheme="minorHAnsi"/>
          <w:color w:val="000000" w:themeColor="text1"/>
        </w:rPr>
        <w:t>data-clearing</w:t>
      </w:r>
      <w:r w:rsidR="00D83555" w:rsidRPr="00CA4ABC">
        <w:rPr>
          <w:rFonts w:cstheme="minorHAnsi"/>
          <w:color w:val="000000" w:themeColor="text1"/>
        </w:rPr>
        <w:t xml:space="preserve"> stage</w:t>
      </w:r>
      <w:r w:rsidR="00815A13" w:rsidRPr="00CA4ABC">
        <w:rPr>
          <w:rFonts w:cstheme="minorHAnsi"/>
          <w:color w:val="000000" w:themeColor="text1"/>
        </w:rPr>
        <w:t>,</w:t>
      </w:r>
      <w:r w:rsidR="00D83555" w:rsidRPr="00CA4ABC">
        <w:rPr>
          <w:rFonts w:cstheme="minorHAnsi"/>
          <w:color w:val="000000" w:themeColor="text1"/>
        </w:rPr>
        <w:t xml:space="preserve"> </w:t>
      </w:r>
      <w:r w:rsidR="00815A13" w:rsidRPr="00CA4ABC">
        <w:rPr>
          <w:rFonts w:cstheme="minorHAnsi"/>
          <w:color w:val="000000" w:themeColor="text1"/>
        </w:rPr>
        <w:t>which</w:t>
      </w:r>
      <w:r w:rsidR="00D83555" w:rsidRPr="00CA4ABC">
        <w:rPr>
          <w:rFonts w:cstheme="minorHAnsi"/>
          <w:color w:val="000000" w:themeColor="text1"/>
        </w:rPr>
        <w:t xml:space="preserve"> could have influenced average intakes. </w:t>
      </w:r>
      <w:r w:rsidR="000D4BA6" w:rsidRPr="00CA4ABC">
        <w:rPr>
          <w:rFonts w:cstheme="minorHAnsi"/>
          <w:color w:val="000000" w:themeColor="text1"/>
        </w:rPr>
        <w:t>The failure to remove extreme protein responses is a potential limitation</w:t>
      </w:r>
      <w:r w:rsidR="00815A13" w:rsidRPr="00CA4ABC">
        <w:rPr>
          <w:rFonts w:cstheme="minorHAnsi"/>
          <w:color w:val="000000" w:themeColor="text1"/>
        </w:rPr>
        <w:t>. However</w:t>
      </w:r>
      <w:r w:rsidRPr="00CA4ABC">
        <w:rPr>
          <w:rFonts w:cstheme="minorHAnsi"/>
          <w:color w:val="000000" w:themeColor="text1"/>
        </w:rPr>
        <w:t xml:space="preserve">, no guidelines were available, to the researcher’s knowledge, for removing responses based on protein intake. Thus, this process would have been based on the researcher’s discretion for deciding when protein intakes were deemed too high, making the rationale difficult to support. </w:t>
      </w:r>
    </w:p>
    <w:p w14:paraId="347F078C" w14:textId="77777777" w:rsidR="00507FC8" w:rsidRPr="00CA4ABC" w:rsidRDefault="00507FC8" w:rsidP="004053D7">
      <w:pPr>
        <w:spacing w:line="360" w:lineRule="auto"/>
        <w:rPr>
          <w:rFonts w:cstheme="minorHAnsi"/>
          <w:color w:val="000000" w:themeColor="text1"/>
        </w:rPr>
      </w:pPr>
    </w:p>
    <w:p w14:paraId="08516639" w14:textId="49A86493" w:rsidR="00507FC8" w:rsidRPr="00CA4ABC" w:rsidRDefault="00507FC8" w:rsidP="004053D7">
      <w:pPr>
        <w:spacing w:line="360" w:lineRule="auto"/>
        <w:rPr>
          <w:rFonts w:cstheme="minorHAnsi"/>
          <w:color w:val="000000" w:themeColor="text1"/>
        </w:rPr>
      </w:pPr>
      <w:r w:rsidRPr="00CA4ABC">
        <w:rPr>
          <w:rFonts w:cstheme="minorHAnsi"/>
          <w:color w:val="000000" w:themeColor="text1"/>
        </w:rPr>
        <w:lastRenderedPageBreak/>
        <w:t xml:space="preserve">In most instances, individuals in the high protein consumption group </w:t>
      </w:r>
      <w:r w:rsidR="00AB4278">
        <w:rPr>
          <w:rFonts w:cstheme="minorHAnsi"/>
          <w:color w:val="000000" w:themeColor="text1"/>
        </w:rPr>
        <w:t>also had</w:t>
      </w:r>
      <w:r w:rsidRPr="00CA4ABC">
        <w:rPr>
          <w:rFonts w:cstheme="minorHAnsi"/>
          <w:color w:val="000000" w:themeColor="text1"/>
        </w:rPr>
        <w:t xml:space="preserve"> significantly higher intakes of micronutrients. This may suggest that those </w:t>
      </w:r>
      <w:r w:rsidR="00AB4278">
        <w:rPr>
          <w:rFonts w:cstheme="minorHAnsi"/>
          <w:color w:val="000000" w:themeColor="text1"/>
        </w:rPr>
        <w:t>consuming more protein also have</w:t>
      </w:r>
      <w:r w:rsidRPr="00CA4ABC">
        <w:rPr>
          <w:rFonts w:cstheme="minorHAnsi"/>
          <w:color w:val="000000" w:themeColor="text1"/>
        </w:rPr>
        <w:t xml:space="preserve"> a more </w:t>
      </w:r>
      <w:r w:rsidR="006125FA" w:rsidRPr="00CA4ABC">
        <w:rPr>
          <w:rFonts w:cstheme="minorHAnsi"/>
          <w:color w:val="000000" w:themeColor="text1"/>
        </w:rPr>
        <w:t>nutrient-rich</w:t>
      </w:r>
      <w:r w:rsidRPr="00CA4ABC">
        <w:rPr>
          <w:rFonts w:cstheme="minorHAnsi"/>
          <w:color w:val="000000" w:themeColor="text1"/>
        </w:rPr>
        <w:t xml:space="preserve"> diet. </w:t>
      </w:r>
      <w:r w:rsidR="00815A13" w:rsidRPr="00CA4ABC">
        <w:rPr>
          <w:rFonts w:cstheme="minorHAnsi"/>
          <w:color w:val="000000"/>
        </w:rPr>
        <w:t xml:space="preserve">Meat and dairy products are sources of iron, B vitamins, and minerals such as zinc </w:t>
      </w:r>
      <w:r w:rsidR="00332AA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{"citationItems":[{"id":"ITEM-1","itemData":{"DOI":"10.1089/1536230041372445","ISSN":"15362302","PMID":"15268792","abstract":"The development and use of milk and meat products derived from cloning depends on their safety and on the nutritional advantages they can confer to the products as perceived by consumers. The devel...","author":[{"dropping-particle":"","family":"Tomé","given":"Daniel","non-dropping-particle":"","parse-names":false,"suffix":""},{"dropping-particle":"","family":"Dubarry","given":"Michel","non-dropping-particle":"","parse-names":false,"suffix":""},{"dropping-particle":"","family":"Fromentin","given":"Gilles","non-dropping-particle":"","parse-names":false,"suffix":""}],"container-title":"https://home.liebertpub.com/clo","id":"ITEM-1","issue":"2","issued":{"date-parts":[["2004","8","25"]]},"page":"172-177","publisher":" Mary Ann Liebert, Inc. ","title":"Nutritional Value of Milk and Meat Products Derived from Cloning","type":"article-journal","volume":"6"},"uris":["http://www.mendeley.com/documents/?uuid=cadce5de-0549-3597-ab91-a98fbaae45df"]}],"mendeley":{"formattedCitation":"(219)","plainTextFormattedCitation":"(219)","previouslyFormattedCitation":"(219)"},"properties":{"noteIndex":0},"schema":"https://github.com/citation-style-language/schema/raw/master/csl-citation.json"}</w:instrText>
      </w:r>
      <w:r w:rsidR="00332AAF" w:rsidRPr="00CA4ABC">
        <w:rPr>
          <w:rFonts w:cstheme="minorHAnsi"/>
          <w:color w:val="000000" w:themeColor="text1"/>
        </w:rPr>
        <w:fldChar w:fldCharType="separate"/>
      </w:r>
      <w:r w:rsidR="00FF0BCE" w:rsidRPr="00FF0BCE">
        <w:rPr>
          <w:rFonts w:cstheme="minorHAnsi"/>
          <w:noProof/>
          <w:color w:val="000000" w:themeColor="text1"/>
        </w:rPr>
        <w:t>(219)</w:t>
      </w:r>
      <w:r w:rsidR="00332AAF" w:rsidRPr="00CA4ABC">
        <w:rPr>
          <w:rFonts w:cstheme="minorHAnsi"/>
          <w:color w:val="000000" w:themeColor="text1"/>
        </w:rPr>
        <w:fldChar w:fldCharType="end"/>
      </w:r>
      <w:r w:rsidR="00332AAF" w:rsidRPr="00CA4ABC">
        <w:rPr>
          <w:rFonts w:cstheme="minorHAnsi"/>
          <w:color w:val="000000" w:themeColor="text1"/>
        </w:rPr>
        <w:t xml:space="preserve">. </w:t>
      </w:r>
      <w:r w:rsidRPr="00CA4ABC">
        <w:rPr>
          <w:rFonts w:cstheme="minorHAnsi"/>
          <w:color w:val="000000" w:themeColor="text1"/>
        </w:rPr>
        <w:t>This was particularly apparent for intakes of B</w:t>
      </w:r>
      <w:r w:rsidRPr="00CA4ABC">
        <w:rPr>
          <w:rFonts w:cstheme="minorHAnsi"/>
          <w:color w:val="000000" w:themeColor="text1"/>
          <w:vertAlign w:val="subscript"/>
        </w:rPr>
        <w:t>12</w:t>
      </w:r>
      <w:r w:rsidRPr="00CA4ABC">
        <w:rPr>
          <w:rFonts w:cstheme="minorHAnsi"/>
          <w:color w:val="000000" w:themeColor="text1"/>
        </w:rPr>
        <w:t xml:space="preserve">, </w:t>
      </w:r>
      <w:r w:rsidR="00332AAF" w:rsidRPr="00CA4ABC">
        <w:rPr>
          <w:rFonts w:cstheme="minorHAnsi"/>
          <w:color w:val="000000" w:themeColor="text1"/>
          <w:sz w:val="26"/>
          <w:szCs w:val="26"/>
        </w:rPr>
        <w:t>predominantly</w:t>
      </w:r>
      <w:r w:rsidRPr="00CA4ABC">
        <w:rPr>
          <w:rFonts w:cstheme="minorHAnsi"/>
          <w:color w:val="000000" w:themeColor="text1"/>
          <w:sz w:val="26"/>
          <w:szCs w:val="26"/>
        </w:rPr>
        <w:t xml:space="preserve"> </w:t>
      </w:r>
      <w:r w:rsidRPr="00CA4ABC">
        <w:rPr>
          <w:rFonts w:cstheme="minorHAnsi"/>
          <w:color w:val="000000" w:themeColor="text1"/>
        </w:rPr>
        <w:t xml:space="preserve">found in meat </w:t>
      </w:r>
      <w:r w:rsidR="00332AA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{"citationItems":[{"id":"ITEM-1","itemData":{"DOI":"10.1093/AJCN/18.3.176","ISSN":"0002-9165","PMID":"5948742","author":[{"dropping-particle":"","family":"Heyssel","given":"R. M.","non-dropping-particle":"","parse-names":false,"suffix":""},{"dropping-particle":"","family":"Bozian","given":"R. C.","non-dropping-particle":"","parse-names":false,"suffix":""},{"dropping-particle":"","family":"Darby","given":"W. J.","non-dropping-particle":"","parse-names":false,"suffix":""},{"dropping-particle":"","family":"Bell","given":"M. C.","non-dropping-particle":"","parse-names":false,"suffix":""}],"container-title":"The American journal of clinical nutrition","id":"ITEM-1","issue":"3","issued":{"date-parts":[["1966"]]},"page":"176-184","publisher":"Am J Clin Nutr","title":"Vitamin B12 turnover in man. The assimilation of vitamin B12 from natural foodstuff by man and estimates of minimal daily dietary requirements","type":"article-journal","volume":"18"},"uris":["http://www.mendeley.com/documents/?uuid=03a8a210-78ee-3db3-a98a-3debbfc21844"]}],"mendeley":{"formattedCitation":"(220)","plainTextFormattedCitation":"(220)","previouslyFormattedCitation":"(220)"},"properties":{"noteIndex":0},"schema":"https://github.com/citation-style-language/schema/raw/master/csl-citation.json"}</w:instrText>
      </w:r>
      <w:r w:rsidR="00332AAF" w:rsidRPr="00CA4ABC">
        <w:rPr>
          <w:rFonts w:cstheme="minorHAnsi"/>
          <w:color w:val="000000" w:themeColor="text1"/>
        </w:rPr>
        <w:fldChar w:fldCharType="separate"/>
      </w:r>
      <w:r w:rsidR="00FF0BCE" w:rsidRPr="00FF0BCE">
        <w:rPr>
          <w:rFonts w:cstheme="minorHAnsi"/>
          <w:noProof/>
          <w:color w:val="000000" w:themeColor="text1"/>
        </w:rPr>
        <w:t>(220)</w:t>
      </w:r>
      <w:r w:rsidR="00332AAF" w:rsidRPr="00CA4ABC">
        <w:rPr>
          <w:rFonts w:cstheme="minorHAnsi"/>
          <w:color w:val="000000" w:themeColor="text1"/>
        </w:rPr>
        <w:fldChar w:fldCharType="end"/>
      </w:r>
      <w:r w:rsidRPr="00CA4ABC">
        <w:rPr>
          <w:rFonts w:cstheme="minorHAnsi"/>
          <w:color w:val="000000" w:themeColor="text1"/>
        </w:rPr>
        <w:t>. Differences of 4.23</w:t>
      </w:r>
      <w:r w:rsidRPr="00CA4ABC">
        <w:rPr>
          <w:rFonts w:cstheme="minorHAnsi"/>
          <w:color w:val="000000" w:themeColor="text1"/>
          <w:shd w:val="clear" w:color="auto" w:fill="FFFFFF"/>
        </w:rPr>
        <w:t>μg/d</w:t>
      </w:r>
      <w:r w:rsidRPr="00CA4ABC">
        <w:rPr>
          <w:rFonts w:cstheme="minorHAnsi"/>
          <w:color w:val="000000" w:themeColor="text1"/>
        </w:rPr>
        <w:t xml:space="preserve"> were found between lower and higher protein groups. B</w:t>
      </w:r>
      <w:r w:rsidRPr="00CA4ABC">
        <w:rPr>
          <w:rFonts w:cstheme="minorHAnsi"/>
          <w:color w:val="000000" w:themeColor="text1"/>
          <w:vertAlign w:val="subscript"/>
        </w:rPr>
        <w:t xml:space="preserve">12 </w:t>
      </w:r>
      <w:r w:rsidRPr="00CA4ABC">
        <w:rPr>
          <w:rFonts w:cstheme="minorHAnsi"/>
          <w:color w:val="000000" w:themeColor="text1"/>
        </w:rPr>
        <w:t>deficiency has been linked to CVD and osteoporosis</w:t>
      </w:r>
      <w:r w:rsidR="00FF7C4D" w:rsidRPr="00CA4ABC">
        <w:rPr>
          <w:rFonts w:cstheme="minorHAnsi"/>
          <w:color w:val="000000" w:themeColor="text1"/>
        </w:rPr>
        <w:t xml:space="preserve"> </w:t>
      </w:r>
      <w:r w:rsidR="00FF7C4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{"citationItems":[{"id":"ITEM-1","itemData":{"DOI":"10.3390/NU2030299","ISSN":"20726643","PMID":"22254022","abstract":"Vitamin B12 is essential for DNA synthesis and for cellular energy production. This review aims to outline the metabolism of vitamin B12, and to evaluate the causes and consequences of sub-clinical vitamin B12 deficiency. Vitamin B12 deficiency is common, mainly due to limited dietary intake of animal foods or malabsorption of the vitamin. Vegetarians are at risk of vitamin B12 deficiency as are other groups with low intakes of animal foods or those with restrictive dietary patterns. Malabsorption of vitamin B12 is most commonly seen in the elderly, secondary to gastric achlorhydria. The symptoms of sub-clinical deficiency are subtle and often not recognized. The long-term consequences of sub-clinical deficiency are not fully known but may include adverse effects on pregnancy outcomes, vascular, cognitive, bone and eye health. © 2010 by the authors. licensee Molecular Diversity Preservation International, Basel, Switzerland.","author":[{"dropping-particle":"","family":"O'Leary","given":"Fiona","non-dropping-particle":"","parse-names":false,"suffix":""},{"dropping-particle":"","family":"Samman","given":"Samir","non-dropping-particle":"","parse-names":false,"suffix":""}],"container-title":"Nutrients","id":"ITEM-1","issue":"3","issued":{"date-parts":[["2010"]]},"page":"299","publisher":"Multidisciplinary Digital Publishing Institute  (MDPI)","title":"Vitamin B12 in Health and Disease","type":"article-journal","volume":"2"},"uris":["http://www.mendeley.com/documents/?uuid=fe2d1f1c-a9eb-3438-8c8c-20d4064ffbf3"]}],"mendeley":{"formattedCitation":"(221)","plainTextFormattedCitation":"(221)","previouslyFormattedCitation":"(221)"},"properties":{"noteIndex":0},"schema":"https://github.com/citation-style-language/schema/raw/master/csl-citation.json"}</w:instrText>
      </w:r>
      <w:r w:rsidR="00FF7C4D" w:rsidRPr="00CA4ABC">
        <w:rPr>
          <w:rFonts w:cstheme="minorHAnsi"/>
          <w:color w:val="000000" w:themeColor="text1"/>
        </w:rPr>
        <w:fldChar w:fldCharType="separate"/>
      </w:r>
      <w:r w:rsidR="00FF0BCE" w:rsidRPr="00FF0BCE">
        <w:rPr>
          <w:rFonts w:cstheme="minorHAnsi"/>
          <w:noProof/>
          <w:color w:val="000000" w:themeColor="text1"/>
        </w:rPr>
        <w:t>(221)</w:t>
      </w:r>
      <w:r w:rsidR="00FF7C4D" w:rsidRPr="00CA4ABC">
        <w:rPr>
          <w:rFonts w:cstheme="minorHAnsi"/>
          <w:color w:val="000000" w:themeColor="text1"/>
        </w:rPr>
        <w:fldChar w:fldCharType="end"/>
      </w:r>
      <w:r w:rsidR="00FF7C4D" w:rsidRPr="00CA4ABC">
        <w:rPr>
          <w:rFonts w:cstheme="minorHAnsi"/>
          <w:color w:val="000000" w:themeColor="text1"/>
        </w:rPr>
        <w:t>. T</w:t>
      </w:r>
      <w:r w:rsidRPr="00CA4ABC">
        <w:rPr>
          <w:rFonts w:cstheme="minorHAnsi"/>
          <w:color w:val="000000" w:themeColor="text1"/>
        </w:rPr>
        <w:t>herefore</w:t>
      </w:r>
      <w:r w:rsidR="00FF7C4D" w:rsidRPr="00CA4ABC">
        <w:rPr>
          <w:rFonts w:cstheme="minorHAnsi"/>
          <w:color w:val="000000" w:themeColor="text1"/>
        </w:rPr>
        <w:t>,</w:t>
      </w:r>
      <w:r w:rsidRPr="00CA4ABC">
        <w:rPr>
          <w:rFonts w:cstheme="minorHAnsi"/>
          <w:color w:val="000000" w:themeColor="text1"/>
        </w:rPr>
        <w:t xml:space="preserve"> the data </w:t>
      </w:r>
      <w:r w:rsidR="00FF7C4D" w:rsidRPr="00CA4ABC">
        <w:rPr>
          <w:rFonts w:cstheme="minorHAnsi"/>
          <w:color w:val="000000" w:themeColor="text1"/>
        </w:rPr>
        <w:t xml:space="preserve">might </w:t>
      </w:r>
      <w:r w:rsidRPr="00CA4ABC">
        <w:rPr>
          <w:rFonts w:cstheme="minorHAnsi"/>
          <w:color w:val="000000" w:themeColor="text1"/>
        </w:rPr>
        <w:t xml:space="preserve">suggest that </w:t>
      </w:r>
      <w:r w:rsidR="00AB4278">
        <w:rPr>
          <w:rFonts w:cstheme="minorHAnsi"/>
          <w:color w:val="000000" w:themeColor="text1"/>
        </w:rPr>
        <w:t>higher protein intake</w:t>
      </w:r>
      <w:r w:rsidRPr="00CA4ABC">
        <w:rPr>
          <w:rFonts w:cstheme="minorHAnsi"/>
          <w:color w:val="000000" w:themeColor="text1"/>
        </w:rPr>
        <w:t xml:space="preserve"> has further</w:t>
      </w:r>
      <w:r w:rsidR="00C852E3" w:rsidRPr="00CA4ABC">
        <w:rPr>
          <w:rFonts w:cstheme="minorHAnsi"/>
          <w:color w:val="000000" w:themeColor="text1"/>
        </w:rPr>
        <w:t xml:space="preserve">, indirect </w:t>
      </w:r>
      <w:r w:rsidRPr="00CA4ABC">
        <w:rPr>
          <w:rFonts w:cstheme="minorHAnsi"/>
          <w:color w:val="000000" w:themeColor="text1"/>
        </w:rPr>
        <w:t>health benefits through increas</w:t>
      </w:r>
      <w:r w:rsidR="00C852E3" w:rsidRPr="00CA4ABC">
        <w:rPr>
          <w:rFonts w:cstheme="minorHAnsi"/>
          <w:color w:val="000000" w:themeColor="text1"/>
        </w:rPr>
        <w:t>ed</w:t>
      </w:r>
      <w:r w:rsidRPr="00CA4ABC">
        <w:rPr>
          <w:rFonts w:cstheme="minorHAnsi"/>
          <w:color w:val="000000" w:themeColor="text1"/>
        </w:rPr>
        <w:t xml:space="preserve"> micronutrient intakes. On the contrary, higher protein consumers also appeared </w:t>
      </w:r>
      <w:r w:rsidR="001920B8" w:rsidRPr="00CA4ABC">
        <w:rPr>
          <w:rFonts w:cstheme="minorHAnsi"/>
          <w:color w:val="000000" w:themeColor="text1"/>
        </w:rPr>
        <w:t>to have</w:t>
      </w:r>
      <w:r w:rsidRPr="00CA4ABC">
        <w:rPr>
          <w:rFonts w:cstheme="minorHAnsi"/>
          <w:color w:val="000000" w:themeColor="text1"/>
        </w:rPr>
        <w:t xml:space="preserve"> higher energy and fat intakes, so </w:t>
      </w:r>
      <w:r w:rsidR="00815A13" w:rsidRPr="00CA4ABC">
        <w:rPr>
          <w:rFonts w:cstheme="minorHAnsi"/>
          <w:color w:val="000000" w:themeColor="text1"/>
        </w:rPr>
        <w:t xml:space="preserve">they </w:t>
      </w:r>
      <w:r w:rsidRPr="00CA4ABC">
        <w:rPr>
          <w:rFonts w:cstheme="minorHAnsi"/>
          <w:color w:val="000000" w:themeColor="text1"/>
        </w:rPr>
        <w:t>could be more at risk of having undesirable body composition profiles. Fat infiltration reduces muscle quality</w:t>
      </w:r>
      <w:r w:rsidR="00A0668A" w:rsidRPr="00CA4ABC">
        <w:rPr>
          <w:rFonts w:cstheme="minorHAnsi"/>
          <w:color w:val="000000" w:themeColor="text1"/>
        </w:rPr>
        <w:t xml:space="preserve"> </w:t>
      </w:r>
      <w:r w:rsidR="00A0668A"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{"citationItems":[{"id":"ITEM-1","itemData":{"DOI":"10.1155/2012/172957","ISSN":"2090-2212","PMID":"22666591","abstract":"Purpose. People with obesity, diabetes, and peripheral neuropathy have high levels of intermuscular adipose tissue (IMAT) volume which has been inversely related to physical function. We determined if IMAT is muscle specific, if calf IMAT is different between a healthy obese group (HO), a group with diabetes mellitus (D), and a group with diabetes mellitus and peripheral neuropathy (DN), and if IMAT volume or the ratio of IMAT/muscle volume is related to physical function in these groups. Methods. 10 healthy obese people, 11 with type 2 diabetes, 24 with diabetes and peripheral neuropathy, had assessments of muscle morphology, physical function and muscle performance. Results. The gastrocnemius muscle had a higher ratio of IMAT/muscle volume than any other muscle or compartment. There were no differences between groups in calf muscle or IMAT volumes. Calf IMAT was inversely related to physical performance on the 6-minute walk test (r=-0.47) and physical performance test (r=-0.36). IMAT/muscle volume was inversely related to physical performance (PPT, r=-0.44; 6 MW r=-0.48; stair power, r=-0.30). Conclusions. IMAT accumulation varies in calf muscles, is highest in the gastrocnemius muscle, and is associated with poor physical performance. © 2012 Lori J. Tuttle et al.","author":[{"dropping-particle":"","family":"Tuttle","given":"Lori J.","non-dropping-particle":"","parse-names":false,"suffix":""},{"dropping-particle":"","family":"Sinacore","given":"David R.","non-dropping-particle":"","parse-names":false,"suffix":""},{"dropping-particle":"","family":"Mueller","given":"Michael J.","non-dropping-particle":"","parse-names":false,"suffix":""}],"container-title":"Journal of aging research","id":"ITEM-1","issued":{"date-parts":[["2012"]]},"publisher":"J Aging Res","title":"Intermuscular adipose tissue is muscle specific and associated with poor functional performance","type":"article-journal","volume":"2012"},"uris":["http://www.mendeley.com/documents/?uuid=f0da44fa-a6b8-3367-96ec-bbd1af8ebb1a"]}],"mendeley":{"formattedCitation":"(222)","plainTextFormattedCitation":"(222)","previouslyFormattedCitation":"(222)"},"properties":{"noteIndex":0},"schema":"https://github.com/citation-style-language/schema/raw/master/csl-citation.json"}</w:instrText>
      </w:r>
      <w:r w:rsidR="00A0668A" w:rsidRPr="00CA4ABC">
        <w:rPr>
          <w:rFonts w:cstheme="minorHAnsi"/>
          <w:color w:val="000000" w:themeColor="text1"/>
        </w:rPr>
        <w:fldChar w:fldCharType="separate"/>
      </w:r>
      <w:r w:rsidR="00FF0BCE" w:rsidRPr="00FF0BCE">
        <w:rPr>
          <w:rFonts w:cstheme="minorHAnsi"/>
          <w:noProof/>
          <w:color w:val="000000" w:themeColor="text1"/>
        </w:rPr>
        <w:t>(222)</w:t>
      </w:r>
      <w:r w:rsidR="00A0668A" w:rsidRPr="00CA4ABC">
        <w:rPr>
          <w:rFonts w:cstheme="minorHAnsi"/>
          <w:color w:val="000000" w:themeColor="text1"/>
        </w:rPr>
        <w:fldChar w:fldCharType="end"/>
      </w:r>
      <w:r w:rsidRPr="00CA4ABC">
        <w:rPr>
          <w:rFonts w:cstheme="minorHAnsi"/>
          <w:color w:val="000000" w:themeColor="text1"/>
        </w:rPr>
        <w:t xml:space="preserve"> so the detrimental impacts </w:t>
      </w:r>
      <w:r w:rsidR="00C852E3" w:rsidRPr="00CA4ABC">
        <w:rPr>
          <w:rFonts w:cstheme="minorHAnsi"/>
          <w:color w:val="000000" w:themeColor="text1"/>
        </w:rPr>
        <w:t xml:space="preserve">of this could lead to </w:t>
      </w:r>
      <w:r w:rsidR="00AB4278">
        <w:rPr>
          <w:rFonts w:cstheme="minorHAnsi"/>
          <w:color w:val="000000" w:themeColor="text1"/>
        </w:rPr>
        <w:t>adverse</w:t>
      </w:r>
      <w:r w:rsidR="00C852E3" w:rsidRPr="00CA4ABC">
        <w:rPr>
          <w:rFonts w:cstheme="minorHAnsi"/>
          <w:color w:val="000000" w:themeColor="text1"/>
        </w:rPr>
        <w:t xml:space="preserve"> outcomes</w:t>
      </w:r>
      <w:r w:rsidRPr="00CA4ABC">
        <w:rPr>
          <w:rFonts w:cstheme="minorHAnsi"/>
          <w:color w:val="000000" w:themeColor="text1"/>
        </w:rPr>
        <w:t>.</w:t>
      </w:r>
    </w:p>
    <w:p w14:paraId="35CB3C73" w14:textId="77777777" w:rsidR="00507FC8" w:rsidRPr="00CA4ABC" w:rsidRDefault="00507FC8" w:rsidP="004053D7">
      <w:pPr>
        <w:spacing w:line="360" w:lineRule="auto"/>
        <w:rPr>
          <w:rFonts w:cstheme="minorHAnsi"/>
          <w:color w:val="000000" w:themeColor="text1"/>
        </w:rPr>
      </w:pPr>
    </w:p>
    <w:p w14:paraId="760033BC" w14:textId="7C03CC1B" w:rsidR="00507FC8" w:rsidRDefault="00507FC8" w:rsidP="004053D7">
      <w:pPr>
        <w:spacing w:line="360" w:lineRule="auto"/>
        <w:rPr>
          <w:rFonts w:cstheme="minorHAnsi"/>
          <w:color w:val="000000" w:themeColor="text1"/>
        </w:rPr>
      </w:pPr>
      <w:r w:rsidRPr="00CA4ABC">
        <w:rPr>
          <w:rFonts w:cstheme="minorHAnsi"/>
          <w:color w:val="000000" w:themeColor="text1"/>
        </w:rPr>
        <w:t>In terms of achieving dietary guidelines, for the majority of instances</w:t>
      </w:r>
      <w:r w:rsidR="00D82897" w:rsidRPr="00CA4ABC">
        <w:rPr>
          <w:rFonts w:cstheme="minorHAnsi"/>
          <w:color w:val="000000" w:themeColor="text1"/>
        </w:rPr>
        <w:t>,</w:t>
      </w:r>
      <w:r w:rsidRPr="00CA4ABC">
        <w:rPr>
          <w:rFonts w:cstheme="minorHAnsi"/>
          <w:color w:val="000000" w:themeColor="text1"/>
        </w:rPr>
        <w:t xml:space="preserve"> RNI recommendations were met. </w:t>
      </w:r>
      <w:r w:rsidR="00EE03C2" w:rsidRPr="00CA4ABC">
        <w:rPr>
          <w:rFonts w:cstheme="minorHAnsi"/>
          <w:color w:val="000000" w:themeColor="text1"/>
        </w:rPr>
        <w:t>NDNS data analysis suggests</w:t>
      </w:r>
      <w:r w:rsidRPr="00CA4ABC">
        <w:rPr>
          <w:rFonts w:cstheme="minorHAnsi"/>
          <w:color w:val="000000" w:themeColor="text1"/>
        </w:rPr>
        <w:t xml:space="preserve"> that micronutrient guidelines are particularly poorly achieved across mid-life in UK adults </w:t>
      </w:r>
      <w:r w:rsidR="00FF7C4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{"citationItems":[{"id":"ITEM-1","itemData":{"DOI":"10.3389/FNUT.2018.00055/BIBTEX","ISSN":"2296861X","abstract":"Background: There is a tendency to report micronutrients intakes collectively for adults, with broad age ranges being used. This means that certain sub-population groups such as young adults are often overlooked. The objective of the present article was to derive and evaluate micronutrient intakes across UK adults in their twenties, thirties, forties and fifties. Methods: A secondary analysis of the UK National Diet and Nutrition Survey (years 1–6) was undertaken. Data from n = 3,238 adults was analyzed and micronutrient intakes from food sources (excluding supplements) derived as a percentage of the Reference Nutrient Intake (RNI) and percentage below the Lower Reference Nutrient Intake (LRNI) for males and females aged 20–29, 30–39, 40–49, and 50–59 years. Mean intakes were used in instances where this data was unavailable (for vitamins D and E). Results: Sizeable gaps were found for magnesium with 19% of young people in their twenties having intakes below the LRNI. Amongst UK females intakes of 9 micronutrients (riboflavin, vitamin B6, B12, folic acid, calcium, iron, magnesium, potassium, and iodine) were significantly lower than males aged 20–59 years (p &lt; 0.001) expressed as a percentage of the RNI. Young adults in their twenties had significantly lower (p &lt; 0.05) intakes of 8 micronutrients (vitamin A, riboflavin, folic acid, calcium, magnesium, potassium, iodine, and copper) expressed as a percentage of the RNI compared with adults in their thirties, forties and fifties. There were also considerable gaps in dietary selenium intakes with 50.3% females and 25.8% males having total intakes beneath the LRNI. A quarter of women had iron (25.3%) and potassium (24.3%) intakes below the LRNI. Conclusions: UK females and younger adults appear to be particularly vulnerable to micronutrient shortfalls from food sources alone. Clearly, improvements in dietary quality are needed across mid-life. Alongside this, fortification and supplementation strategies may be considered to help adults achieve dietary targets at this life-stage when they should be at their nutritional prime.","author":[{"dropping-particle":"","family":"Derbyshire","given":"Emma","non-dropping-particle":"","parse-names":false,"suffix":""}],"container-title":"Frontiers in Nutrition","id":"ITEM-1","issued":{"date-parts":[["2018","7","19"]]},"page":"55","publisher":"Frontiers Media S.A.","title":"Micronutrient Intakes of British Adults Across Mid-Life: A Secondary Analysis of the UK National Diet and Nutrition Survey","type":"article-journal","volume":"5"},"uris":["http://www.mendeley.com/documents/?uuid=212ed6ff-3d3e-3d45-bb40-40ed88e6ca4d"]}],"mendeley":{"formattedCitation":"(223)","plainTextFormattedCitation":"(223)","previouslyFormattedCitation":"(223)"},"properties":{"noteIndex":0},"schema":"https://github.com/citation-style-language/schema/raw/master/csl-citation.json"}</w:instrText>
      </w:r>
      <w:r w:rsidR="00FF7C4D" w:rsidRPr="00CA4ABC">
        <w:rPr>
          <w:rFonts w:cstheme="minorHAnsi"/>
          <w:color w:val="000000" w:themeColor="text1"/>
        </w:rPr>
        <w:fldChar w:fldCharType="separate"/>
      </w:r>
      <w:r w:rsidR="00FF0BCE" w:rsidRPr="00FF0BCE">
        <w:rPr>
          <w:rFonts w:cstheme="minorHAnsi"/>
          <w:noProof/>
          <w:color w:val="000000" w:themeColor="text1"/>
        </w:rPr>
        <w:t>(223)</w:t>
      </w:r>
      <w:r w:rsidR="00FF7C4D" w:rsidRPr="00CA4ABC">
        <w:rPr>
          <w:rFonts w:cstheme="minorHAnsi"/>
          <w:color w:val="000000" w:themeColor="text1"/>
        </w:rPr>
        <w:fldChar w:fldCharType="end"/>
      </w:r>
      <w:r w:rsidR="00FF7C4D" w:rsidRPr="00CA4ABC">
        <w:rPr>
          <w:rFonts w:cstheme="minorHAnsi"/>
          <w:color w:val="000000" w:themeColor="text1"/>
        </w:rPr>
        <w:t xml:space="preserve">. </w:t>
      </w:r>
      <w:r w:rsidRPr="00CA4ABC">
        <w:rPr>
          <w:rFonts w:cstheme="minorHAnsi"/>
          <w:color w:val="000000" w:themeColor="text1"/>
        </w:rPr>
        <w:t xml:space="preserve">Moreover, it may </w:t>
      </w:r>
      <w:r w:rsidR="00AB4278">
        <w:rPr>
          <w:rFonts w:cstheme="minorHAnsi"/>
          <w:color w:val="000000" w:themeColor="text1"/>
        </w:rPr>
        <w:t>indicate</w:t>
      </w:r>
      <w:r w:rsidRPr="00CA4ABC">
        <w:rPr>
          <w:rFonts w:cstheme="minorHAnsi"/>
          <w:color w:val="000000" w:themeColor="text1"/>
        </w:rPr>
        <w:t xml:space="preserve"> that individuals who provided data in the SheffProUK </w:t>
      </w:r>
      <w:r w:rsidR="00D82897" w:rsidRPr="00CA4ABC">
        <w:rPr>
          <w:rFonts w:cstheme="minorHAnsi"/>
          <w:color w:val="000000" w:themeColor="text1"/>
        </w:rPr>
        <w:t>study</w:t>
      </w:r>
      <w:r w:rsidRPr="00CA4ABC">
        <w:rPr>
          <w:rFonts w:cstheme="minorHAnsi"/>
          <w:color w:val="000000" w:themeColor="text1"/>
        </w:rPr>
        <w:t xml:space="preserve"> exceeded </w:t>
      </w:r>
      <w:r w:rsidR="00D82897" w:rsidRPr="00CA4ABC">
        <w:rPr>
          <w:rFonts w:cstheme="minorHAnsi"/>
          <w:color w:val="000000" w:themeColor="text1"/>
        </w:rPr>
        <w:t xml:space="preserve">the </w:t>
      </w:r>
      <w:r w:rsidRPr="00CA4ABC">
        <w:rPr>
          <w:rFonts w:cstheme="minorHAnsi"/>
          <w:color w:val="000000" w:themeColor="text1"/>
        </w:rPr>
        <w:t>average intakes of the population</w:t>
      </w:r>
      <w:r w:rsidR="00AB4278">
        <w:rPr>
          <w:rFonts w:cstheme="minorHAnsi"/>
          <w:color w:val="000000" w:themeColor="text1"/>
        </w:rPr>
        <w:t>,</w:t>
      </w:r>
      <w:r w:rsidRPr="00CA4ABC">
        <w:rPr>
          <w:rFonts w:cstheme="minorHAnsi"/>
          <w:color w:val="000000" w:themeColor="text1"/>
        </w:rPr>
        <w:t xml:space="preserve"> and thus generalisability of the results should be questioned. Despite a large age range of individuals responding to the survey, </w:t>
      </w:r>
      <w:r w:rsidR="00D82897" w:rsidRPr="00CA4ABC">
        <w:rPr>
          <w:rFonts w:cstheme="minorHAnsi"/>
          <w:color w:val="000000" w:themeColor="text1"/>
        </w:rPr>
        <w:t>most</w:t>
      </w:r>
      <w:r w:rsidRPr="00CA4ABC">
        <w:rPr>
          <w:rFonts w:cstheme="minorHAnsi"/>
          <w:color w:val="000000" w:themeColor="text1"/>
        </w:rPr>
        <w:t xml:space="preserve"> respondents </w:t>
      </w:r>
      <w:r w:rsidR="00AB4278">
        <w:rPr>
          <w:rFonts w:cstheme="minorHAnsi"/>
          <w:color w:val="000000" w:themeColor="text1"/>
        </w:rPr>
        <w:t>were</w:t>
      </w:r>
      <w:r w:rsidRPr="00CA4ABC">
        <w:rPr>
          <w:rFonts w:cstheme="minorHAnsi"/>
          <w:color w:val="000000" w:themeColor="text1"/>
        </w:rPr>
        <w:t xml:space="preserve"> 26-35 years old. 46-55 year</w:t>
      </w:r>
      <w:r w:rsidR="00D82897" w:rsidRPr="00CA4ABC">
        <w:rPr>
          <w:rFonts w:cstheme="minorHAnsi"/>
          <w:color w:val="000000" w:themeColor="text1"/>
        </w:rPr>
        <w:t>-</w:t>
      </w:r>
      <w:r w:rsidRPr="00CA4ABC">
        <w:rPr>
          <w:rFonts w:cstheme="minorHAnsi"/>
          <w:color w:val="000000" w:themeColor="text1"/>
        </w:rPr>
        <w:t>old</w:t>
      </w:r>
      <w:r w:rsidR="000D4BA6" w:rsidRPr="00CA4ABC">
        <w:rPr>
          <w:rFonts w:cstheme="minorHAnsi"/>
          <w:color w:val="000000" w:themeColor="text1"/>
        </w:rPr>
        <w:t>s</w:t>
      </w:r>
      <w:r w:rsidRPr="00CA4ABC">
        <w:rPr>
          <w:rFonts w:cstheme="minorHAnsi"/>
          <w:color w:val="000000" w:themeColor="text1"/>
        </w:rPr>
        <w:t xml:space="preserve"> </w:t>
      </w:r>
      <w:r w:rsidR="000D4BA6" w:rsidRPr="00CA4ABC">
        <w:rPr>
          <w:rFonts w:cstheme="minorHAnsi"/>
          <w:color w:val="000000" w:themeColor="text1"/>
        </w:rPr>
        <w:t xml:space="preserve">accounted for </w:t>
      </w:r>
      <w:r w:rsidR="00FF7C4D" w:rsidRPr="00CA4ABC">
        <w:rPr>
          <w:rFonts w:cstheme="minorHAnsi"/>
          <w:color w:val="000000" w:themeColor="text1"/>
        </w:rPr>
        <w:t>8%</w:t>
      </w:r>
      <w:r w:rsidRPr="00CA4ABC">
        <w:rPr>
          <w:rFonts w:cstheme="minorHAnsi"/>
          <w:color w:val="000000" w:themeColor="text1"/>
        </w:rPr>
        <w:t xml:space="preserve"> </w:t>
      </w:r>
      <w:r w:rsidR="00FF7C4D" w:rsidRPr="00CA4ABC">
        <w:rPr>
          <w:rFonts w:cstheme="minorHAnsi"/>
          <w:color w:val="000000" w:themeColor="text1"/>
        </w:rPr>
        <w:t>(</w:t>
      </w:r>
      <w:r w:rsidRPr="00CA4ABC">
        <w:rPr>
          <w:rFonts w:cstheme="minorHAnsi"/>
          <w:color w:val="000000" w:themeColor="text1"/>
        </w:rPr>
        <w:t>26 individuals</w:t>
      </w:r>
      <w:r w:rsidR="00FF7C4D" w:rsidRPr="00CA4ABC">
        <w:rPr>
          <w:rFonts w:cstheme="minorHAnsi"/>
          <w:color w:val="000000" w:themeColor="text1"/>
        </w:rPr>
        <w:t>) of the responses</w:t>
      </w:r>
      <w:r w:rsidRPr="00CA4ABC">
        <w:rPr>
          <w:rFonts w:cstheme="minorHAnsi"/>
          <w:color w:val="000000" w:themeColor="text1"/>
        </w:rPr>
        <w:t xml:space="preserve">. Age is likely to be one factor which </w:t>
      </w:r>
      <w:r w:rsidR="00C852E3" w:rsidRPr="00CA4ABC">
        <w:rPr>
          <w:rFonts w:cstheme="minorHAnsi"/>
          <w:color w:val="000000" w:themeColor="text1"/>
        </w:rPr>
        <w:t>influences</w:t>
      </w:r>
      <w:r w:rsidRPr="00CA4ABC">
        <w:rPr>
          <w:rFonts w:cstheme="minorHAnsi"/>
          <w:color w:val="000000" w:themeColor="text1"/>
        </w:rPr>
        <w:t xml:space="preserve"> dietary intake results, but diet is affected by a host of factors, </w:t>
      </w:r>
      <w:r w:rsidR="00C852E3" w:rsidRPr="00CA4ABC">
        <w:rPr>
          <w:rFonts w:cstheme="minorHAnsi"/>
          <w:color w:val="000000" w:themeColor="text1"/>
        </w:rPr>
        <w:t xml:space="preserve">and this </w:t>
      </w:r>
      <w:r w:rsidRPr="00CA4ABC">
        <w:rPr>
          <w:rFonts w:cstheme="minorHAnsi"/>
          <w:color w:val="000000" w:themeColor="text1"/>
        </w:rPr>
        <w:t>will be explored in greater detail in chapter 4. Moreover, older adults</w:t>
      </w:r>
      <w:r w:rsidR="00FF7C4D" w:rsidRPr="00CA4ABC">
        <w:rPr>
          <w:rFonts w:cstheme="minorHAnsi"/>
          <w:color w:val="000000" w:themeColor="text1"/>
        </w:rPr>
        <w:t xml:space="preserve"> (55 years +)</w:t>
      </w:r>
      <w:r w:rsidRPr="00CA4ABC">
        <w:rPr>
          <w:rFonts w:cstheme="minorHAnsi"/>
          <w:color w:val="000000" w:themeColor="text1"/>
        </w:rPr>
        <w:t xml:space="preserve"> were the most under-represented cohort, making up 37% of the respondents. To fully understand the validity of the screener in the 55+ age group, future work should be done testing the tool in this defined age category, rather than simply adults aged 18+.</w:t>
      </w:r>
    </w:p>
    <w:p w14:paraId="76B0C8B8" w14:textId="77777777" w:rsidR="00D979C9" w:rsidRPr="00CA4ABC" w:rsidRDefault="00D979C9" w:rsidP="004053D7">
      <w:pPr>
        <w:spacing w:line="360" w:lineRule="auto"/>
        <w:rPr>
          <w:rFonts w:cstheme="minorHAnsi"/>
          <w:color w:val="000000" w:themeColor="text1"/>
        </w:rPr>
      </w:pPr>
    </w:p>
    <w:p w14:paraId="00CDA5F1" w14:textId="38BA252A" w:rsidR="00507FC8" w:rsidRDefault="007768B9" w:rsidP="004053D7">
      <w:pPr>
        <w:spacing w:line="360" w:lineRule="auto"/>
        <w:rPr>
          <w:rFonts w:cstheme="minorHAnsi"/>
          <w:color w:val="000000" w:themeColor="text1"/>
        </w:rPr>
      </w:pPr>
      <w:r w:rsidRPr="00526AB9">
        <w:rPr>
          <w:rFonts w:cstheme="minorHAnsi"/>
          <w:color w:val="000000" w:themeColor="text1"/>
        </w:rPr>
        <w:t xml:space="preserve">Overall, recruitment rates feel slightly short of </w:t>
      </w:r>
      <w:r w:rsidR="00526AB9" w:rsidRPr="004721C1">
        <w:rPr>
          <w:rFonts w:cstheme="minorHAnsi"/>
          <w:color w:val="000000" w:themeColor="text1"/>
        </w:rPr>
        <w:t>recruitment</w:t>
      </w:r>
      <w:r w:rsidRPr="00526AB9">
        <w:rPr>
          <w:rFonts w:cstheme="minorHAnsi"/>
          <w:color w:val="000000" w:themeColor="text1"/>
        </w:rPr>
        <w:t xml:space="preserve"> target</w:t>
      </w:r>
      <w:r w:rsidR="00526AB9" w:rsidRPr="004721C1">
        <w:rPr>
          <w:rFonts w:cstheme="minorHAnsi"/>
          <w:color w:val="000000" w:themeColor="text1"/>
        </w:rPr>
        <w:t>s</w:t>
      </w:r>
      <w:r w:rsidRPr="00526AB9">
        <w:rPr>
          <w:rFonts w:cstheme="minorHAnsi"/>
          <w:color w:val="000000" w:themeColor="text1"/>
        </w:rPr>
        <w:t xml:space="preserve">. </w:t>
      </w:r>
      <w:r w:rsidR="00526AB9" w:rsidRPr="00526AB9">
        <w:rPr>
          <w:rFonts w:ascii="Calibri" w:eastAsia="Times New Roman" w:hAnsi="Calibri" w:cs="Calibri"/>
          <w:color w:val="000000"/>
          <w:lang w:eastAsia="en-GB"/>
        </w:rPr>
        <w:t xml:space="preserve">Based on the sample size calculation (section </w:t>
      </w:r>
      <w:r w:rsidR="00526AB9" w:rsidRPr="00526AB9">
        <w:rPr>
          <w:rFonts w:cstheme="minorHAnsi"/>
          <w:color w:val="000000" w:themeColor="text1"/>
        </w:rPr>
        <w:t xml:space="preserve">3.4.4), with a recruitment rate of </w:t>
      </w:r>
      <w:r w:rsidR="00526AB9">
        <w:rPr>
          <w:rFonts w:cstheme="minorHAnsi"/>
          <w:color w:val="000000" w:themeColor="text1"/>
        </w:rPr>
        <w:t>n=</w:t>
      </w:r>
      <w:r w:rsidR="00526AB9" w:rsidRPr="00526AB9">
        <w:rPr>
          <w:rFonts w:cstheme="minorHAnsi"/>
          <w:color w:val="000000" w:themeColor="text1"/>
        </w:rPr>
        <w:t>306, the</w:t>
      </w:r>
      <w:r w:rsidR="00526AB9">
        <w:rPr>
          <w:rFonts w:cstheme="minorHAnsi"/>
          <w:color w:val="000000" w:themeColor="text1"/>
        </w:rPr>
        <w:t xml:space="preserve"> absolute error at th</w:t>
      </w:r>
      <w:r w:rsidR="00D10370">
        <w:rPr>
          <w:rFonts w:cstheme="minorHAnsi"/>
          <w:color w:val="000000" w:themeColor="text1"/>
        </w:rPr>
        <w:t>is</w:t>
      </w:r>
      <w:r w:rsidR="00526AB9">
        <w:rPr>
          <w:rFonts w:cstheme="minorHAnsi"/>
          <w:color w:val="000000" w:themeColor="text1"/>
        </w:rPr>
        <w:t xml:space="preserve"> level was 0.055; this falls marginally out of the 0.05 level set. </w:t>
      </w:r>
      <w:r>
        <w:rPr>
          <w:rFonts w:cstheme="minorHAnsi"/>
          <w:color w:val="000000" w:themeColor="text1"/>
        </w:rPr>
        <w:t>Moreover, d</w:t>
      </w:r>
      <w:r w:rsidR="00507FC8" w:rsidRPr="00CA4ABC">
        <w:rPr>
          <w:rFonts w:cstheme="minorHAnsi"/>
          <w:color w:val="000000" w:themeColor="text1"/>
        </w:rPr>
        <w:t xml:space="preserve">ue to group rules on social media pages, </w:t>
      </w:r>
      <w:r w:rsidR="00AB4278">
        <w:rPr>
          <w:rFonts w:cstheme="minorHAnsi"/>
          <w:color w:val="000000" w:themeColor="text1"/>
        </w:rPr>
        <w:t>posts were often required to be</w:t>
      </w:r>
      <w:r w:rsidR="00507FC8" w:rsidRPr="00CA4ABC">
        <w:rPr>
          <w:rFonts w:cstheme="minorHAnsi"/>
          <w:color w:val="000000" w:themeColor="text1"/>
        </w:rPr>
        <w:t xml:space="preserve"> about local information or linked to the local community</w:t>
      </w:r>
      <w:r w:rsidR="00C852E3" w:rsidRPr="00CA4ABC">
        <w:rPr>
          <w:rFonts w:cstheme="minorHAnsi"/>
          <w:color w:val="000000" w:themeColor="text1"/>
        </w:rPr>
        <w:t>. This</w:t>
      </w:r>
      <w:r w:rsidR="00507FC8" w:rsidRPr="00CA4ABC">
        <w:rPr>
          <w:rFonts w:cstheme="minorHAnsi"/>
          <w:color w:val="000000" w:themeColor="text1"/>
        </w:rPr>
        <w:t xml:space="preserve"> meant that Sheffield groups were targeted. As such, many of the respondents were likely to be from the Sheffield area, which may skew the results of the responses</w:t>
      </w:r>
      <w:r w:rsidR="00C852E3" w:rsidRPr="00CA4ABC">
        <w:rPr>
          <w:rFonts w:cstheme="minorHAnsi"/>
          <w:color w:val="000000" w:themeColor="text1"/>
        </w:rPr>
        <w:t xml:space="preserve"> and is</w:t>
      </w:r>
      <w:r w:rsidR="00507FC8" w:rsidRPr="00CA4ABC">
        <w:rPr>
          <w:rFonts w:cstheme="minorHAnsi"/>
          <w:color w:val="000000" w:themeColor="text1"/>
        </w:rPr>
        <w:t xml:space="preserve"> another </w:t>
      </w:r>
      <w:r w:rsidR="00C852E3" w:rsidRPr="00CA4ABC">
        <w:rPr>
          <w:rFonts w:cstheme="minorHAnsi"/>
          <w:color w:val="000000" w:themeColor="text1"/>
        </w:rPr>
        <w:t xml:space="preserve">potential </w:t>
      </w:r>
      <w:r w:rsidR="00507FC8" w:rsidRPr="00CA4ABC">
        <w:rPr>
          <w:rFonts w:cstheme="minorHAnsi"/>
          <w:color w:val="000000" w:themeColor="text1"/>
        </w:rPr>
        <w:t>concern for</w:t>
      </w:r>
      <w:r w:rsidR="00D82897" w:rsidRPr="00CA4ABC">
        <w:rPr>
          <w:rFonts w:cstheme="minorHAnsi"/>
          <w:color w:val="000000" w:themeColor="text1"/>
        </w:rPr>
        <w:t xml:space="preserve"> the</w:t>
      </w:r>
      <w:r w:rsidR="00507FC8" w:rsidRPr="00CA4ABC">
        <w:rPr>
          <w:rFonts w:cstheme="minorHAnsi"/>
          <w:color w:val="000000" w:themeColor="text1"/>
        </w:rPr>
        <w:t xml:space="preserve"> generalisability of the data.</w:t>
      </w:r>
    </w:p>
    <w:p w14:paraId="50C4EF03" w14:textId="77777777" w:rsidR="00E86F8C" w:rsidRPr="00CA4ABC" w:rsidRDefault="00E86F8C" w:rsidP="004053D7">
      <w:pPr>
        <w:spacing w:line="360" w:lineRule="auto"/>
        <w:rPr>
          <w:rFonts w:cstheme="minorHAnsi"/>
          <w:color w:val="000000" w:themeColor="text1"/>
        </w:rPr>
      </w:pPr>
    </w:p>
    <w:p w14:paraId="45E8555A" w14:textId="5D585C09" w:rsidR="00E86F8C" w:rsidRDefault="00E86F8C" w:rsidP="00E86F8C">
      <w:pPr>
        <w:spacing w:line="360" w:lineRule="auto"/>
        <w:rPr>
          <w:rFonts w:cstheme="minorHAnsi"/>
          <w:color w:val="000000" w:themeColor="text1"/>
        </w:rPr>
      </w:pPr>
      <w:r>
        <w:rPr>
          <w:rFonts w:cstheme="minorHAnsi"/>
          <w:color w:val="000000" w:themeColor="text1"/>
        </w:rPr>
        <w:t xml:space="preserve">Emphasis has been placed on using the tool for identifying low protein consumers (&lt;1g/kg BM/d). However, there may also be a need to identify particularly high protein consumers, as it has also been suggested that there could be a relationship between higher dietary protein intakes and sarcopenia risk </w:t>
      </w:r>
      <w:r>
        <w:rPr>
          <w:rFonts w:cstheme="minorHAnsi"/>
          <w:color w:val="000000" w:themeColor="text1"/>
        </w:rPr>
        <w:fldChar w:fldCharType="begin" w:fldLock="1"/>
      </w:r>
      <w:r w:rsidR="00821D82">
        <w:rPr>
          <w:rFonts w:cstheme="minorHAnsi"/>
          <w:color w:val="000000" w:themeColor="text1"/>
        </w:rPr>
        <w:instrText>ADDIN CSL_CITATION {"citationItems":[{"id":"ITEM-1","itemData":{"abstract":"AcademicSubjects/MED00280, DOI: 10.1093/ageing/afad018, Age and Ageing, 52, 00, 04 2 2023. Abstract: Background: Sarcopenia, characterised by an accelerated loss of skeletal muscle mass and function, is associated with negative outcomes. This study aimed to evaluate factors associated with skeletal muscle strength, mass and sarcopenia, particularly protein intake, and to assess whether shared twin characteristics are important.  Methods: This study utilised cross-sectional data from a study of community-dwelling twins aged ≥60 years. Multivariable logistic regression and between- and within-twin pair regression modelling were used.  Results: Participants (n = 3,302) were 89% female (n = 2,923), aged a mean of 72.1 (±7.3) years and composed of 858 (55%) monozygotic, 709 (45%) dizygotic twin pairs and 168 individual lone twins. Using optimal protein intake as the reference group (1.0–1.3 g/kg/day), there was no significant association between protein intake (neither high nor low) and low muscle strength, or between low protein intake and sarcopenia (odds ratio (OR) 0.7; 95% confidence interval (CI) 0.39–1.25; P = 0.229) in unadjusted models. High protein intake (&gt;1.3 g/kg/day) was associated with low muscle mass (OR 1.76; 95% CI 1.39–2.24; P &lt; 0.0001), while low protein intake was protective (OR 0.52; 95% CI 0.40–0.67; P &lt; 0.0001). High protein intake was associated with sarcopenia (OR 2.04; 95% CI 1.21–3.44; P = 0.008), and this was robust to adjustment for demographic, anthropometric and dietary factors. The association between muscle strength and weight, body mass index, healthy eating index, protein intake and alpha diversity was not significantly influenced by shared twin factors, indicating greater amenability to interventions.  Conclusions: High protein intake is associated with sarcopenia in a cohort of healthy older twins.","author":[{"dropping-particle":"","family":"Lochlainn","given":"Mary Ni","non-dropping-particle":"","parse-names":false,"suffix":""},{"dropping-particle":"","family":"Bowyer","given":"Ruth C E","non-dropping-particle":"","parse-names":false,"suffix":""},{"dropping-particle":"","family":"Welch","given":"Ailsa A","non-dropping-particle":"","parse-names":false,"suffix":""},{"dropping-particle":"","family":"Whelan","given":"Kevin","non-dropping-particle":"","parse-names":false,"suffix":""},{"dropping-particle":"","family":"Steves","given":"Claire J","non-dropping-particle":"","parse-names":false,"suffix":""}],"id":"ITEM-1","issued":{"date-parts":[["2023"]]},"page":"1-10","title":"Higher dietary protein intake is associated with sarcopenia in older British twins","type":"article-journal"},"uris":["http://www.mendeley.com/documents/?uuid=e2ee91e4-20bb-4679-8331-388a7e8023ab"]}],"mendeley":{"formattedCitation":"(224)","plainTextFormattedCitation":"(224)","previouslyFormattedCitation":"(224)"},"properties":{"noteIndex":0},"schema":"https://github.com/citation-style-language/schema/raw/master/csl-citation.json"}</w:instrText>
      </w:r>
      <w:r>
        <w:rPr>
          <w:rFonts w:cstheme="minorHAnsi"/>
          <w:color w:val="000000" w:themeColor="text1"/>
        </w:rPr>
        <w:fldChar w:fldCharType="separate"/>
      </w:r>
      <w:r w:rsidR="00FF0BCE" w:rsidRPr="00FF0BCE">
        <w:rPr>
          <w:rFonts w:cstheme="minorHAnsi"/>
          <w:noProof/>
          <w:color w:val="000000" w:themeColor="text1"/>
        </w:rPr>
        <w:t>(224)</w:t>
      </w:r>
      <w:r>
        <w:rPr>
          <w:rFonts w:cstheme="minorHAnsi"/>
          <w:color w:val="000000" w:themeColor="text1"/>
        </w:rPr>
        <w:fldChar w:fldCharType="end"/>
      </w:r>
      <w:r>
        <w:rPr>
          <w:rFonts w:cstheme="minorHAnsi"/>
          <w:color w:val="000000" w:themeColor="text1"/>
        </w:rPr>
        <w:t xml:space="preserve">. This tool </w:t>
      </w:r>
      <w:r w:rsidR="00272D46">
        <w:rPr>
          <w:rFonts w:cstheme="minorHAnsi"/>
          <w:color w:val="000000" w:themeColor="text1"/>
        </w:rPr>
        <w:t>has limited use</w:t>
      </w:r>
      <w:r>
        <w:rPr>
          <w:rFonts w:cstheme="minorHAnsi"/>
          <w:color w:val="000000" w:themeColor="text1"/>
        </w:rPr>
        <w:t>, in these instances. Optimal cut-offs for the dichotomising protein intakes may require further refinement and justification, based on evidenced intakes associated with sarcopenia risk. The use of 1g/kg BM/d was utilised because of previous work carried out in the Netherlands</w:t>
      </w:r>
      <w:r w:rsidR="00272D46">
        <w:rPr>
          <w:rFonts w:cstheme="minorHAnsi"/>
          <w:color w:val="000000" w:themeColor="text1"/>
        </w:rPr>
        <w:t xml:space="preserve"> </w:t>
      </w:r>
      <w:r w:rsidR="00272D46">
        <w:rPr>
          <w:rFonts w:cstheme="minorHAnsi"/>
          <w:color w:val="000000" w:themeColor="text1"/>
        </w:rPr>
        <w:fldChar w:fldCharType="begin" w:fldLock="1"/>
      </w:r>
      <w:r w:rsidR="00F63B10">
        <w:rPr>
          <w:rFonts w:cstheme="minorHAnsi"/>
          <w:color w:val="000000" w:themeColor="text1"/>
        </w:rPr>
        <w:instrText>ADDIN CSL_CITATION {"citationItems":[{"id":"ITEM-1","itemData":{"DOI":"10.1371/journal.pone.0196406","ISSN":"19326203","abstract":"In old age, sufficient protein intake is important to preserve muscle mass and function. Around 50% of older adults (65+ y) consumes 1.0 g/kg adjusted body weight (BW)/day (d). There is no rapid method available to screen for low protein intake in old age. Therefore, we aimed to develop and validate a short food questionnaire to screen for low protein intake in community-dwelling older adults. We used data of 1348 older men and women (56–101 y) of the LASA study (the Netherlands) to develop the questionnaire and data of 563 older men and women (55–71 y) of the HELIUS study (the Netherlands) for external validation. In both samples, protein intake was measured by the 238-item semi-quantitative HELIUS food frequency questionnaire (FFQ). Multivariable logistic regression analysis was used to predict protein intake 1.0 g/kg adjusted BW/d (based on the HELIUS FFQ). Candidate predictor variables were FFQ questions on frequency and amount of intake of specific foods. In both samples, 30% had a protein intake 1.0 g/kg adjusted BW/d. Our final model included adjusted body weight and 10 questions on the consumption (amount on average day or frequency in 4 weeks) of: slices of bread (number); glasses of milk (number); meat with warm meal (portion size); cheese (amount and frequency); dairy products (like yoghurt) (frequency); egg(s) (frequency); pasta/noodles (frequency); fish (frequency); and nuts/peanuts (frequency). The area under the receiver operating characteristic curve (AUC) was 0.889 (95% CI 0.870–0.907). The calibration slope was 1.03 (optimal slope 1.00). At a cut-off of 0.8 g/kg adjusted BW/d, the AUC was 0.916 (96% CI 0.897–0.936). Applying the regression equation to the HELIUS sample, the AUC was 0.856 (95% CI 0.824–0.888) and the calibration slope 0.92. Regression coefficients were therefore subsequently shrunken by a linear factor 0.92. To conclude, the short food questionnaire (Pro55+) can be used to validly screen for protein intake 1.0 g/kg adjusted BW/d in community-dwelling older adults. An online version can be found at www.proteinscreener.nl. External validation in other countries is recommended.","author":[{"dropping-particle":"","family":"Wijnhoven","given":"Hanneke A.H.","non-dropping-particle":"","parse-names":false,"suffix":""},{"dropping-particle":"","family":"Elstgeest","given":"Liset E.M.","non-dropping-particle":"","parse-names":false,"suffix":""},{"dropping-particle":"","family":"Vet","given":"Henrica C.W.","non-dropping-particle":"de","parse-names":false,"suffix":""},{"dropping-particle":"","family":"Nicolaou","given":"Mary","non-dropping-particle":"","parse-names":false,"suffix":""},{"dropping-particle":"","family":"Snijder","given":"Marieke B.","non-dropping-particle":"","parse-names":false,"suffix":""},{"dropping-particle":"","family":"Visser","given":"Marjolein","non-dropping-particle":"","parse-names":false,"suffix":""}],"container-title":"PLoS ONE","id":"ITEM-1","issue":"5","issued":{"date-parts":[["2018","5","1"]]},"publisher":"Public Library of Science","title":"Development and validation of a short food questionnaire to screen for low protein intake in community-dwelling older adults: The Protein Screener 55+ (Pro55+)","type":"article-journal","volume":"13"},"uris":["http://www.mendeley.com/documents/?uuid=ff0f1464-ecfa-3ac3-82d4-25c89ee39538"]}],"mendeley":{"formattedCitation":"(180)","plainTextFormattedCitation":"(180)","previouslyFormattedCitation":"(180)"},"properties":{"noteIndex":0},"schema":"https://github.com/citation-style-language/schema/raw/master/csl-citation.json"}</w:instrText>
      </w:r>
      <w:r w:rsidR="00272D46">
        <w:rPr>
          <w:rFonts w:cstheme="minorHAnsi"/>
          <w:color w:val="000000" w:themeColor="text1"/>
        </w:rPr>
        <w:fldChar w:fldCharType="separate"/>
      </w:r>
      <w:r w:rsidR="00272D46" w:rsidRPr="00272D46">
        <w:rPr>
          <w:rFonts w:cstheme="minorHAnsi"/>
          <w:noProof/>
          <w:color w:val="000000" w:themeColor="text1"/>
        </w:rPr>
        <w:t>(180)</w:t>
      </w:r>
      <w:r w:rsidR="00272D46">
        <w:rPr>
          <w:rFonts w:cstheme="minorHAnsi"/>
          <w:color w:val="000000" w:themeColor="text1"/>
        </w:rPr>
        <w:fldChar w:fldCharType="end"/>
      </w:r>
      <w:r>
        <w:rPr>
          <w:rFonts w:cstheme="minorHAnsi"/>
          <w:color w:val="000000" w:themeColor="text1"/>
        </w:rPr>
        <w:t xml:space="preserve">, and the development of the syntax, linked to the </w:t>
      </w:r>
      <w:r w:rsidR="00272D46">
        <w:rPr>
          <w:rFonts w:cstheme="minorHAnsi"/>
          <w:color w:val="000000" w:themeColor="text1"/>
        </w:rPr>
        <w:t xml:space="preserve">amended </w:t>
      </w:r>
      <w:r>
        <w:rPr>
          <w:rFonts w:cstheme="minorHAnsi"/>
          <w:color w:val="000000" w:themeColor="text1"/>
        </w:rPr>
        <w:t xml:space="preserve">protein screener questions, at this value. </w:t>
      </w:r>
      <w:r w:rsidR="00272D46">
        <w:rPr>
          <w:rFonts w:cstheme="minorHAnsi"/>
          <w:color w:val="000000" w:themeColor="text1"/>
        </w:rPr>
        <w:t>F</w:t>
      </w:r>
      <w:r>
        <w:rPr>
          <w:rFonts w:cstheme="minorHAnsi"/>
          <w:color w:val="000000" w:themeColor="text1"/>
        </w:rPr>
        <w:t>uture work may be appropriate to refine a scr</w:t>
      </w:r>
      <w:r w:rsidR="00272D46">
        <w:rPr>
          <w:rFonts w:cstheme="minorHAnsi"/>
          <w:color w:val="000000" w:themeColor="text1"/>
        </w:rPr>
        <w:t>e</w:t>
      </w:r>
      <w:r>
        <w:rPr>
          <w:rFonts w:cstheme="minorHAnsi"/>
          <w:color w:val="000000" w:themeColor="text1"/>
        </w:rPr>
        <w:t>ening to</w:t>
      </w:r>
      <w:r w:rsidR="00272D46">
        <w:rPr>
          <w:rFonts w:cstheme="minorHAnsi"/>
          <w:color w:val="000000" w:themeColor="text1"/>
        </w:rPr>
        <w:t>o</w:t>
      </w:r>
      <w:r>
        <w:rPr>
          <w:rFonts w:cstheme="minorHAnsi"/>
          <w:color w:val="000000" w:themeColor="text1"/>
        </w:rPr>
        <w:t xml:space="preserve">l that has the ability to  identify habitual protein consumers of  both low and higher (&gt;1.3g/kg BM/d) </w:t>
      </w:r>
      <w:r w:rsidR="00272D46">
        <w:rPr>
          <w:rFonts w:cstheme="minorHAnsi"/>
          <w:color w:val="000000" w:themeColor="text1"/>
        </w:rPr>
        <w:t xml:space="preserve">intakes </w:t>
      </w:r>
      <w:r>
        <w:rPr>
          <w:rFonts w:cstheme="minorHAnsi"/>
          <w:color w:val="000000" w:themeColor="text1"/>
        </w:rPr>
        <w:t>of protein</w:t>
      </w:r>
      <w:r w:rsidR="00272D46">
        <w:rPr>
          <w:rFonts w:cstheme="minorHAnsi"/>
          <w:color w:val="000000" w:themeColor="text1"/>
        </w:rPr>
        <w:t>.</w:t>
      </w:r>
    </w:p>
    <w:p w14:paraId="6C63BEBA" w14:textId="77777777" w:rsidR="00507FC8" w:rsidRPr="00CA4ABC" w:rsidRDefault="00507FC8" w:rsidP="004053D7">
      <w:pPr>
        <w:spacing w:line="360" w:lineRule="auto"/>
        <w:rPr>
          <w:rFonts w:cstheme="minorHAnsi"/>
          <w:color w:val="000000" w:themeColor="text1"/>
        </w:rPr>
      </w:pPr>
    </w:p>
    <w:p w14:paraId="4998DDE8" w14:textId="1824434F" w:rsidR="00507FC8" w:rsidRPr="00CA4ABC" w:rsidRDefault="00507FC8" w:rsidP="004053D7">
      <w:pPr>
        <w:spacing w:line="360" w:lineRule="auto"/>
        <w:rPr>
          <w:rFonts w:cstheme="minorHAnsi"/>
          <w:color w:val="000000" w:themeColor="text1"/>
        </w:rPr>
      </w:pPr>
      <w:r w:rsidRPr="00CA4ABC">
        <w:rPr>
          <w:rFonts w:cstheme="minorHAnsi"/>
          <w:color w:val="000000" w:themeColor="text1"/>
        </w:rPr>
        <w:t xml:space="preserve">Overall, findings of the further validation carried out by SheffProUK, suggest that further refinement of the ten amended protein screener questions </w:t>
      </w:r>
      <w:r w:rsidR="00D82897" w:rsidRPr="00CA4ABC">
        <w:rPr>
          <w:rFonts w:cstheme="minorHAnsi"/>
          <w:color w:val="000000" w:themeColor="text1"/>
        </w:rPr>
        <w:t>is</w:t>
      </w:r>
      <w:r w:rsidRPr="00CA4ABC">
        <w:rPr>
          <w:rFonts w:cstheme="minorHAnsi"/>
          <w:color w:val="000000" w:themeColor="text1"/>
        </w:rPr>
        <w:t xml:space="preserve"> necessary to sufficiently predict if </w:t>
      </w:r>
      <w:r w:rsidR="00C852E3" w:rsidRPr="00CA4ABC">
        <w:rPr>
          <w:rFonts w:cstheme="minorHAnsi"/>
          <w:color w:val="000000" w:themeColor="text1"/>
        </w:rPr>
        <w:t>an individual</w:t>
      </w:r>
      <w:r w:rsidRPr="00CA4ABC">
        <w:rPr>
          <w:rFonts w:cstheme="minorHAnsi"/>
          <w:color w:val="000000" w:themeColor="text1"/>
        </w:rPr>
        <w:t xml:space="preserve"> ha</w:t>
      </w:r>
      <w:r w:rsidR="00C852E3" w:rsidRPr="00CA4ABC">
        <w:rPr>
          <w:rFonts w:cstheme="minorHAnsi"/>
          <w:color w:val="000000" w:themeColor="text1"/>
        </w:rPr>
        <w:t>s</w:t>
      </w:r>
      <w:r w:rsidRPr="00CA4ABC">
        <w:rPr>
          <w:rFonts w:cstheme="minorHAnsi"/>
          <w:color w:val="000000" w:themeColor="text1"/>
        </w:rPr>
        <w:t xml:space="preserve"> a protein intake of less than 1g/kg B</w:t>
      </w:r>
      <w:r w:rsidR="001920B8" w:rsidRPr="00CA4ABC">
        <w:rPr>
          <w:rFonts w:cstheme="minorHAnsi"/>
          <w:color w:val="000000" w:themeColor="text1"/>
        </w:rPr>
        <w:t>M</w:t>
      </w:r>
      <w:r w:rsidRPr="00CA4ABC">
        <w:rPr>
          <w:rFonts w:cstheme="minorHAnsi"/>
          <w:color w:val="000000" w:themeColor="text1"/>
        </w:rPr>
        <w:t>/d</w:t>
      </w:r>
      <w:r w:rsidR="00C852E3" w:rsidRPr="00CA4ABC">
        <w:rPr>
          <w:rFonts w:cstheme="minorHAnsi"/>
          <w:color w:val="000000" w:themeColor="text1"/>
        </w:rPr>
        <w:t xml:space="preserve"> and improve the tool’s reliability</w:t>
      </w:r>
      <w:r w:rsidRPr="00CA4ABC">
        <w:rPr>
          <w:rFonts w:cstheme="minorHAnsi"/>
          <w:color w:val="000000" w:themeColor="text1"/>
        </w:rPr>
        <w:t xml:space="preserve">. </w:t>
      </w:r>
      <w:r w:rsidR="00216327" w:rsidRPr="00CA4ABC">
        <w:rPr>
          <w:rFonts w:cstheme="minorHAnsi"/>
          <w:color w:val="000000" w:themeColor="text1"/>
        </w:rPr>
        <w:t xml:space="preserve">The analysis </w:t>
      </w:r>
      <w:r w:rsidRPr="00CA4ABC">
        <w:rPr>
          <w:rFonts w:cstheme="minorHAnsi"/>
          <w:color w:val="000000" w:themeColor="text1"/>
        </w:rPr>
        <w:t>that the AUC is lower for the protein intake cut-off of 0.75g/kg BM/d and higher at protein intake cut-offs of 1.2g/kg BM/d</w:t>
      </w:r>
      <w:r w:rsidR="007B584A" w:rsidRPr="00CA4ABC">
        <w:rPr>
          <w:rFonts w:cstheme="minorHAnsi"/>
          <w:color w:val="000000" w:themeColor="text1"/>
        </w:rPr>
        <w:t xml:space="preserve"> supports this inference</w:t>
      </w:r>
      <w:r w:rsidRPr="00CA4ABC">
        <w:rPr>
          <w:rFonts w:cstheme="minorHAnsi"/>
          <w:color w:val="000000" w:themeColor="text1"/>
        </w:rPr>
        <w:t xml:space="preserve">. A limitation </w:t>
      </w:r>
      <w:r w:rsidR="007B584A" w:rsidRPr="00CA4ABC">
        <w:rPr>
          <w:rFonts w:cstheme="minorHAnsi"/>
          <w:color w:val="000000" w:themeColor="text1"/>
        </w:rPr>
        <w:t>of</w:t>
      </w:r>
      <w:r w:rsidRPr="00CA4ABC">
        <w:rPr>
          <w:rFonts w:cstheme="minorHAnsi"/>
          <w:color w:val="000000" w:themeColor="text1"/>
        </w:rPr>
        <w:t xml:space="preserve"> the current 10-questions is that </w:t>
      </w:r>
      <w:r w:rsidR="007B584A" w:rsidRPr="00CA4ABC">
        <w:rPr>
          <w:rFonts w:cstheme="minorHAnsi"/>
          <w:color w:val="000000" w:themeColor="text1"/>
        </w:rPr>
        <w:t>meat</w:t>
      </w:r>
      <w:r w:rsidRPr="00CA4ABC">
        <w:rPr>
          <w:rFonts w:cstheme="minorHAnsi"/>
          <w:color w:val="000000" w:themeColor="text1"/>
        </w:rPr>
        <w:t xml:space="preserve"> frequency intakes</w:t>
      </w:r>
      <w:r w:rsidR="007B584A" w:rsidRPr="00CA4ABC">
        <w:rPr>
          <w:rFonts w:cstheme="minorHAnsi"/>
          <w:color w:val="000000" w:themeColor="text1"/>
        </w:rPr>
        <w:t xml:space="preserve"> are not questioned</w:t>
      </w:r>
      <w:r w:rsidR="008A4BC4" w:rsidRPr="00CA4ABC">
        <w:rPr>
          <w:rFonts w:cstheme="minorHAnsi"/>
          <w:color w:val="000000" w:themeColor="text1"/>
        </w:rPr>
        <w:t>. I</w:t>
      </w:r>
      <w:r w:rsidRPr="00CA4ABC">
        <w:rPr>
          <w:rFonts w:cstheme="minorHAnsi"/>
          <w:color w:val="000000" w:themeColor="text1"/>
        </w:rPr>
        <w:t>nstead</w:t>
      </w:r>
      <w:r w:rsidR="00AB4278">
        <w:rPr>
          <w:rFonts w:cstheme="minorHAnsi"/>
          <w:color w:val="000000" w:themeColor="text1"/>
        </w:rPr>
        <w:t>,</w:t>
      </w:r>
      <w:r w:rsidRPr="00CA4ABC">
        <w:rPr>
          <w:rFonts w:cstheme="minorHAnsi"/>
          <w:color w:val="000000" w:themeColor="text1"/>
        </w:rPr>
        <w:t xml:space="preserve"> </w:t>
      </w:r>
      <w:r w:rsidR="007B584A" w:rsidRPr="00CA4ABC">
        <w:rPr>
          <w:rFonts w:cstheme="minorHAnsi"/>
          <w:color w:val="000000" w:themeColor="text1"/>
        </w:rPr>
        <w:t>enquires are only made</w:t>
      </w:r>
      <w:r w:rsidRPr="00CA4ABC">
        <w:rPr>
          <w:rFonts w:cstheme="minorHAnsi"/>
          <w:color w:val="000000" w:themeColor="text1"/>
        </w:rPr>
        <w:t xml:space="preserve"> about </w:t>
      </w:r>
      <w:r w:rsidR="00D82897" w:rsidRPr="00CA4ABC">
        <w:rPr>
          <w:rFonts w:cstheme="minorHAnsi"/>
          <w:color w:val="000000" w:themeColor="text1"/>
        </w:rPr>
        <w:t xml:space="preserve">the </w:t>
      </w:r>
      <w:r w:rsidRPr="00CA4ABC">
        <w:rPr>
          <w:rFonts w:cstheme="minorHAnsi"/>
          <w:color w:val="000000" w:themeColor="text1"/>
        </w:rPr>
        <w:t>quantity of meat/meat substitutes on a plate (question 3). Information can</w:t>
      </w:r>
      <w:r w:rsidR="00796A5E">
        <w:rPr>
          <w:rFonts w:cstheme="minorHAnsi"/>
          <w:color w:val="000000" w:themeColor="text1"/>
        </w:rPr>
        <w:t>,</w:t>
      </w:r>
      <w:r w:rsidRPr="00CA4ABC">
        <w:rPr>
          <w:rFonts w:cstheme="minorHAnsi"/>
          <w:color w:val="000000" w:themeColor="text1"/>
        </w:rPr>
        <w:t xml:space="preserve"> therefore</w:t>
      </w:r>
      <w:r w:rsidR="00AB4278">
        <w:rPr>
          <w:rFonts w:cstheme="minorHAnsi"/>
          <w:color w:val="000000" w:themeColor="text1"/>
        </w:rPr>
        <w:t>,</w:t>
      </w:r>
      <w:r w:rsidRPr="00CA4ABC">
        <w:rPr>
          <w:rFonts w:cstheme="minorHAnsi"/>
          <w:color w:val="000000" w:themeColor="text1"/>
        </w:rPr>
        <w:t xml:space="preserve"> not be gathered regarding daily meat consumption. Moreover, this is unlikely to correlate well with a one-day recall </w:t>
      </w:r>
      <w:r w:rsidR="008A4BC4" w:rsidRPr="00CA4ABC">
        <w:rPr>
          <w:rFonts w:cstheme="minorHAnsi"/>
          <w:color w:val="000000" w:themeColor="text1"/>
        </w:rPr>
        <w:t xml:space="preserve">because this </w:t>
      </w:r>
      <w:r w:rsidR="00AB4278">
        <w:rPr>
          <w:rFonts w:cstheme="minorHAnsi"/>
          <w:color w:val="000000" w:themeColor="text1"/>
        </w:rPr>
        <w:t xml:space="preserve">would not be captured if </w:t>
      </w:r>
      <w:r w:rsidR="008A4BC4" w:rsidRPr="00CA4ABC">
        <w:rPr>
          <w:rFonts w:cstheme="minorHAnsi"/>
          <w:color w:val="000000" w:themeColor="text1"/>
        </w:rPr>
        <w:t>meat is not consumed</w:t>
      </w:r>
      <w:r w:rsidRPr="00CA4ABC">
        <w:rPr>
          <w:rFonts w:cstheme="minorHAnsi"/>
          <w:color w:val="000000" w:themeColor="text1"/>
        </w:rPr>
        <w:t xml:space="preserve"> daily</w:t>
      </w:r>
      <w:r w:rsidR="008A4BC4" w:rsidRPr="00CA4ABC">
        <w:rPr>
          <w:rFonts w:cstheme="minorHAnsi"/>
          <w:color w:val="000000" w:themeColor="text1"/>
        </w:rPr>
        <w:t xml:space="preserve">. </w:t>
      </w:r>
      <w:r w:rsidRPr="00CA4ABC">
        <w:rPr>
          <w:rFonts w:cstheme="minorHAnsi"/>
          <w:color w:val="000000" w:themeColor="text1"/>
        </w:rPr>
        <w:t>Furthermore, based on evidence relating to the importance of protein intake daily distribution</w:t>
      </w:r>
      <w:r w:rsidR="00FF7C4D" w:rsidRPr="00CA4ABC">
        <w:rPr>
          <w:rFonts w:cstheme="minorHAnsi"/>
          <w:color w:val="000000" w:themeColor="text1"/>
        </w:rPr>
        <w:t xml:space="preserve"> </w:t>
      </w:r>
      <w:r w:rsidR="00FF7C4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{"citationItems":[{"id":"ITEM-1","itemData":{"DOI":"10.3390/nu10030360","ISSN":"20726643","PMID":"29547523","abstract":"With an ageing population, dietary approaches to promote health and independence later in life are needed. In part, this can be achieved by maintaining muscle mass and strength as people age. New evidence suggests that current dietary recommendations for protein intake may be insufficient to achieve this goal and that individuals might benefit by increasing their intake and frequency of consumption of high-quality protein. However, the environmental effects of increasing animal-protein production are a concern, and alternative, more sustainable protein sources should be considered. Protein is known to be more satiating than other macronutrients, and it is unclear whether diets high in plant proteins affect the appetite of older adults as they should be recommended for individuals at risk of malnutrition. The review considers the protein needs of an ageing population (&gt;40 years old), sustainable protein sources, appetite-related implications of diets high in plant proteins, and related areas for future research.","author":[{"dropping-particle":"","family":"Lonnie","given":"Marta","non-dropping-particle":"","parse-names":false,"suffix":""},{"dropping-particle":"","family":"Hooker","given":"Emma","non-dropping-particle":"","parse-names":false,"suffix":""},{"dropping-particle":"","family":"Brunstrom","given":"Jeffrey M.","non-dropping-particle":"","parse-names":false,"suffix":""},{"dropping-particle":"","family":"Corfe","given":"Bernard M.","non-dropping-particle":"","parse-names":false,"suffix":""},{"dropping-particle":"","family":"Green","given":"Mark A.","non-dropping-particle":"","parse-names":false,"suffix":""},{"dropping-particle":"","family":"Watson","given":"Anthony W.","non-dropping-particle":"","parse-names":false,"suffix":""},{"dropping-particle":"","family":"Williams","given":"Elizabeth A.","non-dropping-particle":"","parse-names":false,"suffix":""},{"dropping-particle":"","family":"Stevenson","given":"Emma J.","non-dropping-particle":"","parse-names":false,"suffix":""},{"dropping-particle":"","family":"Penson","given":"Simon","non-dropping-particle":"","parse-names":false,"suffix":""},{"dropping-particle":"","family":"Johnstone","given":"Alexandra M.","non-dropping-particle":"","parse-names":false,"suffix":""}],"container-title":"Nutrients","id":"ITEM-1","issue":"3","issued":{"date-parts":[["2018","3","16"]]},"publisher":"MDPI AG","title":"Protein for life: Review of optimal protein intake, sustainable dietary sources and the effect on appetite in ageing adults","type":"article","volume":"10"},"uris":["http://www.mendeley.com/documents/?uuid=f27f2062-9514-3d72-b874-d687388f1dd2"]}],"mendeley":{"formattedCitation":"(225)","plainTextFormattedCitation":"(225)","previouslyFormattedCitation":"(225)"},"properties":{"noteIndex":0},"schema":"https://github.com/citation-style-language/schema/raw/master/csl-citation.json"}</w:instrText>
      </w:r>
      <w:r w:rsidR="00FF7C4D" w:rsidRPr="00CA4ABC">
        <w:rPr>
          <w:rFonts w:cstheme="minorHAnsi"/>
          <w:color w:val="000000" w:themeColor="text1"/>
        </w:rPr>
        <w:fldChar w:fldCharType="separate"/>
      </w:r>
      <w:r w:rsidR="00FF0BCE" w:rsidRPr="00FF0BCE">
        <w:rPr>
          <w:rFonts w:cstheme="minorHAnsi"/>
          <w:noProof/>
          <w:color w:val="000000" w:themeColor="text1"/>
        </w:rPr>
        <w:t>(225)</w:t>
      </w:r>
      <w:r w:rsidR="00FF7C4D" w:rsidRPr="00CA4ABC">
        <w:rPr>
          <w:rFonts w:cstheme="minorHAnsi"/>
          <w:color w:val="000000" w:themeColor="text1"/>
        </w:rPr>
        <w:fldChar w:fldCharType="end"/>
      </w:r>
      <w:r w:rsidR="00FF7C4D" w:rsidRPr="00CA4ABC">
        <w:rPr>
          <w:rFonts w:cstheme="minorHAnsi"/>
          <w:color w:val="000000" w:themeColor="text1"/>
        </w:rPr>
        <w:t xml:space="preserve">, </w:t>
      </w:r>
      <w:r w:rsidRPr="00CA4ABC">
        <w:rPr>
          <w:rFonts w:cstheme="minorHAnsi"/>
          <w:color w:val="000000" w:themeColor="text1"/>
        </w:rPr>
        <w:t xml:space="preserve">frequency is likely to have an impactful role in influencing MPS rates, </w:t>
      </w:r>
      <w:r w:rsidR="008A4BC4" w:rsidRPr="00CA4ABC">
        <w:rPr>
          <w:rFonts w:cstheme="minorHAnsi"/>
          <w:color w:val="000000" w:themeColor="text1"/>
        </w:rPr>
        <w:t>suggesting it is necessary information to capture</w:t>
      </w:r>
      <w:r w:rsidRPr="00CA4ABC">
        <w:rPr>
          <w:rFonts w:cstheme="minorHAnsi"/>
          <w:color w:val="000000" w:themeColor="text1"/>
        </w:rPr>
        <w:t>.</w:t>
      </w:r>
    </w:p>
    <w:p w14:paraId="0885E7B9" w14:textId="77777777" w:rsidR="00507FC8" w:rsidRPr="00CA4ABC" w:rsidRDefault="00507FC8" w:rsidP="004053D7">
      <w:pPr>
        <w:spacing w:line="360" w:lineRule="auto"/>
        <w:rPr>
          <w:rFonts w:cstheme="minorHAnsi"/>
          <w:color w:val="000000" w:themeColor="text1"/>
        </w:rPr>
      </w:pPr>
    </w:p>
    <w:p w14:paraId="5FED3656" w14:textId="064A135E" w:rsidR="00507FC8" w:rsidRDefault="00507FC8" w:rsidP="004053D7">
      <w:pPr>
        <w:spacing w:line="360" w:lineRule="auto"/>
        <w:rPr>
          <w:rFonts w:cstheme="minorHAnsi"/>
          <w:color w:val="000000" w:themeColor="text1"/>
        </w:rPr>
      </w:pPr>
      <w:r w:rsidRPr="00CA4ABC">
        <w:rPr>
          <w:rFonts w:cstheme="minorHAnsi"/>
          <w:color w:val="000000" w:themeColor="text1"/>
        </w:rPr>
        <w:t>Despite not achieving a “fair” threshold of 0.7, the AUC of 0.645 is nearing a point of acceptability and thus</w:t>
      </w:r>
      <w:r w:rsidR="009F592A" w:rsidRPr="00CA4ABC">
        <w:rPr>
          <w:rFonts w:cstheme="minorHAnsi"/>
          <w:color w:val="000000" w:themeColor="text1"/>
        </w:rPr>
        <w:t>,</w:t>
      </w:r>
      <w:r w:rsidRPr="00CA4ABC">
        <w:rPr>
          <w:rFonts w:cstheme="minorHAnsi"/>
          <w:color w:val="000000" w:themeColor="text1"/>
        </w:rPr>
        <w:t xml:space="preserve"> it may still have research applications</w:t>
      </w:r>
      <w:r w:rsidR="00E53F70" w:rsidRPr="00CA4ABC">
        <w:rPr>
          <w:rFonts w:cstheme="minorHAnsi"/>
          <w:color w:val="000000" w:themeColor="text1"/>
        </w:rPr>
        <w:t>. This</w:t>
      </w:r>
      <w:r w:rsidRPr="00CA4ABC">
        <w:rPr>
          <w:rFonts w:cstheme="minorHAnsi"/>
          <w:color w:val="000000" w:themeColor="text1"/>
        </w:rPr>
        <w:t xml:space="preserve"> finding </w:t>
      </w:r>
      <w:r w:rsidR="00E53F70" w:rsidRPr="00CA4ABC">
        <w:rPr>
          <w:rFonts w:cstheme="minorHAnsi"/>
          <w:color w:val="000000" w:themeColor="text1"/>
        </w:rPr>
        <w:t xml:space="preserve">is </w:t>
      </w:r>
      <w:r w:rsidRPr="00CA4ABC">
        <w:rPr>
          <w:rFonts w:cstheme="minorHAnsi"/>
          <w:color w:val="000000" w:themeColor="text1"/>
        </w:rPr>
        <w:t>supported by</w:t>
      </w:r>
      <w:r w:rsidR="00E53F70" w:rsidRPr="00CA4ABC">
        <w:rPr>
          <w:rFonts w:cstheme="minorHAnsi"/>
          <w:color w:val="000000" w:themeColor="text1"/>
        </w:rPr>
        <w:t xml:space="preserve"> researchers who aimed to validate the Pro55+ screener in a G</w:t>
      </w:r>
      <w:r w:rsidRPr="00CA4ABC">
        <w:rPr>
          <w:rFonts w:cstheme="minorHAnsi"/>
          <w:color w:val="000000" w:themeColor="text1"/>
        </w:rPr>
        <w:t xml:space="preserve">erman </w:t>
      </w:r>
      <w:r w:rsidR="00E53F70" w:rsidRPr="00CA4ABC">
        <w:rPr>
          <w:rFonts w:cstheme="minorHAnsi"/>
          <w:color w:val="000000" w:themeColor="text1"/>
        </w:rPr>
        <w:t>population</w:t>
      </w:r>
      <w:r w:rsidR="00E34059" w:rsidRPr="00CA4ABC">
        <w:rPr>
          <w:rFonts w:cstheme="minorHAnsi"/>
          <w:color w:val="000000" w:themeColor="text1"/>
        </w:rPr>
        <w:t xml:space="preserve"> </w:t>
      </w:r>
      <w:r w:rsidR="00E34059"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{"citationItems":[{"id":"ITEM-1","itemData":{"DOI":"10.1038/s41430-023-01266-y","ISBN":"4143002301266","abstract":"BACKGROUND/OBJECTIVES: The Protein Screener 55 + (Pro55 +) is a brief food questionnaire to screen older community-dwelling adults for low protein intake. The result is the predicted probability of protein intake &lt;1.0 g/kg adjusted body weight (aBW)/d ranging from 0-1. For purposes of cross-cultural validation, we translated the Pro55+ into German and tested its discriminative accuracy in detecting low protein intake of older community-dwelling people in Germany. SUBJECTS/METHODS: After translation and pilot-testing, the Pro55+ and the reference standard (3-day dietary record) were completed by 144 participants (81.6 ± 3.9 years, 61.8% female). Discriminative properties were tested by receiver operating characteristic curves and by calculating sensitivity and specificity for different cutoffs of predicted probability (&gt;0.3/&gt;0.5/&gt;0.7) using &lt;1.0 or &lt;0.8 g/kg aBW/d to define low protein intake. RESULTS: Protein intake was &lt;1.0 g/kg aBW/d in 39.6% of the sample and &lt;0.8 g/kg aBW/d in 17.4%. Area under the curve was 62.0% (95%CI 52.6-71.5) and 68.8% (58.1-79.4), respectively. Specificity was 82-90% using probability cutoffs of 0.5 and 0.7 for both protein thresholds. Sensitivity was poor for protein threshold of 1.0 g/kg aBW/d regardless of the used probability cutoffs. For protein threshold of &lt;0.8 g/kg aBW/d, sensitivity was 88.0% (71.8-96.9) using a probability cutoff of 0.09. CONCLUSION: The overall discriminative accuracy of the German Pro55+ to identify older community-dwelling people with low protein intake was poor. However, applying different probability cutoffs allows increasing specificity and sensitivity for 0.8 g/kg aBW/d to levels justifying the use for certain purposes e.g. excluding individuals with adequate protein intake. Further validation is needed.","author":[{"dropping-particle":"","family":"Kiesswetter","given":"Eva","non-dropping-particle":"","parse-names":false,"suffix":""},{"dropping-particle":"","family":"Siebentritt","given":"Hanna M","non-dropping-particle":"","parse-names":false,"suffix":""},{"dropping-particle":"","family":"Schoene","given":"Daniel","non-dropping-particle":"","parse-names":false,"suffix":""},{"dropping-particle":"","family":"Kob","given":"Robert","non-dropping-particle":"","parse-names":false,"suffix":""},{"dropping-particle":"","family":"Freiberger","given":"Ellen","non-dropping-particle":"","parse-names":false,"suffix":""},{"dropping-particle":"","family":"Sieber","given":"Cornel C","non-dropping-particle":"","parse-names":false,"suffix":""},{"dropping-particle":"","family":"Visser","given":"Marjolein","non-dropping-particle":"","parse-names":false,"suffix":""},{"dropping-particle":"","family":"H Wijnhoven","given":"Hanneke A","non-dropping-particle":"","parse-names":false,"suffix":""},{"dropping-particle":"","family":"Volkert","given":"Dorothee","non-dropping-particle":"","parse-names":false,"suffix":""}],"id":"ITEM-1","issued":{"date-parts":[["0"]]},"title":"Validation of the German version of the Protein Screener 55+","type":"article-journal"},"uris":["http://www.mendeley.com/documents/?uuid=58db0e1e-b8cf-30b5-9cd1-2792e3ee3d5a"]}],"mendeley":{"formattedCitation":"(226)","plainTextFormattedCitation":"(226)","previouslyFormattedCitation":"(226)"},"properties":{"noteIndex":0},"schema":"https://github.com/citation-style-language/schema/raw/master/csl-citation.json"}</w:instrText>
      </w:r>
      <w:r w:rsidR="00E34059" w:rsidRPr="00CA4ABC">
        <w:rPr>
          <w:rFonts w:cstheme="minorHAnsi"/>
          <w:color w:val="000000" w:themeColor="text1"/>
        </w:rPr>
        <w:fldChar w:fldCharType="separate"/>
      </w:r>
      <w:r w:rsidR="00FF0BCE" w:rsidRPr="00FF0BCE">
        <w:rPr>
          <w:rFonts w:cstheme="minorHAnsi"/>
          <w:noProof/>
          <w:color w:val="000000" w:themeColor="text1"/>
        </w:rPr>
        <w:t>(226)</w:t>
      </w:r>
      <w:r w:rsidR="00E34059" w:rsidRPr="00CA4ABC">
        <w:rPr>
          <w:rFonts w:cstheme="minorHAnsi"/>
          <w:color w:val="000000" w:themeColor="text1"/>
        </w:rPr>
        <w:fldChar w:fldCharType="end"/>
      </w:r>
      <w:r w:rsidR="00E53F70" w:rsidRPr="00CA4ABC">
        <w:rPr>
          <w:rFonts w:cstheme="minorHAnsi"/>
          <w:color w:val="000000" w:themeColor="text1"/>
        </w:rPr>
        <w:t>. One hundred and forty</w:t>
      </w:r>
      <w:r w:rsidR="00D82897" w:rsidRPr="00CA4ABC">
        <w:rPr>
          <w:rFonts w:cstheme="minorHAnsi"/>
          <w:color w:val="000000" w:themeColor="text1"/>
        </w:rPr>
        <w:t>-</w:t>
      </w:r>
      <w:r w:rsidR="00E53F70" w:rsidRPr="00CA4ABC">
        <w:rPr>
          <w:rFonts w:cstheme="minorHAnsi"/>
          <w:color w:val="000000" w:themeColor="text1"/>
        </w:rPr>
        <w:t xml:space="preserve">four participants </w:t>
      </w:r>
      <w:r w:rsidR="00E53F70" w:rsidRPr="00CA4ABC">
        <w:rPr>
          <w:rFonts w:cstheme="minorHAnsi"/>
        </w:rPr>
        <w:t>(81.6 ± 3.9 years, 61.8% female</w:t>
      </w:r>
      <w:r w:rsidR="00E53F70" w:rsidRPr="00CA4ABC">
        <w:rPr>
          <w:rFonts w:cstheme="minorHAnsi"/>
          <w:color w:val="000000" w:themeColor="text1"/>
        </w:rPr>
        <w:t xml:space="preserve">) completed a </w:t>
      </w:r>
      <w:r w:rsidR="00EE03C2" w:rsidRPr="00CA4ABC">
        <w:rPr>
          <w:rFonts w:cstheme="minorHAnsi"/>
          <w:color w:val="000000" w:themeColor="text1"/>
        </w:rPr>
        <w:t>three-day</w:t>
      </w:r>
      <w:r w:rsidR="00E53F70" w:rsidRPr="00CA4ABC">
        <w:rPr>
          <w:rFonts w:cstheme="minorHAnsi"/>
          <w:color w:val="000000" w:themeColor="text1"/>
        </w:rPr>
        <w:t xml:space="preserve"> </w:t>
      </w:r>
      <w:r w:rsidR="007E288E" w:rsidRPr="00CA4ABC">
        <w:rPr>
          <w:rFonts w:cstheme="minorHAnsi"/>
          <w:color w:val="000000" w:themeColor="text1"/>
        </w:rPr>
        <w:t xml:space="preserve">food diary as the reference tool for protein intakes before discriminative properties of the screener were checked using ROC curves. They achieved AUC results of 0.620 and 0.688 at intakes of &lt;0.8g/kg Bw/d and &lt;1g/kg BW/d, respectively. It was concluded that the </w:t>
      </w:r>
      <w:r w:rsidR="007E288E" w:rsidRPr="00CA4ABC">
        <w:rPr>
          <w:rFonts w:cstheme="minorHAnsi"/>
          <w:color w:val="000000" w:themeColor="text1"/>
        </w:rPr>
        <w:lastRenderedPageBreak/>
        <w:t xml:space="preserve">discriminative accuracy was poor in this population, but </w:t>
      </w:r>
      <w:r w:rsidR="009F592A" w:rsidRPr="00CA4ABC">
        <w:rPr>
          <w:rFonts w:cstheme="minorHAnsi"/>
          <w:color w:val="000000" w:themeColor="text1"/>
        </w:rPr>
        <w:t xml:space="preserve">it </w:t>
      </w:r>
      <w:r w:rsidR="007E288E" w:rsidRPr="00CA4ABC">
        <w:rPr>
          <w:rFonts w:cstheme="minorHAnsi"/>
          <w:color w:val="000000" w:themeColor="text1"/>
        </w:rPr>
        <w:t>could still be</w:t>
      </w:r>
      <w:r w:rsidR="008A4BC4" w:rsidRPr="00CA4ABC">
        <w:rPr>
          <w:rFonts w:cstheme="minorHAnsi"/>
          <w:color w:val="000000" w:themeColor="text1"/>
        </w:rPr>
        <w:t xml:space="preserve"> used</w:t>
      </w:r>
      <w:r w:rsidR="007E288E" w:rsidRPr="00CA4ABC">
        <w:rPr>
          <w:rFonts w:cstheme="minorHAnsi"/>
          <w:color w:val="000000" w:themeColor="text1"/>
        </w:rPr>
        <w:t xml:space="preserve"> </w:t>
      </w:r>
      <w:r w:rsidR="00E34059" w:rsidRPr="00CA4ABC">
        <w:rPr>
          <w:rFonts w:cstheme="minorHAnsi"/>
          <w:color w:val="000000" w:themeColor="text1"/>
        </w:rPr>
        <w:t>to</w:t>
      </w:r>
      <w:r w:rsidR="007E288E" w:rsidRPr="00CA4ABC">
        <w:rPr>
          <w:rFonts w:cstheme="minorHAnsi"/>
          <w:color w:val="000000" w:themeColor="text1"/>
        </w:rPr>
        <w:t xml:space="preserve"> exclude individuals with adequate protein intakes. In addition to food diary protocols and the research</w:t>
      </w:r>
      <w:r w:rsidR="008A4BC4" w:rsidRPr="00CA4ABC">
        <w:rPr>
          <w:rFonts w:cstheme="minorHAnsi"/>
          <w:color w:val="000000" w:themeColor="text1"/>
        </w:rPr>
        <w:t xml:space="preserve"> being</w:t>
      </w:r>
      <w:r w:rsidR="007E288E" w:rsidRPr="00CA4ABC">
        <w:rPr>
          <w:rFonts w:cstheme="minorHAnsi"/>
          <w:color w:val="000000" w:themeColor="text1"/>
        </w:rPr>
        <w:t xml:space="preserve"> conducted in older adults, </w:t>
      </w:r>
      <w:r w:rsidR="00E34059" w:rsidRPr="00CA4ABC">
        <w:rPr>
          <w:rFonts w:cstheme="minorHAnsi"/>
          <w:color w:val="000000" w:themeColor="text1"/>
        </w:rPr>
        <w:t xml:space="preserve">a further difference was that </w:t>
      </w:r>
      <w:r w:rsidR="007E288E" w:rsidRPr="00CA4ABC">
        <w:rPr>
          <w:rFonts w:cstheme="minorHAnsi"/>
          <w:color w:val="000000" w:themeColor="text1"/>
        </w:rPr>
        <w:t>cut-off points of &gt;0.3, &gt;0.5 and 0.7</w:t>
      </w:r>
      <w:r w:rsidR="007B584A" w:rsidRPr="00CA4ABC">
        <w:rPr>
          <w:rFonts w:cstheme="minorHAnsi"/>
          <w:color w:val="000000" w:themeColor="text1"/>
        </w:rPr>
        <w:t xml:space="preserve"> were used</w:t>
      </w:r>
      <w:r w:rsidR="007E288E" w:rsidRPr="00CA4ABC">
        <w:rPr>
          <w:rFonts w:cstheme="minorHAnsi"/>
          <w:color w:val="000000" w:themeColor="text1"/>
        </w:rPr>
        <w:t xml:space="preserve">. In </w:t>
      </w:r>
      <w:r w:rsidR="00E34059" w:rsidRPr="00CA4ABC">
        <w:rPr>
          <w:rFonts w:cstheme="minorHAnsi"/>
          <w:color w:val="000000" w:themeColor="text1"/>
        </w:rPr>
        <w:t>our</w:t>
      </w:r>
      <w:r w:rsidR="007E288E" w:rsidRPr="00CA4ABC">
        <w:rPr>
          <w:rFonts w:cstheme="minorHAnsi"/>
          <w:color w:val="000000" w:themeColor="text1"/>
        </w:rPr>
        <w:t xml:space="preserve"> </w:t>
      </w:r>
      <w:r w:rsidR="00796A5E">
        <w:rPr>
          <w:rFonts w:cstheme="minorHAnsi"/>
          <w:color w:val="000000" w:themeColor="text1"/>
        </w:rPr>
        <w:t>study</w:t>
      </w:r>
      <w:r w:rsidR="00E34059" w:rsidRPr="00CA4ABC">
        <w:rPr>
          <w:rFonts w:cstheme="minorHAnsi"/>
          <w:color w:val="000000" w:themeColor="text1"/>
        </w:rPr>
        <w:t xml:space="preserve">, however, it was found that </w:t>
      </w:r>
      <w:r w:rsidR="007E288E" w:rsidRPr="00CA4ABC">
        <w:rPr>
          <w:rFonts w:cstheme="minorHAnsi"/>
          <w:color w:val="000000" w:themeColor="text1"/>
        </w:rPr>
        <w:t xml:space="preserve">sensitivity </w:t>
      </w:r>
      <w:r w:rsidR="00E34059" w:rsidRPr="00CA4ABC">
        <w:rPr>
          <w:rFonts w:cstheme="minorHAnsi"/>
          <w:color w:val="000000" w:themeColor="text1"/>
        </w:rPr>
        <w:t xml:space="preserve">levels </w:t>
      </w:r>
      <w:r w:rsidR="007E288E" w:rsidRPr="00CA4ABC">
        <w:rPr>
          <w:rFonts w:cstheme="minorHAnsi"/>
          <w:color w:val="000000" w:themeColor="text1"/>
        </w:rPr>
        <w:t>decreased as</w:t>
      </w:r>
      <w:r w:rsidR="00E34059" w:rsidRPr="00CA4ABC">
        <w:rPr>
          <w:rFonts w:cstheme="minorHAnsi"/>
          <w:color w:val="000000" w:themeColor="text1"/>
        </w:rPr>
        <w:t xml:space="preserve"> the</w:t>
      </w:r>
      <w:r w:rsidR="007E288E" w:rsidRPr="00CA4ABC">
        <w:rPr>
          <w:rFonts w:cstheme="minorHAnsi"/>
          <w:color w:val="000000" w:themeColor="text1"/>
        </w:rPr>
        <w:t xml:space="preserve"> cut</w:t>
      </w:r>
      <w:r w:rsidR="00EE03C2" w:rsidRPr="00CA4ABC">
        <w:rPr>
          <w:rFonts w:cstheme="minorHAnsi"/>
          <w:color w:val="000000" w:themeColor="text1"/>
        </w:rPr>
        <w:t>-</w:t>
      </w:r>
      <w:r w:rsidR="007E288E" w:rsidRPr="00CA4ABC">
        <w:rPr>
          <w:rFonts w:cstheme="minorHAnsi"/>
          <w:color w:val="000000" w:themeColor="text1"/>
        </w:rPr>
        <w:t>off</w:t>
      </w:r>
      <w:r w:rsidR="00E34059" w:rsidRPr="00CA4ABC">
        <w:rPr>
          <w:rFonts w:cstheme="minorHAnsi"/>
          <w:color w:val="000000" w:themeColor="text1"/>
        </w:rPr>
        <w:t xml:space="preserve"> points </w:t>
      </w:r>
      <w:r w:rsidR="007E288E" w:rsidRPr="00CA4ABC">
        <w:rPr>
          <w:rFonts w:cstheme="minorHAnsi"/>
          <w:color w:val="000000" w:themeColor="text1"/>
        </w:rPr>
        <w:t xml:space="preserve">increased. </w:t>
      </w:r>
    </w:p>
    <w:p w14:paraId="2A4A78D4" w14:textId="77777777" w:rsidR="00507FC8" w:rsidRPr="00CA4ABC" w:rsidRDefault="00507FC8" w:rsidP="004053D7">
      <w:pPr>
        <w:spacing w:line="360" w:lineRule="auto"/>
        <w:rPr>
          <w:rFonts w:cstheme="minorHAnsi"/>
          <w:color w:val="000000" w:themeColor="text1"/>
        </w:rPr>
      </w:pPr>
    </w:p>
    <w:p w14:paraId="5B1E2B50" w14:textId="583091C0" w:rsidR="003949B4" w:rsidRPr="00CA4ABC" w:rsidRDefault="00507FC8" w:rsidP="004053D7">
      <w:pPr>
        <w:spacing w:line="360" w:lineRule="auto"/>
        <w:rPr>
          <w:rFonts w:cstheme="minorHAnsi"/>
          <w:color w:val="000000" w:themeColor="text1"/>
        </w:rPr>
        <w:sectPr w:rsidR="003949B4" w:rsidRPr="00CA4ABC" w:rsidSect="00755CCD">
          <w:pgSz w:w="11900" w:h="16840"/>
          <w:pgMar w:top="1440" w:right="1440" w:bottom="1440" w:left="1440" w:header="708" w:footer="708" w:gutter="0"/>
          <w:cols w:space="708"/>
          <w:docGrid w:linePitch="360"/>
        </w:sectPr>
      </w:pPr>
      <w:r w:rsidRPr="00CA4ABC">
        <w:rPr>
          <w:rFonts w:cstheme="minorHAnsi"/>
          <w:color w:val="000000" w:themeColor="text1"/>
        </w:rPr>
        <w:t xml:space="preserve">To conclude, if the accuracy of this tool </w:t>
      </w:r>
      <w:r w:rsidR="009F592A" w:rsidRPr="00CA4ABC">
        <w:rPr>
          <w:rFonts w:cstheme="minorHAnsi"/>
          <w:color w:val="000000"/>
        </w:rPr>
        <w:t xml:space="preserve">were to increase, the questions would likely </w:t>
      </w:r>
      <w:r w:rsidRPr="00CA4ABC">
        <w:rPr>
          <w:rFonts w:cstheme="minorHAnsi"/>
          <w:color w:val="000000" w:themeColor="text1"/>
        </w:rPr>
        <w:t>need further refining</w:t>
      </w:r>
      <w:r w:rsidR="0050137D">
        <w:rPr>
          <w:rFonts w:cstheme="minorHAnsi"/>
          <w:color w:val="000000" w:themeColor="text1"/>
        </w:rPr>
        <w:t>, which</w:t>
      </w:r>
      <w:r w:rsidR="00AC2CC7">
        <w:rPr>
          <w:rFonts w:cstheme="minorHAnsi"/>
          <w:color w:val="000000" w:themeColor="text1"/>
        </w:rPr>
        <w:t xml:space="preserve"> could be an avenue for future work</w:t>
      </w:r>
      <w:r w:rsidRPr="00CA4ABC">
        <w:rPr>
          <w:rFonts w:cstheme="minorHAnsi"/>
          <w:color w:val="000000" w:themeColor="text1"/>
        </w:rPr>
        <w:t xml:space="preserve">. This would involve a reiterative amendment process, followed by the re-development of an appropriate syntax and </w:t>
      </w:r>
      <w:r w:rsidR="000D4BA6" w:rsidRPr="00CA4ABC">
        <w:rPr>
          <w:rFonts w:cstheme="minorHAnsi"/>
          <w:color w:val="000000" w:themeColor="text1"/>
        </w:rPr>
        <w:t>further</w:t>
      </w:r>
      <w:r w:rsidRPr="00CA4ABC">
        <w:rPr>
          <w:rFonts w:cstheme="minorHAnsi"/>
          <w:color w:val="000000" w:themeColor="text1"/>
        </w:rPr>
        <w:t xml:space="preserve"> validation using robust dietary analysis assessment techniques.</w:t>
      </w:r>
      <w:r w:rsidR="000D4BA6" w:rsidRPr="00CA4ABC">
        <w:rPr>
          <w:rFonts w:cstheme="minorHAnsi"/>
          <w:color w:val="000000" w:themeColor="text1"/>
        </w:rPr>
        <w:t xml:space="preserve"> Urinary nitrogen would be the most accurate method for obtaining accurate protein intake measurements.</w:t>
      </w:r>
      <w:r w:rsidRPr="00CA4ABC">
        <w:rPr>
          <w:rFonts w:cstheme="minorHAnsi"/>
          <w:color w:val="000000" w:themeColor="text1"/>
        </w:rPr>
        <w:t xml:space="preserve"> The current results suggest </w:t>
      </w:r>
      <w:r w:rsidR="00796A5E">
        <w:rPr>
          <w:rFonts w:cstheme="minorHAnsi"/>
          <w:color w:val="000000" w:themeColor="text1"/>
        </w:rPr>
        <w:t xml:space="preserve">that </w:t>
      </w:r>
      <w:r w:rsidRPr="00CA4ABC">
        <w:rPr>
          <w:rFonts w:cstheme="minorHAnsi"/>
          <w:color w:val="000000" w:themeColor="text1"/>
        </w:rPr>
        <w:t>the ProScreen</w:t>
      </w:r>
      <w:r w:rsidR="001920B8" w:rsidRPr="00CA4ABC">
        <w:rPr>
          <w:rFonts w:cstheme="minorHAnsi"/>
          <w:color w:val="000000" w:themeColor="text1"/>
        </w:rPr>
        <w:t>er</w:t>
      </w:r>
      <w:r w:rsidRPr="00CA4ABC">
        <w:rPr>
          <w:rFonts w:cstheme="minorHAnsi"/>
          <w:color w:val="000000" w:themeColor="text1"/>
        </w:rPr>
        <w:t xml:space="preserve">UK is applicable as a first-step screening tool, predominantly for research purposes. </w:t>
      </w:r>
      <w:r w:rsidR="00115490" w:rsidRPr="00CA4ABC">
        <w:rPr>
          <w:rFonts w:cstheme="minorHAnsi"/>
          <w:color w:val="000000"/>
        </w:rPr>
        <w:t xml:space="preserve">This tool could be </w:t>
      </w:r>
      <w:r w:rsidR="0050137D">
        <w:rPr>
          <w:rFonts w:cstheme="minorHAnsi"/>
          <w:color w:val="000000"/>
        </w:rPr>
        <w:t xml:space="preserve">useful </w:t>
      </w:r>
      <w:r w:rsidR="00115490" w:rsidRPr="00CA4ABC">
        <w:rPr>
          <w:rFonts w:cstheme="minorHAnsi"/>
          <w:color w:val="000000"/>
        </w:rPr>
        <w:t xml:space="preserve">for </w:t>
      </w:r>
      <w:r w:rsidR="00796A5E">
        <w:rPr>
          <w:rFonts w:cstheme="minorHAnsi"/>
          <w:color w:val="000000"/>
        </w:rPr>
        <w:t>selecting participants for</w:t>
      </w:r>
      <w:r w:rsidR="00115490" w:rsidRPr="00CA4ABC">
        <w:rPr>
          <w:rFonts w:cstheme="minorHAnsi"/>
          <w:color w:val="000000"/>
        </w:rPr>
        <w:t xml:space="preserve"> protein supplementation trials.</w:t>
      </w:r>
      <w:r w:rsidR="00AC2CC7">
        <w:rPr>
          <w:rFonts w:cstheme="minorHAnsi"/>
          <w:color w:val="000000"/>
        </w:rPr>
        <w:t xml:space="preserve"> Practical applications of this</w:t>
      </w:r>
      <w:r w:rsidR="0050137D">
        <w:rPr>
          <w:rFonts w:cstheme="minorHAnsi"/>
          <w:color w:val="000000"/>
        </w:rPr>
        <w:t xml:space="preserve"> could help further understand and decipher the impact of protein supplementation, including the impact of source and dose on MPS outcomes</w:t>
      </w:r>
      <w:r w:rsidR="00AC2CC7">
        <w:rPr>
          <w:rFonts w:cstheme="minorHAnsi"/>
          <w:color w:val="000000"/>
        </w:rPr>
        <w:t xml:space="preserve"> </w:t>
      </w:r>
      <w:r w:rsidR="0050137D">
        <w:rPr>
          <w:rFonts w:cstheme="minorHAnsi"/>
          <w:color w:val="000000"/>
        </w:rPr>
        <w:t>when</w:t>
      </w:r>
      <w:r w:rsidR="00115490" w:rsidRPr="00CA4ABC">
        <w:rPr>
          <w:rFonts w:cstheme="minorHAnsi"/>
          <w:color w:val="000000" w:themeColor="text1"/>
        </w:rPr>
        <w:t xml:space="preserve"> </w:t>
      </w:r>
      <w:r w:rsidR="009316C2">
        <w:rPr>
          <w:rFonts w:cstheme="minorHAnsi"/>
          <w:color w:val="000000" w:themeColor="text1"/>
        </w:rPr>
        <w:t>dietary</w:t>
      </w:r>
      <w:r w:rsidR="0050137D">
        <w:rPr>
          <w:rFonts w:cstheme="minorHAnsi"/>
          <w:color w:val="000000" w:themeColor="text1"/>
        </w:rPr>
        <w:t xml:space="preserve"> protein levels may not be optimal. Although relevant for health because the tool has been validated in UK adults, i</w:t>
      </w:r>
      <w:r w:rsidR="00BB5E6B">
        <w:rPr>
          <w:rFonts w:cstheme="minorHAnsi"/>
          <w:color w:val="000000" w:themeColor="text1"/>
        </w:rPr>
        <w:t>t</w:t>
      </w:r>
      <w:r w:rsidR="0050137D">
        <w:rPr>
          <w:rFonts w:cstheme="minorHAnsi"/>
          <w:color w:val="000000" w:themeColor="text1"/>
        </w:rPr>
        <w:t xml:space="preserve"> can also be used across </w:t>
      </w:r>
      <w:r w:rsidR="00BB5E6B">
        <w:rPr>
          <w:rFonts w:cstheme="minorHAnsi"/>
          <w:color w:val="000000" w:themeColor="text1"/>
        </w:rPr>
        <w:t>various populations, such as athletes with</w:t>
      </w:r>
      <w:r w:rsidR="0050137D">
        <w:rPr>
          <w:rFonts w:cstheme="minorHAnsi"/>
          <w:color w:val="000000" w:themeColor="text1"/>
        </w:rPr>
        <w:t xml:space="preserve"> performance </w:t>
      </w:r>
      <w:r w:rsidR="00BB5E6B">
        <w:rPr>
          <w:rFonts w:cstheme="minorHAnsi"/>
          <w:color w:val="000000" w:themeColor="text1"/>
        </w:rPr>
        <w:t>goals</w:t>
      </w:r>
      <w:r w:rsidR="0050137D">
        <w:rPr>
          <w:rFonts w:cstheme="minorHAnsi"/>
          <w:color w:val="000000" w:themeColor="text1"/>
        </w:rPr>
        <w:t xml:space="preserve">. </w:t>
      </w:r>
      <w:r w:rsidRPr="00CA4ABC">
        <w:rPr>
          <w:rFonts w:cstheme="minorHAnsi"/>
          <w:color w:val="000000" w:themeColor="text1"/>
        </w:rPr>
        <w:t xml:space="preserve">Understanding factors which may influence the likelihood of an </w:t>
      </w:r>
      <w:r w:rsidR="000D4BA6" w:rsidRPr="00CA4ABC">
        <w:rPr>
          <w:rFonts w:cstheme="minorHAnsi"/>
          <w:color w:val="000000" w:themeColor="text1"/>
        </w:rPr>
        <w:t>individual</w:t>
      </w:r>
      <w:r w:rsidRPr="00CA4ABC">
        <w:rPr>
          <w:rFonts w:cstheme="minorHAnsi"/>
          <w:color w:val="000000" w:themeColor="text1"/>
        </w:rPr>
        <w:t xml:space="preserve"> being protein deficient </w:t>
      </w:r>
      <w:r w:rsidR="00FF7C4D" w:rsidRPr="00CA4ABC">
        <w:rPr>
          <w:rFonts w:cstheme="minorHAnsi"/>
          <w:color w:val="000000" w:themeColor="text1"/>
        </w:rPr>
        <w:t>would</w:t>
      </w:r>
      <w:r w:rsidRPr="00CA4ABC">
        <w:rPr>
          <w:rFonts w:cstheme="minorHAnsi"/>
          <w:color w:val="000000" w:themeColor="text1"/>
        </w:rPr>
        <w:t xml:space="preserve"> help with recruitment strategies for future trials, this is the objective of the next chapter. Once targeted, the protein screener tool could ascertain if the individual meets trial inclusion criteria.</w:t>
      </w:r>
      <w:r w:rsidR="00AC2CC7">
        <w:rPr>
          <w:rFonts w:cstheme="minorHAnsi"/>
          <w:color w:val="000000" w:themeColor="text1"/>
        </w:rPr>
        <w:t xml:space="preserve"> A more accurate tool may have clinical applications in addressing inadequate dietary protein intakes</w:t>
      </w:r>
      <w:r w:rsidR="0050137D">
        <w:rPr>
          <w:rFonts w:cstheme="minorHAnsi"/>
          <w:color w:val="000000" w:themeColor="text1"/>
        </w:rPr>
        <w:t>, which is needed due to associations of low protein intakes and disease states. For example, it could be used in GP clinics.</w:t>
      </w:r>
      <w:r w:rsidR="00AC2CC7">
        <w:rPr>
          <w:rFonts w:cstheme="minorHAnsi"/>
          <w:color w:val="000000" w:themeColor="text1"/>
        </w:rPr>
        <w:t xml:space="preserve"> </w:t>
      </w:r>
    </w:p>
    <w:p w14:paraId="0DD57ED0" w14:textId="5C51E0A1" w:rsidR="004C12CF" w:rsidRPr="00CA4ABC" w:rsidRDefault="004C12CF" w:rsidP="004053D7">
      <w:pPr>
        <w:pStyle w:val="Heading1"/>
        <w:spacing w:line="360" w:lineRule="auto"/>
        <w:rPr>
          <w:rFonts w:asciiTheme="minorHAnsi" w:hAnsiTheme="minorHAnsi" w:cstheme="minorHAnsi"/>
          <w:color w:val="000000" w:themeColor="text1"/>
          <w:sz w:val="32"/>
          <w:szCs w:val="32"/>
        </w:rPr>
      </w:pPr>
      <w:bookmarkStart w:id="151" w:name="_Toc135384305"/>
      <w:r w:rsidRPr="00CA4ABC">
        <w:rPr>
          <w:rFonts w:asciiTheme="minorHAnsi" w:hAnsiTheme="minorHAnsi" w:cstheme="minorHAnsi"/>
          <w:color w:val="000000" w:themeColor="text1"/>
          <w:sz w:val="32"/>
          <w:szCs w:val="32"/>
        </w:rPr>
        <w:lastRenderedPageBreak/>
        <w:t>Chapter 4: T</w:t>
      </w:r>
      <w:r w:rsidR="008E76F2" w:rsidRPr="00CA4ABC">
        <w:rPr>
          <w:rFonts w:asciiTheme="minorHAnsi" w:hAnsiTheme="minorHAnsi" w:cstheme="minorHAnsi"/>
          <w:color w:val="000000" w:themeColor="text1"/>
          <w:sz w:val="32"/>
          <w:szCs w:val="32"/>
        </w:rPr>
        <w:t xml:space="preserve">he factors </w:t>
      </w:r>
      <w:r w:rsidR="000759B1" w:rsidRPr="00CA4ABC">
        <w:rPr>
          <w:rFonts w:asciiTheme="minorHAnsi" w:hAnsiTheme="minorHAnsi" w:cstheme="minorHAnsi"/>
          <w:color w:val="000000" w:themeColor="text1"/>
          <w:sz w:val="32"/>
          <w:szCs w:val="32"/>
        </w:rPr>
        <w:t>determining</w:t>
      </w:r>
      <w:r w:rsidR="008E76F2" w:rsidRPr="00CA4ABC">
        <w:rPr>
          <w:rFonts w:asciiTheme="minorHAnsi" w:hAnsiTheme="minorHAnsi" w:cstheme="minorHAnsi"/>
          <w:color w:val="000000" w:themeColor="text1"/>
          <w:sz w:val="32"/>
          <w:szCs w:val="32"/>
        </w:rPr>
        <w:t xml:space="preserve"> </w:t>
      </w:r>
      <w:r w:rsidRPr="00CA4ABC">
        <w:rPr>
          <w:rFonts w:asciiTheme="minorHAnsi" w:hAnsiTheme="minorHAnsi" w:cstheme="minorHAnsi"/>
          <w:color w:val="000000" w:themeColor="text1"/>
          <w:sz w:val="32"/>
          <w:szCs w:val="32"/>
        </w:rPr>
        <w:t>protein intakes, including knowledge about protein.</w:t>
      </w:r>
      <w:bookmarkEnd w:id="151"/>
    </w:p>
    <w:p w14:paraId="526EA496" w14:textId="119A0BE5" w:rsidR="004C12CF" w:rsidRPr="00CA4ABC" w:rsidRDefault="004C12CF" w:rsidP="004053D7">
      <w:pPr>
        <w:pStyle w:val="Heading2"/>
        <w:spacing w:line="360" w:lineRule="auto"/>
        <w:rPr>
          <w:rFonts w:asciiTheme="minorHAnsi" w:hAnsiTheme="minorHAnsi" w:cstheme="minorHAnsi"/>
          <w:b/>
          <w:bCs/>
          <w:color w:val="000000" w:themeColor="text1"/>
          <w:sz w:val="24"/>
          <w:szCs w:val="24"/>
        </w:rPr>
      </w:pPr>
      <w:bookmarkStart w:id="152" w:name="_Toc135384306"/>
      <w:r w:rsidRPr="00CA4ABC">
        <w:rPr>
          <w:rFonts w:asciiTheme="minorHAnsi" w:hAnsiTheme="minorHAnsi" w:cstheme="minorHAnsi"/>
          <w:b/>
          <w:bCs/>
          <w:color w:val="000000" w:themeColor="text1"/>
        </w:rPr>
        <w:t xml:space="preserve">4.1 </w:t>
      </w:r>
      <w:r w:rsidRPr="00CA4ABC">
        <w:rPr>
          <w:rFonts w:asciiTheme="minorHAnsi" w:hAnsiTheme="minorHAnsi" w:cstheme="minorHAnsi"/>
          <w:b/>
          <w:bCs/>
          <w:color w:val="000000" w:themeColor="text1"/>
          <w:sz w:val="24"/>
          <w:szCs w:val="24"/>
        </w:rPr>
        <w:t>Introduction:</w:t>
      </w:r>
      <w:bookmarkEnd w:id="152"/>
    </w:p>
    <w:p w14:paraId="4EBA63A7" w14:textId="5A545641" w:rsidR="004C12CF" w:rsidRPr="00CA4ABC" w:rsidRDefault="00756FF0" w:rsidP="00992371">
      <w:pPr>
        <w:spacing w:line="360" w:lineRule="auto"/>
        <w:ind w:firstLine="720"/>
        <w:rPr>
          <w:rFonts w:cstheme="minorHAnsi"/>
          <w:color w:val="000000" w:themeColor="text1"/>
        </w:rPr>
      </w:pPr>
      <w:r w:rsidRPr="00CA4ABC">
        <w:rPr>
          <w:rFonts w:cstheme="minorHAnsi"/>
          <w:color w:val="000000" w:themeColor="text1"/>
        </w:rPr>
        <w:t xml:space="preserve">Consuming low levels of habitual protein may lead to lower muscle protein synthesis (MPS) rates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{"citationItems":[{"id":"ITEM-1","itemData":{"DOI":"10.1007/s12603-019-1174-1","ISSN":"17604788","abstract":"Objective: To investigate protein intakes across demographic characteristics in relation to dietary patterns and functional outcomes in older adults. Design(s): Observational and cross-sectional study. Setting(s): Non-institutionalized participants from the 2005-2014 National Health and Nutrition Examination Survey. Participant(s): Data from 11,680 adults were categorized into 51-60 years (n= 4,016), 61-70 years (n=3,854), and 71 years and older (n=3,810) for analysis. Measurements: Adults were stratified by meeting or not meeting the protein recommendation (0.8 g/kg/d) to compare demographics, diet quality with Healthy Eating Index- 2015, functional limitations, and other dietary intakes. Dietary recalls were collected using the multiple pass method. Data analyses were weighted to create a nationally-representative sample. Result(s): Dietary protein intakes were significantly lower in older age groups, with up to 46% of the oldest adults not meeting the protein intake recommendation. Participants consuming protein below the recommended intake level had significantly poorer diet quality across all age groups (P&lt;0.01), however, overall diet quality was better in older adults. Those not meeting the protein recommendation were more likely to have intakes of other nutrients below recommended levels. Those below the protein recommendation had significantly more functional limitations across all age groups, while grip strength was significantly lower in those over 70 years old. Conclusion(s): Lower protein intakes, and lower diet quality and physical functioning are related in an aging population. Meeting the protein recommendation was linked to better overall diet quality and may be protective of lean mass; therefore, evaluation of individual characteristics which may affect protein intakes is crucial in supporting older adults to meet their protein needs.Copyright © 2019, The Author(s).","author":[{"dropping-particle":"","family":"Krok-Schoen","given":"J. L.","non-dropping-particle":"","parse-names":false,"suffix":""},{"dropping-particle":"","family":"Archdeacon Price","given":"A.","non-dropping-particle":"","parse-names":false,"suffix":""},{"dropping-particle":"","family":"Luo","given":"M.","non-dropping-particle":"","parse-names":false,"suffix":""},{"dropping-particle":"","family":"Kelly","given":"O. J.","non-dropping-particle":"","parse-names":false,"suffix":""},{"dropping-particle":"","family":"Taylor","given":"Christopher Alan","non-dropping-particle":"","parse-names":false,"suffix":""}],"container-title":"Journal of Nutrition, Health and Aging","id":"ITEM-1","issued":{"date-parts":[["2019"]]},"title":"Low Dietary Protein Intakes and Associated Dietary Patterns and Functional Limitations in an Aging Population: A NHANES Analysis","type":"article-journal"},"uris":["http://www.mendeley.com/documents/?uuid=7de63d82-ee84-3fbe-a093-eae67f3f3545"]}],"mendeley":{"formattedCitation":"(227)","plainTextFormattedCitation":"(227)","previouslyFormattedCitation":"(227)"},"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(227)</w:t>
      </w:r>
      <w:r w:rsidRPr="00CA4ABC">
        <w:rPr>
          <w:rFonts w:cstheme="minorHAnsi"/>
          <w:color w:val="000000" w:themeColor="text1"/>
        </w:rPr>
        <w:fldChar w:fldCharType="end"/>
      </w:r>
      <w:r w:rsidR="007A21BA" w:rsidRPr="00CA4ABC">
        <w:rPr>
          <w:rFonts w:cstheme="minorHAnsi"/>
          <w:color w:val="000000" w:themeColor="text1"/>
        </w:rPr>
        <w:t>,</w:t>
      </w:r>
      <w:r w:rsidRPr="00CA4ABC">
        <w:rPr>
          <w:rFonts w:cstheme="minorHAnsi"/>
          <w:color w:val="000000" w:themeColor="text1"/>
        </w:rPr>
        <w:t xml:space="preserve"> </w:t>
      </w:r>
      <w:r w:rsidR="007A21BA" w:rsidRPr="00CA4ABC">
        <w:rPr>
          <w:rFonts w:cstheme="minorHAnsi"/>
          <w:color w:val="000000" w:themeColor="text1"/>
        </w:rPr>
        <w:t>which</w:t>
      </w:r>
      <w:r w:rsidRPr="00CA4ABC">
        <w:rPr>
          <w:rFonts w:cstheme="minorHAnsi"/>
          <w:color w:val="000000" w:themeColor="text1"/>
        </w:rPr>
        <w:t xml:space="preserve"> could be a risk factor for developing sarcopenia in later life.</w:t>
      </w:r>
      <w:r w:rsidR="00A90631" w:rsidRPr="00CA4ABC">
        <w:rPr>
          <w:rFonts w:cstheme="minorHAnsi"/>
          <w:color w:val="000000" w:themeColor="text1"/>
        </w:rPr>
        <w:t xml:space="preserve"> U</w:t>
      </w:r>
      <w:r w:rsidRPr="00CA4ABC">
        <w:rPr>
          <w:rFonts w:cstheme="minorHAnsi"/>
          <w:color w:val="000000" w:themeColor="text1"/>
        </w:rPr>
        <w:t>nderstanding</w:t>
      </w:r>
      <w:r w:rsidR="008E76F2" w:rsidRPr="00CA4ABC">
        <w:rPr>
          <w:rFonts w:cstheme="minorHAnsi"/>
          <w:color w:val="000000" w:themeColor="text1"/>
        </w:rPr>
        <w:t xml:space="preserve"> factors </w:t>
      </w:r>
      <w:r w:rsidR="004B2763">
        <w:rPr>
          <w:rFonts w:cstheme="minorHAnsi"/>
          <w:color w:val="000000" w:themeColor="text1"/>
        </w:rPr>
        <w:t>that may be linked to low protein intakes could provide valuable insights to aid in mitigating</w:t>
      </w:r>
      <w:r w:rsidRPr="00CA4ABC">
        <w:rPr>
          <w:rFonts w:cstheme="minorHAnsi"/>
          <w:color w:val="000000" w:themeColor="text1"/>
        </w:rPr>
        <w:t xml:space="preserve"> this muscle loss risk factor.</w:t>
      </w:r>
    </w:p>
    <w:p w14:paraId="5F8DE598" w14:textId="77777777" w:rsidR="004C12CF" w:rsidRPr="00CA4ABC" w:rsidRDefault="004C12CF" w:rsidP="004053D7">
      <w:pPr>
        <w:spacing w:line="360" w:lineRule="auto"/>
        <w:rPr>
          <w:rFonts w:cstheme="minorHAnsi"/>
          <w:color w:val="000000" w:themeColor="text1"/>
        </w:rPr>
      </w:pPr>
    </w:p>
    <w:p w14:paraId="61ADCF95" w14:textId="707DDDD7" w:rsidR="004C12CF" w:rsidRPr="00CA4ABC" w:rsidRDefault="004C12CF" w:rsidP="004053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theme="minorHAnsi"/>
          <w:color w:val="000000" w:themeColor="text1"/>
        </w:rPr>
      </w:pPr>
      <w:r w:rsidRPr="00CA4ABC">
        <w:rPr>
          <w:rFonts w:cstheme="minorHAnsi"/>
          <w:color w:val="000000" w:themeColor="text1"/>
        </w:rPr>
        <w:t xml:space="preserve">Knowledge and attitudes surrounding protein and its role in health may influence protein consumption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{"citationItems":[{"id":"ITEM-1","itemData":{"DOI":"10.1017/S002966511600286X","ISSN":"0029-6651","PMID":"27903310","abstract":"Health nudge interventions to steer people into healthier lifestyles are increasingly applied by governments worldwide, and it is natural to look to such approaches to improve health by altering what people choose to eat. However, to produce policy recommendations that are likely to be effective, we need to be able to make valid predictions about the consequences of proposed interventions, and for this, we need a better understanding of the determinants of food choice. These determinants include dietary components (e.g. highly palatable foods and alcohol), but also diverse cultural and social pressures, cognitive-affective factors (perceived stress, health attitude, anxiety and depression), and familial, genetic and epigenetic influences on personality characteristics. In addition, our choices are influenced by an array of physiological mechanisms, including signals to the brain from the gastrointestinal tract and adipose tissue, which affect not only our hunger and satiety but also our motivation to eat particular nutrients, and the reward we experience from eating. Thus, to develop the evidence base necessary for effective policies, we need to build bridges across different levels of knowledge and understanding. This requires experimental models that can fill in the gaps in our understanding that are needed to inform policy, translational models that connect mechanistic understanding from laboratory studies to the real life human condition, and formal models that encapsulate scientific knowledge from diverse disciplines, and which embed understanding in a way that enables policy-relevant predictions to be made. Here we review recent developments in these areas.","author":[{"dropping-particle":"","family":"Leng","given":"Gareth","non-dropping-particle":"","parse-names":false,"suffix":""},{"dropping-particle":"","family":"Adan","given":"Roger A.H.","non-dropping-particle":"","parse-names":false,"suffix":""},{"dropping-particle":"","family":"Belot","given":"Michele","non-dropping-particle":"","parse-names":false,"suffix":""},{"dropping-particle":"","family":"Brunstrom","given":"Jeffrey M.","non-dropping-particle":"","parse-names":false,"suffix":""},{"dropping-particle":"","family":"Graaf","given":"Kees","non-dropping-particle":"De","parse-names":false,"suffix":""},{"dropping-particle":"","family":"Dickson","given":"Suzanne L.","non-dropping-particle":"","parse-names":false,"suffix":""},{"dropping-particle":"","family":"Hare","given":"Todd","non-dropping-particle":"","parse-names":false,"suffix":""},{"dropping-particle":"","family":"Maier","given":"Silvia","non-dropping-particle":"","parse-names":false,"suffix":""},{"dropping-particle":"","family":"Menzies","given":"John","non-dropping-particle":"","parse-names":false,"suffix":""},{"dropping-particle":"","family":"Preissl","given":"Hubert","non-dropping-particle":"","parse-names":false,"suffix":""},{"dropping-particle":"","family":"Reisch","given":"Lucia A.","non-dropping-particle":"","parse-names":false,"suffix":""},{"dropping-particle":"","family":"Rogers","given":"Peter J.","non-dropping-particle":"","parse-names":false,"suffix":""},{"dropping-particle":"","family":"Smeets","given":"Paul A.M.","non-dropping-particle":"","parse-names":false,"suffix":""}],"container-title":"Proceedings of the Nutrition Society","id":"ITEM-1","issue":"3","issued":{"date-parts":[["2017","8","1"]]},"page":"316-327","publisher":"Cambridge University Press","title":"The determinants of food choice","type":"article-journal","volume":"76"},"uris":["http://www.mendeley.com/documents/?uuid=a8d64c16-4459-3dd4-bbb1-651873c5d8dd"]}],"mendeley":{"formattedCitation":"(228)","plainTextFormattedCitation":"(228)","previouslyFormattedCitation":"(228)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(228)</w:t>
      </w:r>
      <w:r w:rsidRPr="00CA4ABC">
        <w:rPr>
          <w:rFonts w:cstheme="minorHAnsi"/>
          <w:color w:val="000000" w:themeColor="text1"/>
        </w:rPr>
        <w:fldChar w:fldCharType="end"/>
      </w:r>
      <w:r w:rsidRPr="00CA4ABC">
        <w:rPr>
          <w:rFonts w:cstheme="minorHAnsi"/>
          <w:color w:val="000000" w:themeColor="text1"/>
        </w:rPr>
        <w:t>. To the researcher’s knowledge, no studies have reported the relationship between protein intakes and knowledge in the free-living UK population.  The use of nutrition knowledge questionnaires can help flag areas</w:t>
      </w:r>
      <w:r w:rsidR="00EE29DF" w:rsidRPr="00CA4ABC">
        <w:rPr>
          <w:rFonts w:cstheme="minorHAnsi"/>
          <w:color w:val="000000" w:themeColor="text1"/>
        </w:rPr>
        <w:t xml:space="preserve"> lacking knowledge</w:t>
      </w:r>
      <w:r w:rsidRPr="00CA4ABC">
        <w:rPr>
          <w:rFonts w:cstheme="minorHAnsi"/>
          <w:color w:val="000000" w:themeColor="text1"/>
        </w:rPr>
        <w:t xml:space="preserve">. </w:t>
      </w:r>
      <w:r w:rsidR="00992371" w:rsidRPr="00CA4ABC">
        <w:rPr>
          <w:rFonts w:cstheme="minorHAnsi"/>
          <w:color w:val="000000" w:themeColor="text1"/>
        </w:rPr>
        <w:t xml:space="preserve">Methods for addressing knowledge gaps could include education and information delivery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{"citationItems":[{"id":"ITEM-1","itemData":{"DOI":"10.3390/NU9030229","ISSN":"2072-6643","PMID":"28273802","abstract":"Micronutrient deficiencies and inadequacies constitute a global health issue, particularly among countries in the Middle East. The objective of this review is to identify micronutrient deficits in the Middle East and to consider current and new approaches to address this problem. Based on the availability of more recent data, this review is primarily focused on countries that are in advanced nutrition transition. Prominent deficits in folate, iron, and vitamin D are noted among children/adolescents, women of  childbearing  age,  pregnant  women,  and  the  elderly.  Reports indicate that food fortification in the region is sporadic and ineffective, and the use of dietary supplements is low. Nutrition monitoring in the region is limited, and gaps in relevant information present challenges for implementing new policies and approaches to address the problem. Government‐sponsored initiatives are necessary to assess current dietary intakes/patterns, support nutrition education, and to reduce food insecurity, especially among vulnerable population groups.  Public–private partnerships should be considered in targeting micronutrient fortification programs and supplementation recommendations as approaches to help alleviate the burden of micronutrient deficiencies and inadequacies in the Middle East.","author":[{"dropping-particle":"","family":"Hwalla","given":"Nahla","non-dropping-particle":"","parse-names":false,"suffix":""},{"dropping-particle":"","family":"Dhaheri","given":"Ayesha Salem","non-dropping-particle":"Al","parse-names":false,"suffix":""},{"dropping-particle":"","family":"Radwan","given":"Hadia","non-dropping-particle":"","parse-names":false,"suffix":""},{"dropping-particle":"","family":"Alfawaz","given":"Hanan Abdullah","non-dropping-particle":"","parse-names":false,"suffix":""},{"dropping-particle":"","family":"Fouda","given":"Mona A.","non-dropping-particle":"","parse-names":false,"suffix":""},{"dropping-particle":"","family":"Al-Daghri","given":"Nasser Mohammed","non-dropping-particle":"","parse-names":false,"suffix":""},{"dropping-particle":"","family":"Zaghloul","given":"Sahar","non-dropping-particle":"","parse-names":false,"suffix":""},{"dropping-particle":"","family":"Blumberg","given":"Jeffrey B.","non-dropping-particle":"","parse-names":false,"suffix":""}],"container-title":"Nutrients 2017, Vol. 9, Page 229","id":"ITEM-1","issue":"3","issued":{"date-parts":[["2017","3","3"]]},"page":"229","publisher":"Multidisciplinary Digital Publishing Institute","title":"The Prevalence of Micronutrient Deficiencies and  Inadequacies in the Middle East and Approaches to  Interventions","type":"article-journal","volume":"9"},"uris":["http://www.mendeley.com/documents/?uuid=c71dd777-1941-334c-a983-5c20dbe36740"]}],"mendeley":{"formattedCitation":"(229)","plainTextFormattedCitation":"(229)","previouslyFormattedCitation":"(229)"},"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(229)</w:t>
      </w:r>
      <w:r w:rsidRPr="00CA4ABC">
        <w:rPr>
          <w:rFonts w:cstheme="minorHAnsi"/>
          <w:color w:val="000000" w:themeColor="text1"/>
        </w:rPr>
        <w:fldChar w:fldCharType="end"/>
      </w:r>
      <w:r w:rsidRPr="00CA4ABC">
        <w:rPr>
          <w:rFonts w:cstheme="minorHAnsi"/>
          <w:color w:val="000000" w:themeColor="text1"/>
        </w:rPr>
        <w:t xml:space="preserve">. </w:t>
      </w:r>
      <w:r w:rsidR="004B2763">
        <w:rPr>
          <w:rFonts w:cstheme="minorHAnsi"/>
          <w:color w:val="000000" w:themeColor="text1"/>
        </w:rPr>
        <w:t xml:space="preserve">Based on social cognitive theory, guidance for health promotion practices </w:t>
      </w:r>
      <w:r w:rsidR="007A21BA" w:rsidRPr="00CA4ABC">
        <w:rPr>
          <w:rFonts w:cstheme="minorHAnsi"/>
          <w:color w:val="000000" w:themeColor="text1"/>
        </w:rPr>
        <w:t>suggests</w:t>
      </w:r>
      <w:r w:rsidRPr="00CA4ABC">
        <w:rPr>
          <w:rFonts w:cstheme="minorHAnsi"/>
          <w:color w:val="000000" w:themeColor="text1"/>
        </w:rPr>
        <w:t xml:space="preserve"> that to perform a behaviour, knowledge is required for behavioural capabilities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{"citationItems":[{"id":"ITEM-1","itemData":{"DOI":"10.1017/S0029665199001093","ISSN":"1475-2719","PMID":"10817147","abstract":"Food choice is influenced by a large number of factors, including social and cultural factors. One method for trying to understand the impact of these factors is through the study of attitudes. Research is described which utilizes social psychological attitude models of attitude-behaviour relationships, in particular the Theory of Planned Behaviour. This approach has shown good prediction of behaviour, but there are a number of possible extensions to this basic model which might improve its utility. One such extension is the inclusion of measures of moral concern, which have been found to be important both for the choice of genetically-modified foods and also for foods to be eaten by others. It has been found to be difficult to effect dietary change, and there are a number of insights from social psychology which might address this difficulty. One is the phenomenon of optimistic bias, where individuals believe themselves to be at less risk from various hazards than the average person. This effect has been demonstrated for nutritional risks, and this might lead individuals to take less note of health education messages. Another concern is that individuals do not always have clear-cut attitudes, but rather can be ambivalent about food and about healthy eating. It is important, therefore, to have measures for this ambivalence, and an understanding of how it might impact on behaviour.","author":[{"dropping-particle":"","family":"Shepherd","given":"Richard","non-dropping-particle":"","parse-names":false,"suffix":""}],"container-title":"Proceedings of the Nutrition Society","id":"ITEM-1","issue":"4","issued":{"date-parts":[["1999"]]},"page":"807-812","publisher":"Cambridge University Press","title":"Social determinants of food choice","type":"article-journal","volume":"58"},"uris":["http://www.mendeley.com/documents/?uuid=626f4aca-1288-3b25-a52b-b2a10ee5e3cb"]}],"mendeley":{"formattedCitation":"(230)","plainTextFormattedCitation":"(230)","previouslyFormattedCitation":"(230)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(230)</w:t>
      </w:r>
      <w:r w:rsidRPr="00CA4ABC">
        <w:rPr>
          <w:rFonts w:cstheme="minorHAnsi"/>
          <w:color w:val="000000" w:themeColor="text1"/>
        </w:rPr>
        <w:fldChar w:fldCharType="end"/>
      </w:r>
      <w:r w:rsidRPr="00CA4ABC">
        <w:rPr>
          <w:rFonts w:cstheme="minorHAnsi"/>
          <w:color w:val="000000" w:themeColor="text1"/>
        </w:rPr>
        <w:t xml:space="preserve">.  Moreover, </w:t>
      </w:r>
      <w:r w:rsidR="00FD3382">
        <w:rPr>
          <w:rFonts w:cstheme="minorHAnsi"/>
          <w:color w:val="000000" w:themeColor="text1"/>
        </w:rPr>
        <w:t>nutrition questionnaire research</w:t>
      </w:r>
      <w:r w:rsidRPr="00CA4ABC">
        <w:rPr>
          <w:rFonts w:cstheme="minorHAnsi"/>
          <w:color w:val="000000" w:themeColor="text1"/>
        </w:rPr>
        <w:t xml:space="preserve"> </w:t>
      </w:r>
      <w:r w:rsidR="007A21BA" w:rsidRPr="00CA4ABC">
        <w:rPr>
          <w:rFonts w:cstheme="minorHAnsi"/>
          <w:color w:val="000000" w:themeColor="text1"/>
        </w:rPr>
        <w:t>has</w:t>
      </w:r>
      <w:r w:rsidRPr="00CA4ABC">
        <w:rPr>
          <w:rFonts w:cstheme="minorHAnsi"/>
          <w:color w:val="000000" w:themeColor="text1"/>
        </w:rPr>
        <w:t xml:space="preserve"> demonstrated a link between nutrition knowledge, demographic characteristics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{"citationItems":[{"id":"ITEM-1","itemData":{"DOI":"10.1093/HER/15.2.163","ISSN":"0268-1153","PMID":"10751375","abstract":"This paper describes a nutrition knowledge survey carried out on a cross-section of the adult population of England (n = 1040), looking at knowledge relating to current dietary recommendations, sources of nutrients, healthy food choices and diet-disease links. Serious gaps in knowledge about even the basic recommendations were discovered, and there was much confusion over the relationship between diet and disease. Significant differences in knowledge between socio-demographic groups were found, with men having poorer knowledge than women, and knowledge declining with lower educational level and socio-economic status. Possible reasons for these differences and implications for public education campaigns and socio-economic inequalities in health are discussed.","author":[{"dropping-particle":"","family":"Parmenter","given":"K.","non-dropping-particle":"","parse-names":false,"suffix":""},{"dropping-particle":"","family":"Waller","given":"J.","non-dropping-particle":"","parse-names":false,"suffix":""},{"dropping-particle":"","family":"Wardle","given":"J.","non-dropping-particle":"","parse-names":false,"suffix":""}],"container-title":"Health education research","id":"ITEM-1","issue":"2","issued":{"date-parts":[["2000"]]},"page":"163-174","publisher":"Health Educ Res","title":"Demographic variation in nutrition knowledge in England","type":"article-journal","volume":"15"},"uris":["http://www.mendeley.com/documents/?uuid=4a309cb7-e3cc-312a-9982-537356c880db"]}],"mendeley":{"formattedCitation":"(231)","plainTextFormattedCitation":"(231)","previouslyFormattedCitation":"(231)"},"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(231)</w:t>
      </w:r>
      <w:r w:rsidRPr="00CA4ABC">
        <w:rPr>
          <w:rFonts w:cstheme="minorHAnsi"/>
          <w:color w:val="000000" w:themeColor="text1"/>
        </w:rPr>
        <w:fldChar w:fldCharType="end"/>
      </w:r>
      <w:r w:rsidRPr="00CA4ABC">
        <w:rPr>
          <w:rFonts w:cstheme="minorHAnsi"/>
          <w:color w:val="000000" w:themeColor="text1"/>
        </w:rPr>
        <w:t xml:space="preserve"> and healthy dietary intakes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{"citationItems":[{"id":"ITEM-1","itemData":{"DOI":"10.1017/S0007114514000087","ISSN":"1475-2662","PMID":"24621991","abstract":"The present systematic review examined the relationship between nutrition knowledge and dietary intake in adults (mean age ≥Â 18 years). Relevant databases were searched from the earliest record until November 2012. Search terms included: nutrition; diet or food knowledge and energy intake; feeding behaviour; diet; eating; nutrient or food intake or consumption. Included studies were original research articles that used instruments providing quantitative assessment of both nutrition knowledge and dietary intake and their statistical association. The initial search netted 1Â 193Â 393 potentially relevant articles, of which twenty-nine were eligible for inclusion. Most of them were conducted in community populations (n 22) with fewer (n 7) in athletic populations. Due to the heterogeneity of methods used to assess nutrition knowledge and dietary intake, a meta-analysis was not possible. The majority of the studies (65·5Â %: community 63·6Â %; athletic 71·4Â %) reported significant, positive, but weak (r&lt;Â 0·5) associations between higher nutrition knowledge and dietary intake, most often a higher intake of fruit and vegetables. However, study quality ranged widely and participant representation from lower socio-economic status was limited, with most participants being tertiary educated and female. Well-designed studies using validated methodologies are needed to clarify the relationship between nutrition knowledge and dietary intake. Diet quality scores or indices that aim to evaluate compliance to dietary guidelines may be particularly valuable for assessing the relationship between nutrition knowledge and dietary intake. Nutrition knowledge is an integral component of health literacy and as low health literacy is associated with poor health outcomes, contemporary, high-quality research is needed to inform community nutrition education and public health policy. © 2014 The Authors.","author":[{"dropping-particle":"","family":"Spronk","given":"Inge","non-dropping-particle":"","parse-names":false,"suffix":""},{"dropping-particle":"","family":"Kullen","given":"Charina","non-dropping-particle":"","parse-names":false,"suffix":""},{"dropping-particle":"","family":"Burdon","given":"Catriona","non-dropping-particle":"","parse-names":false,"suffix":""},{"dropping-particle":"","family":"O'Connor","given":"Helen","non-dropping-particle":"","parse-names":false,"suffix":""}],"container-title":"The British journal of nutrition","id":"ITEM-1","issue":"10","issued":{"date-parts":[["2014","5","28"]]},"page":"1713-1726","publisher":"Br J Nutr","title":"Relationship between nutrition knowledge and dietary intake","type":"article-journal","volume":"111"},"uris":["http://www.mendeley.com/documents/?uuid=b7c86883-2aed-3151-8e7b-953eba5e2a4d"]}],"mendeley":{"formattedCitation":"(232)","plainTextFormattedCitation":"(232)","previouslyFormattedCitation":"(232)"},"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(232)</w:t>
      </w:r>
      <w:r w:rsidRPr="00CA4ABC">
        <w:rPr>
          <w:rFonts w:cstheme="minorHAnsi"/>
          <w:color w:val="000000" w:themeColor="text1"/>
        </w:rPr>
        <w:fldChar w:fldCharType="end"/>
      </w:r>
      <w:r w:rsidRPr="00CA4ABC">
        <w:rPr>
          <w:rFonts w:cstheme="minorHAnsi"/>
          <w:color w:val="000000" w:themeColor="text1"/>
        </w:rPr>
        <w:t xml:space="preserve">. </w:t>
      </w:r>
      <w:r w:rsidR="004B2763">
        <w:rPr>
          <w:rFonts w:cstheme="minorHAnsi"/>
          <w:color w:val="000000" w:themeColor="text1"/>
        </w:rPr>
        <w:t>To accurately identify where dietary comprehension is insufficient, nutrition knowledge questionnaires</w:t>
      </w:r>
      <w:r w:rsidRPr="00CA4ABC">
        <w:rPr>
          <w:rFonts w:cstheme="minorHAnsi"/>
          <w:color w:val="000000" w:themeColor="text1"/>
        </w:rPr>
        <w:t xml:space="preserve"> must be validated, particularly in </w:t>
      </w:r>
      <w:r w:rsidR="00756FF0" w:rsidRPr="00CA4ABC">
        <w:rPr>
          <w:rFonts w:cstheme="minorHAnsi"/>
          <w:color w:val="000000" w:themeColor="text1"/>
        </w:rPr>
        <w:t>a representative</w:t>
      </w:r>
      <w:r w:rsidRPr="00CA4ABC">
        <w:rPr>
          <w:rFonts w:cstheme="minorHAnsi"/>
          <w:color w:val="000000" w:themeColor="text1"/>
        </w:rPr>
        <w:t xml:space="preserve"> populatio</w:t>
      </w:r>
      <w:r w:rsidR="00756FF0" w:rsidRPr="00CA4ABC">
        <w:rPr>
          <w:rFonts w:cstheme="minorHAnsi"/>
          <w:color w:val="000000" w:themeColor="text1"/>
        </w:rPr>
        <w:t>n</w:t>
      </w:r>
      <w:r w:rsidR="008E76F2"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{"citationItems":[{"id":"ITEM-1","itemData":{"DOI":"10.1017/S1368980017001471","ISSN":"1368-9800","PMID":"28735598","abstract":"ObjectiveTo outline key statistical considerations and detailed methodologies for the development and evaluation of a valid and reliable nutrition knowledge questionnaire.DesignLiterature on questionnaire development in a range of fields was reviewed and a set of evidence-based guidelines specific to the creation of a nutrition knowledge questionnaire have been developed. The recommendations describe key qualitative methods and statistical considerations, and include relevant examples from previous papers and existing nutrition knowledge questionnaires. Where details have been omitted for the sake of brevity, the reader has been directed to suitable references.ResultsWe recommend an eight-step methodology for nutrition knowledge questionnaire development as follows: (i) definition of the construct and development of a test plan; (ii) generation of the item pool; (iii) choice of the scoring system and response format; (iv) assessment of content validity; (v) assessment of face validity; (vi) purification of the scale using item analysis, including item characteristics, difficulty and discrimination; (vii) evaluation of the scale including its factor structure and internal reliability, or Rasch analysis, including assessment of dimensionality and internal reliability; and (viii) gathering of data to re-examine the questionnaire’s properties, assess temporal stability and confirm construct validity. Several of these methods have previously been overlooked.ConclusionsThe measurement of nutrition knowledge is an important consideration for individuals working in the nutrition field. Improved methods in the development of nutrition knowledge questionnaires, such as the use of factor analysis or Rasch analysis, will enable more confidence in reported measures of nutrition knowledge.","author":[{"dropping-particle":"","family":"Trakman","given":"Gina Louise","non-dropping-particle":"","parse-names":false,"suffix":""},{"dropping-particle":"","family":"Forsyth","given":"Adrienne","non-dropping-particle":"","parse-names":false,"suffix":""},{"dropping-particle":"","family":"Hoye","given":"Russell","non-dropping-particle":"","parse-names":false,"suffix":""},{"dropping-particle":"","family":"Belski","given":"Regina","non-dropping-particle":"","parse-names":false,"suffix":""}],"container-title":"Public Health Nutrition","id":"ITEM-1","issue":"15","issued":{"date-parts":[["2017","10","1"]]},"page":"2670-2679","publisher":"Cambridge University Press","title":"Developing and validating a nutrition knowledge questionnaire: key methods and considerations","type":"article-journal","volume":"20"},"uris":["http://www.mendeley.com/documents/?uuid=22d9a7c7-b1fb-311d-bb73-bc438a53f6c6"]}],"mendeley":{"formattedCitation":"(233)","plainTextFormattedCitation":"(233)","previouslyFormattedCitation":"(233)"},"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(233)</w:t>
      </w:r>
      <w:r w:rsidRPr="00CA4ABC">
        <w:rPr>
          <w:rFonts w:cstheme="minorHAnsi"/>
          <w:color w:val="000000" w:themeColor="text1"/>
        </w:rPr>
        <w:fldChar w:fldCharType="end"/>
      </w:r>
      <w:r w:rsidRPr="00CA4ABC">
        <w:rPr>
          <w:rFonts w:cstheme="minorHAnsi"/>
          <w:color w:val="000000" w:themeColor="text1"/>
        </w:rPr>
        <w:t xml:space="preserve">. </w:t>
      </w:r>
    </w:p>
    <w:p w14:paraId="64017F63" w14:textId="77777777" w:rsidR="004C12CF" w:rsidRPr="00CA4ABC" w:rsidRDefault="004C12CF" w:rsidP="004053D7">
      <w:pPr>
        <w:spacing w:line="360" w:lineRule="auto"/>
        <w:rPr>
          <w:rFonts w:cstheme="minorHAnsi"/>
          <w:color w:val="000000" w:themeColor="text1"/>
          <w:highlight w:val="green"/>
        </w:rPr>
      </w:pPr>
    </w:p>
    <w:p w14:paraId="2880E743" w14:textId="16B905B8"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The general nutrition knowledge questionnaire (GNKQ) was developed in 1999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{"citationItems":[{"id":"ITEM-1","itemData":{"DOI":"10.1038/SJ.EJCN.1600726","ISSN":"0954-3007","PMID":"10334656","abstract":"Objective: This paper describes the development of a reliable and valid questionnaire to provide a comprehensive measure of the nutritional knowledge of UK adults. The instrument will help to identify areas of weakness in people's understanding of healthy eating and will also provide useful data for examining the relationship between nutrition knowledge and dietary behaviour which, up until now, has been far from clear. Design: Items were generated paying particular attention to content validity. The initial version of the questionnaire was piloted and assessed on psychometric criteria. Items which did not reach acceptable validity were excluded, and the final 50 item version was administered to two groups differing in nutritional expertise on two occasions to assess the construct validity and test-retest reliability. Setting: The questionnaire was developed in 1994 in the UK. Subjects: Three hundred and ninety-one members of the general public, recruited via their places of work, completed the questionnaire at the piloting stage. The final version was administered to 168 dietetics and computer science students following a university lecture. Results: The internal consistency of each section was high (Cronbach's alpha = 0.70-0.97) and the test-retest reliability was also well above the minimum requirement of 0.7. Nutrition experts scored significantly better than computer experts [F(1167) = 200.5, P &lt; 0.001], suggesting good construct validity. Conclusions: The findings demonstrate that the instrument meets psychometric criteria for reliability and construct validity. It should provide a useful scale with which to reassess the relationship between knowledge and dietary behaviour. Sponsorship: The study was funded by a grant from the Biotechnology and Biological Sciences Research Council.","author":[{"dropping-particle":"","family":"Parmenter","given":"K.","non-dropping-particle":"","parse-names":false,"suffix":""},{"dropping-particle":"","family":"Wardle","given":"J.","non-dropping-particle":"","parse-names":false,"suffix":""}],"container-title":"European journal of clinical nutrition","id":"ITEM-1","issue":"4","issued":{"date-parts":[["1999"]]},"page":"298-308","publisher":"Eur J Clin Nutr","title":"Development of a general nutrition knowledge questionnaire for adults","type":"article-journal","volume":"53"},"uris":["http://www.mendeley.com/documents/?uuid=135f16c1-d54b-3fed-9a85-e54c494b2b58"]}],"mendeley":{"formattedCitation":"(195)","plainTextFormattedCitation":"(195)","previouslyFormattedCitation":"(195)"},"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(195)</w:t>
      </w:r>
      <w:r w:rsidRPr="00CA4ABC">
        <w:rPr>
          <w:rFonts w:cstheme="minorHAnsi"/>
          <w:color w:val="000000" w:themeColor="text1"/>
        </w:rPr>
        <w:fldChar w:fldCharType="end"/>
      </w:r>
      <w:r w:rsidRPr="00CA4ABC">
        <w:rPr>
          <w:rFonts w:cstheme="minorHAnsi"/>
          <w:color w:val="000000" w:themeColor="text1"/>
        </w:rPr>
        <w:t xml:space="preserve"> and revised and updated in 2016 (GNKQ-R)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{"citationItems":[{"id":"ITEM-1","itemData":{"DOI":"10.1038/EJCN.2016.87","ISSN":"14765640","PMID":"27245211","abstract":"Background/Objectives:The General Nutrition Knowledge Questionnaire (GNKQ) was developed in the 1990s and has been widely used. Since then advances in understanding of associations between diet and disease have led to changes in dietary recommendations. This study reports the validity and reliability of an updated version of the GNKQ, bringing it into line with current nutritional advice.Methods/Subjects:Following a review of current recommendations, the revised version of the GNKQ (GNKQ-R) was created, consisting of 88 items and four sections. Reliability and validity of the GNKQ-R were determined in four validation studies: (1) reliability was examined using an online sample (n=266), (2) construct validity was assessed with 96 Dietetics students and 89 english students using the 'known-groups' method, (3) associations between nutrition knowledge and socio-demographic characteristics were examined using the previously described samples and (4) sensitivity to change was tested by measuring GNKQ-R scores pre- and post-exposure to online nutrition information in written (n=65) and video (n=41) formats.Results:The reliability was &gt;0.7 in all sections. Dietetics students scored significantly higher than english students. As predicted, GNKQ-R scores were significantly higher among females vs males, people with a degree vs without, and people with very good vs poor or good health status. They were lower in those older than 50 years vs younger adults. GNKQ-R scores were significantly greater after the nutrition interventions in both written and video formats.Conclusions:The GNKQ-R is a valid measure of nutrition knowledge that is consistent, reliable and sensitive to change.","author":[{"dropping-particle":"","family":"Kliemann","given":"N.","non-dropping-particle":"","parse-names":false,"suffix":""},{"dropping-particle":"","family":"Wardle","given":"J.","non-dropping-particle":"","parse-names":false,"suffix":""},{"dropping-particle":"","family":"Johnson","given":"F.","non-dropping-particle":"","parse-names":false,"suffix":""},{"dropping-particle":"","family":"Croker","given":"H.","non-dropping-particle":"","parse-names":false,"suffix":""}],"container-title":"European Journal of Clinical Nutrition","id":"ITEM-1","issue":"10","issued":{"date-parts":[["2016","10","1"]]},"page":"1174","publisher":"Nature Publishing Group","title":"Reliability and validity of a revised version of the General Nutrition Knowledge Questionnaire","type":"article-journal","volume":"70"},"uris":["http://www.mendeley.com/documents/?uuid=016c1615-d949-31e5-9124-3bf4f1409de3"]}],"mendeley":{"formattedCitation":"(196)","plainTextFormattedCitation":"(196)","previouslyFormattedCitation":"(196)"},"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(196)</w:t>
      </w:r>
      <w:r w:rsidRPr="00CA4ABC">
        <w:rPr>
          <w:rFonts w:cstheme="minorHAnsi"/>
          <w:color w:val="000000" w:themeColor="text1"/>
        </w:rPr>
        <w:fldChar w:fldCharType="end"/>
      </w:r>
      <w:r w:rsidRPr="00CA4ABC">
        <w:rPr>
          <w:rFonts w:cstheme="minorHAnsi"/>
          <w:color w:val="000000" w:themeColor="text1"/>
        </w:rPr>
        <w:t xml:space="preserve">. This </w:t>
      </w:r>
      <w:r w:rsidR="007A21BA" w:rsidRPr="00CA4ABC">
        <w:rPr>
          <w:rFonts w:cstheme="minorHAnsi"/>
          <w:color w:val="000000" w:themeColor="text1"/>
        </w:rPr>
        <w:t>88-item</w:t>
      </w:r>
      <w:r w:rsidRPr="00CA4ABC">
        <w:rPr>
          <w:rFonts w:cstheme="minorHAnsi"/>
          <w:color w:val="000000" w:themeColor="text1"/>
        </w:rPr>
        <w:t xml:space="preserve"> questionnaire has been validated to explore general nutrition knowledge in a UK population but is not protein-specific. </w:t>
      </w:r>
      <w:r w:rsidR="004B2763">
        <w:rPr>
          <w:rFonts w:cstheme="minorHAnsi"/>
          <w:color w:val="000000" w:themeColor="text1"/>
        </w:rPr>
        <w:t>A</w:t>
      </w:r>
      <w:r w:rsidRPr="00CA4ABC">
        <w:rPr>
          <w:rFonts w:cstheme="minorHAnsi"/>
          <w:color w:val="000000" w:themeColor="text1"/>
        </w:rPr>
        <w:t xml:space="preserve"> validated protein-specific knowledge questionnaire in the general population does not appear to exist. </w:t>
      </w:r>
    </w:p>
    <w:p w14:paraId="7434B733" w14:textId="77777777" w:rsidR="004C12CF" w:rsidRPr="00CA4ABC" w:rsidRDefault="004C12CF" w:rsidP="004053D7">
      <w:pPr>
        <w:spacing w:line="360" w:lineRule="auto"/>
        <w:rPr>
          <w:rFonts w:cstheme="minorHAnsi"/>
          <w:color w:val="000000" w:themeColor="text1"/>
        </w:rPr>
      </w:pPr>
    </w:p>
    <w:p w14:paraId="256512C5" w14:textId="0D94DB8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Investigations to explore protein knowledge in young adults and/or athletic populations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{"citationItems":[{"id":"ITEM-1","itemData":{"DOI":"10.1111/1747-0080.12367","ISSN":"1747-0080","PMID":"28748643","abstract":"Aim: Protein-based sports supplements are among the more common types of nutrition supplements consumed by athletes; however, there is currently limited data investigating the knowledge, motivations and occurrence of use among the adolescent population (13–18 years). This pilot study looks to obtain initial data regarding the use of protein supplements in this population. Methods: This study investigates the understanding and occurrence of protein supplement use in 87 adolescent athletes based in an Australian capital city who compete in a variety of sports. Sources of information, regularity of use, purchasing habits, associated risk knowledge and supplement beliefs were examined using a self-reported, written questionnaire. Results: A total of 60% (n = 52) of athletes reported using protein supplements, with a positive relationship between age and use (P &lt; 0.05); 48 participants (55%) perceived risks associated with protein supplement consumption, with the most common risk reported as ‘I don't know’ (22%). Coaches were found to initiate protein supplement use more than other figures in the athlete's life (50%) and were the primary source of information regarding supplements (58%). It was found that 19% of adolescent athletes obtained information about protein supplements from the Internet, and 17% of all consumers purchase their supplements online. Conclusions: The evident lack of knowledge regarding protein supplements demonstrates a necessity for further education of athletes, coaches and families regarding the responsible purchasing and use of protein supplements in the current landscape of sports nutrition. Future research should further explore the role of the Internet in protein supplement purchase and education.","author":[{"dropping-particle":"","family":"Whitehouse","given":"Gavin","non-dropping-particle":"","parse-names":false,"suffix":""},{"dropping-particle":"","family":"Lawlis","given":"Tanya","non-dropping-particle":"","parse-names":false,"suffix":""}],"container-title":"Nutrition &amp; Dietetics","id":"ITEM-1","issue":"5","issued":{"date-parts":[["2017","11","1"]]},"page":"509-515","publisher":"John Wiley &amp; Sons, Ltd","title":"Protein supplements and adolescent athletes: A pilot study investigating the risk knowledge, motivations and prevalence of use","type":"article-journal","volume":"74"},"uris":["http://www.mendeley.com/documents/?uuid=54b32bb1-848c-327c-8c26-06c58c64b6c3"]}],"mendeley":{"formattedCitation":"(234)","plainTextFormattedCitation":"(234)","previouslyFormattedCitation":"(234)"},"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(234)</w:t>
      </w:r>
      <w:r w:rsidRPr="00CA4ABC">
        <w:rPr>
          <w:rFonts w:cstheme="minorHAnsi"/>
          <w:color w:val="000000" w:themeColor="text1"/>
        </w:rPr>
        <w:fldChar w:fldCharType="end"/>
      </w:r>
      <w:r w:rsidRPr="00CA4ABC">
        <w:rPr>
          <w:rFonts w:cstheme="minorHAnsi"/>
          <w:color w:val="000000" w:themeColor="text1"/>
        </w:rPr>
        <w:t xml:space="preserve"> have previously been carried out, possibly due to them being the favoured demographic for protein supplement products in the health and fitness industry. Ackerman et al</w:t>
      </w:r>
      <w:r w:rsidR="007A21BA"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{"citationItems":[{"id":"ITEM-1","itemData":{"DOI":"10.21203/rs.3.rs-33562/v1","abstract":"Background: Misconceptions about consuming dietary protein may exist due to unscientic dietary","author":[{"dropping-particle":"","family":"Ackerman","given":"Parker","non-dropping-particle":"","parse-names":false,"suffix":""},{"dropping-particle":"","family":"Warren","given":"Cynthia","non-dropping-particle":"","parse-names":false,"suffix":""},{"dropping-particle":"","family":"Miketinas","given":"Derek","non-dropping-particle":"","parse-names":false,"suffix":""}],"id":"ITEM-1","issued":{"date-parts":[["2020"]]},"title":"Construct Validity of a Dietary Protein Assessment Questionnaire to Explore College Students' Attitudes Towards Dietary Protein","type":"article-journal"},"uris":["http://www.mendeley.com/documents/?uuid=4b14f2a2-7074-3636-baa9-b8b3b1f2bc6c"]}],"mendeley":{"formattedCitation":"(235)","plainTextFormattedCitation":"(235)","previouslyFormattedCitation":"(235)"},"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(235)</w:t>
      </w:r>
      <w:r w:rsidRPr="00CA4ABC">
        <w:rPr>
          <w:rFonts w:cstheme="minorHAnsi"/>
          <w:color w:val="000000" w:themeColor="text1"/>
        </w:rPr>
        <w:fldChar w:fldCharType="end"/>
      </w:r>
      <w:r w:rsidRPr="00CA4ABC">
        <w:rPr>
          <w:rFonts w:cstheme="minorHAnsi"/>
          <w:color w:val="000000" w:themeColor="text1"/>
        </w:rPr>
        <w:t xml:space="preserve"> provided students at an American university (mean age: 28.2 + 11.4</w:t>
      </w:r>
      <w:r w:rsidR="00EE29DF" w:rsidRPr="00CA4ABC">
        <w:rPr>
          <w:rFonts w:cstheme="minorHAnsi"/>
          <w:color w:val="000000" w:themeColor="text1"/>
        </w:rPr>
        <w:t xml:space="preserve"> </w:t>
      </w:r>
      <w:r w:rsidRPr="00CA4ABC">
        <w:rPr>
          <w:rFonts w:cstheme="minorHAnsi"/>
          <w:color w:val="000000" w:themeColor="text1"/>
        </w:rPr>
        <w:t>y</w:t>
      </w:r>
      <w:r w:rsidR="00EE29DF" w:rsidRPr="00CA4ABC">
        <w:rPr>
          <w:rFonts w:cstheme="minorHAnsi"/>
          <w:color w:val="000000" w:themeColor="text1"/>
        </w:rPr>
        <w:t>ears</w:t>
      </w:r>
      <w:r w:rsidRPr="00CA4ABC">
        <w:rPr>
          <w:rFonts w:cstheme="minorHAnsi"/>
          <w:color w:val="000000" w:themeColor="text1"/>
        </w:rPr>
        <w:t xml:space="preserve">) with a </w:t>
      </w:r>
      <w:r w:rsidRPr="00CA4ABC">
        <w:rPr>
          <w:rFonts w:cstheme="minorHAnsi"/>
          <w:color w:val="000000" w:themeColor="text1"/>
        </w:rPr>
        <w:lastRenderedPageBreak/>
        <w:t>64-item</w:t>
      </w:r>
      <w:r w:rsidR="00992371" w:rsidRPr="00CA4ABC">
        <w:rPr>
          <w:rFonts w:cstheme="minorHAnsi"/>
          <w:color w:val="000000" w:themeColor="text1"/>
        </w:rPr>
        <w:t xml:space="preserve"> questionnaire</w:t>
      </w:r>
      <w:r w:rsidR="00EE29DF" w:rsidRPr="00CA4ABC">
        <w:rPr>
          <w:rFonts w:cstheme="minorHAnsi"/>
          <w:color w:val="000000" w:themeColor="text1"/>
        </w:rPr>
        <w:t>. The</w:t>
      </w:r>
      <w:r w:rsidR="000D1BDE" w:rsidRPr="00CA4ABC">
        <w:rPr>
          <w:rFonts w:cstheme="minorHAnsi"/>
          <w:color w:val="000000" w:themeColor="text1"/>
        </w:rPr>
        <w:t xml:space="preserve"> questions test</w:t>
      </w:r>
      <w:r w:rsidR="00EE29DF" w:rsidRPr="00CA4ABC">
        <w:rPr>
          <w:rFonts w:cstheme="minorHAnsi"/>
          <w:color w:val="000000" w:themeColor="text1"/>
        </w:rPr>
        <w:t>ed</w:t>
      </w:r>
      <w:r w:rsidR="000D1BDE" w:rsidRPr="00CA4ABC">
        <w:rPr>
          <w:rFonts w:cstheme="minorHAnsi"/>
          <w:color w:val="000000" w:themeColor="text1"/>
        </w:rPr>
        <w:t xml:space="preserve"> </w:t>
      </w:r>
      <w:r w:rsidR="000D1BDE" w:rsidRPr="00CA4ABC">
        <w:rPr>
          <w:rFonts w:cstheme="minorHAnsi"/>
        </w:rPr>
        <w:t>the respondents’ knowledge about dietary protein sources and requirements for various populations, such as physically active individuals and individuals adhering to a vegetarian diet</w:t>
      </w:r>
      <w:r w:rsidR="000D1BDE" w:rsidRPr="00CA4ABC">
        <w:rPr>
          <w:rFonts w:cstheme="minorHAnsi"/>
          <w:color w:val="000000" w:themeColor="text1"/>
        </w:rPr>
        <w:t xml:space="preserve">. </w:t>
      </w:r>
      <w:r w:rsidRPr="00CA4ABC">
        <w:rPr>
          <w:rFonts w:cstheme="minorHAnsi"/>
          <w:color w:val="000000" w:themeColor="text1"/>
        </w:rPr>
        <w:t>The</w:t>
      </w:r>
      <w:r w:rsidR="000D1BDE" w:rsidRPr="00CA4ABC">
        <w:rPr>
          <w:rFonts w:cstheme="minorHAnsi"/>
          <w:color w:val="000000" w:themeColor="text1"/>
        </w:rPr>
        <w:t>y compared mean scores of the knowledge questions between nutrition and non-nutrition students to carry out validity checks using t</w:t>
      </w:r>
      <w:r w:rsidR="007A21BA" w:rsidRPr="00CA4ABC">
        <w:rPr>
          <w:rFonts w:cstheme="minorHAnsi"/>
          <w:color w:val="000000" w:themeColor="text1"/>
        </w:rPr>
        <w:t>-</w:t>
      </w:r>
      <w:r w:rsidR="000D1BDE" w:rsidRPr="00CA4ABC">
        <w:rPr>
          <w:rFonts w:cstheme="minorHAnsi"/>
          <w:color w:val="000000" w:themeColor="text1"/>
        </w:rPr>
        <w:t>tests</w:t>
      </w:r>
      <w:r w:rsidR="004B2763">
        <w:rPr>
          <w:rFonts w:cstheme="minorHAnsi"/>
          <w:color w:val="000000" w:themeColor="text1"/>
        </w:rPr>
        <w:t>,</w:t>
      </w:r>
      <w:r w:rsidRPr="00CA4ABC">
        <w:rPr>
          <w:rFonts w:cstheme="minorHAnsi"/>
          <w:color w:val="000000" w:themeColor="text1"/>
        </w:rPr>
        <w:t xml:space="preserve"> </w:t>
      </w:r>
      <w:r w:rsidR="000D1BDE" w:rsidRPr="00CA4ABC">
        <w:rPr>
          <w:rFonts w:cstheme="minorHAnsi"/>
          <w:color w:val="000000" w:themeColor="text1"/>
        </w:rPr>
        <w:t xml:space="preserve">and it appeared to be valid </w:t>
      </w:r>
      <w:r w:rsidRPr="00CA4ABC">
        <w:rPr>
          <w:rFonts w:cstheme="minorHAnsi"/>
          <w:color w:val="000000" w:themeColor="text1"/>
        </w:rPr>
        <w:t>in a university student population</w:t>
      </w:r>
      <w:r w:rsidR="004B2763">
        <w:rPr>
          <w:rFonts w:cstheme="minorHAnsi"/>
          <w:color w:val="000000" w:themeColor="text1"/>
        </w:rPr>
        <w:t>. Still, it</w:t>
      </w:r>
      <w:r w:rsidRPr="00CA4ABC">
        <w:rPr>
          <w:rFonts w:cstheme="minorHAnsi"/>
          <w:color w:val="000000" w:themeColor="text1"/>
        </w:rPr>
        <w:t xml:space="preserve"> is not known whether this is applicable in other populations. They also highlighted the lack of protein knowledge tools available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{"citationItems":[{"id":"ITEM-1","itemData":{"DOI":"10.1096/FASEBJ.30.1_SUPPLEMENT.1164.6","ISSN":"1530-6860","author":[{"dropping-particle":"","family":"Neumann","given":"Brianna L","non-dropping-particle":"","parse-names":false,"suffix":""},{"dropping-particle":"","family":"Baum","given":"Jamie I","non-dropping-particle":"","parse-names":false,"suffix":""}],"container-title":"The FASEB Journal","id":"ITEM-1","issued":{"date-parts":[["0"]]},"page":"1164.6-1164.6","publisher":"John Wiley &amp; Sons, Ltd","title":"Assessment of Attitudes, Preferences and Knowledge Regarding Dietary Protein Consumption and Health","type":"article-journal","volume":"30"},"uris":["http://www.mendeley.com/documents/?uuid=2ff7c9f6-a40f-3e02-ac78-b44f27090ce8"]}],"mendeley":{"formattedCitation":"(236)","plainTextFormattedCitation":"(236)","previouslyFormattedCitation":"(236)"},"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(236)</w:t>
      </w:r>
      <w:r w:rsidRPr="00CA4ABC">
        <w:rPr>
          <w:rFonts w:cstheme="minorHAnsi"/>
          <w:color w:val="000000" w:themeColor="text1"/>
        </w:rPr>
        <w:fldChar w:fldCharType="end"/>
      </w:r>
      <w:r w:rsidRPr="00CA4ABC">
        <w:rPr>
          <w:rFonts w:cstheme="minorHAnsi"/>
          <w:color w:val="000000" w:themeColor="text1"/>
        </w:rPr>
        <w:t xml:space="preserve">. </w:t>
      </w:r>
    </w:p>
    <w:p w14:paraId="318DD121" w14:textId="77777777" w:rsidR="004C12CF" w:rsidRPr="00CA4ABC" w:rsidRDefault="004C12CF" w:rsidP="004053D7">
      <w:pPr>
        <w:spacing w:line="360" w:lineRule="auto"/>
        <w:rPr>
          <w:rFonts w:cstheme="minorHAnsi"/>
          <w:color w:val="000000" w:themeColor="text1"/>
          <w:highlight w:val="green"/>
        </w:rPr>
      </w:pPr>
    </w:p>
    <w:p w14:paraId="289CB65B" w14:textId="7A95F2F3"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Alternatively, older adult populations have also been investigated. </w:t>
      </w:r>
      <w:r w:rsidR="00992371" w:rsidRPr="00CA4ABC">
        <w:rPr>
          <w:rFonts w:cstheme="minorHAnsi"/>
          <w:color w:val="000000" w:themeColor="text1"/>
        </w:rPr>
        <w:t>Visser et al</w:t>
      </w:r>
      <w:r w:rsidR="00EE29DF" w:rsidRPr="00CA4ABC">
        <w:rPr>
          <w:rFonts w:cstheme="minorHAnsi"/>
          <w:color w:val="000000" w:themeColor="text1"/>
        </w:rPr>
        <w:t>.</w:t>
      </w:r>
      <w:r w:rsidR="00992371" w:rsidRPr="00CA4ABC">
        <w:rPr>
          <w:rFonts w:cstheme="minorHAnsi"/>
          <w:color w:val="000000" w:themeColor="text1"/>
        </w:rPr>
        <w:t xml:space="preserve"> </w:t>
      </w:r>
      <w:r w:rsidR="004E22F7" w:rsidRPr="00CA4ABC">
        <w:rPr>
          <w:rFonts w:cstheme="minorHAnsi"/>
          <w:color w:val="000000" w:themeColor="text1"/>
        </w:rPr>
        <w:t>(19</w:t>
      </w:r>
      <w:r w:rsidR="00F85018" w:rsidRPr="00CA4ABC">
        <w:rPr>
          <w:rFonts w:cstheme="minorHAnsi"/>
          <w:color w:val="000000" w:themeColor="text1"/>
        </w:rPr>
        <w:t>5</w:t>
      </w:r>
      <w:r w:rsidR="004E22F7" w:rsidRPr="00CA4ABC">
        <w:rPr>
          <w:rFonts w:cstheme="minorHAnsi"/>
          <w:color w:val="000000" w:themeColor="text1"/>
        </w:rPr>
        <w:t xml:space="preserve">) </w:t>
      </w:r>
      <w:r w:rsidR="00992371" w:rsidRPr="00CA4ABC">
        <w:rPr>
          <w:rFonts w:cstheme="minorHAnsi"/>
          <w:color w:val="000000" w:themeColor="text1"/>
        </w:rPr>
        <w:t>recruited r</w:t>
      </w:r>
      <w:r w:rsidRPr="00CA4ABC">
        <w:rPr>
          <w:rFonts w:cstheme="minorHAnsi"/>
          <w:color w:val="000000" w:themeColor="text1"/>
        </w:rPr>
        <w:t xml:space="preserve">espondents to a cross-sectional online survey aged </w:t>
      </w:r>
      <w:r w:rsidRPr="00CA4ABC">
        <w:rPr>
          <w:rFonts w:cstheme="minorHAnsi"/>
          <w:color w:val="000000" w:themeColor="text1"/>
          <w:shd w:val="clear" w:color="auto" w:fill="FFFFFF"/>
        </w:rPr>
        <w:t xml:space="preserve">≥65 years across five European countries. For this, </w:t>
      </w:r>
      <w:r w:rsidRPr="00CA4ABC">
        <w:rPr>
          <w:rFonts w:cstheme="minorHAnsi"/>
          <w:color w:val="000000" w:themeColor="text1"/>
        </w:rPr>
        <w:t xml:space="preserve">nine true and false statements </w:t>
      </w:r>
      <w:r w:rsidR="004E22F7" w:rsidRPr="00CA4ABC">
        <w:rPr>
          <w:rFonts w:cstheme="minorHAnsi"/>
          <w:color w:val="000000" w:themeColor="text1"/>
        </w:rPr>
        <w:t>were used</w:t>
      </w:r>
      <w:r w:rsidR="007A21BA" w:rsidRPr="00CA4ABC">
        <w:rPr>
          <w:rFonts w:cstheme="minorHAnsi"/>
          <w:color w:val="000000" w:themeColor="text1"/>
        </w:rPr>
        <w:t>,</w:t>
      </w:r>
      <w:r w:rsidR="004E22F7" w:rsidRPr="00CA4ABC">
        <w:rPr>
          <w:rFonts w:cstheme="minorHAnsi"/>
          <w:color w:val="000000" w:themeColor="text1"/>
        </w:rPr>
        <w:t xml:space="preserve"> </w:t>
      </w:r>
      <w:r w:rsidR="00341A56" w:rsidRPr="00CA4ABC">
        <w:rPr>
          <w:rFonts w:cstheme="minorHAnsi"/>
          <w:color w:val="000000" w:themeColor="text1"/>
        </w:rPr>
        <w:t>covering</w:t>
      </w:r>
      <w:r w:rsidRPr="00CA4ABC">
        <w:rPr>
          <w:rFonts w:cstheme="minorHAnsi"/>
          <w:color w:val="000000" w:themeColor="text1"/>
        </w:rPr>
        <w:t xml:space="preserve"> three aspects of</w:t>
      </w:r>
      <w:r w:rsidR="004E22F7" w:rsidRPr="00CA4ABC">
        <w:rPr>
          <w:rFonts w:cstheme="minorHAnsi"/>
          <w:color w:val="000000" w:themeColor="text1"/>
        </w:rPr>
        <w:t xml:space="preserve"> protein </w:t>
      </w:r>
      <w:r w:rsidRPr="00CA4ABC">
        <w:rPr>
          <w:rFonts w:cstheme="minorHAnsi"/>
          <w:color w:val="000000" w:themeColor="text1"/>
        </w:rPr>
        <w:t xml:space="preserve">knowledge, including the relationship between protein and health, knowledge </w:t>
      </w:r>
      <w:r w:rsidR="007A21BA" w:rsidRPr="00CA4ABC">
        <w:rPr>
          <w:rFonts w:cstheme="minorHAnsi"/>
          <w:color w:val="000000" w:themeColor="text1"/>
        </w:rPr>
        <w:t>of</w:t>
      </w:r>
      <w:r w:rsidRPr="00CA4ABC">
        <w:rPr>
          <w:rFonts w:cstheme="minorHAnsi"/>
          <w:color w:val="000000" w:themeColor="text1"/>
        </w:rPr>
        <w:t xml:space="preserve"> </w:t>
      </w:r>
      <w:r w:rsidR="007A21BA" w:rsidRPr="00CA4ABC">
        <w:rPr>
          <w:rFonts w:cstheme="minorHAnsi"/>
          <w:color w:val="000000" w:themeColor="text1"/>
        </w:rPr>
        <w:t xml:space="preserve">the </w:t>
      </w:r>
      <w:r w:rsidRPr="00CA4ABC">
        <w:rPr>
          <w:rFonts w:cstheme="minorHAnsi"/>
          <w:color w:val="000000" w:themeColor="text1"/>
        </w:rPr>
        <w:t xml:space="preserve">protein content of foods, and protein intake recommendations. They suggested that protein knowledge has substantial room to improve. In particular, improvements </w:t>
      </w:r>
      <w:r w:rsidR="007A21BA" w:rsidRPr="00CA4ABC">
        <w:rPr>
          <w:rFonts w:cstheme="minorHAnsi"/>
          <w:color w:val="000000" w:themeColor="text1"/>
        </w:rPr>
        <w:t>in</w:t>
      </w:r>
      <w:r w:rsidRPr="00CA4ABC">
        <w:rPr>
          <w:rFonts w:cstheme="minorHAnsi"/>
          <w:color w:val="000000" w:themeColor="text1"/>
        </w:rPr>
        <w:t xml:space="preserve"> knowledge relating to optimal intakes of protein. </w:t>
      </w:r>
    </w:p>
    <w:p w14:paraId="1F0C92F5" w14:textId="77777777" w:rsidR="004C12CF" w:rsidRPr="00CA4ABC" w:rsidRDefault="004C12CF" w:rsidP="004053D7">
      <w:pPr>
        <w:spacing w:line="360" w:lineRule="auto"/>
        <w:rPr>
          <w:rFonts w:cstheme="minorHAnsi"/>
          <w:color w:val="000000" w:themeColor="text1"/>
        </w:rPr>
      </w:pPr>
    </w:p>
    <w:p w14:paraId="406E88EF" w14:textId="694A59EA" w:rsidR="004C12CF" w:rsidRPr="00CA4ABC" w:rsidRDefault="004C12CF" w:rsidP="004053D7">
      <w:pPr>
        <w:spacing w:line="360" w:lineRule="auto"/>
        <w:rPr>
          <w:rFonts w:cstheme="minorHAnsi"/>
          <w:color w:val="000000" w:themeColor="text1"/>
        </w:rPr>
      </w:pPr>
      <w:r w:rsidRPr="00CA4ABC">
        <w:rPr>
          <w:rFonts w:cstheme="minorHAnsi"/>
          <w:color w:val="000000" w:themeColor="text1"/>
        </w:rPr>
        <w:t>The described literature again highlights the</w:t>
      </w:r>
      <w:r w:rsidR="004E22F7" w:rsidRPr="00CA4ABC">
        <w:rPr>
          <w:rFonts w:cstheme="minorHAnsi"/>
          <w:color w:val="000000" w:themeColor="text1"/>
        </w:rPr>
        <w:t xml:space="preserve"> focused populations studied in this field and ignores</w:t>
      </w:r>
      <w:r w:rsidRPr="00CA4ABC">
        <w:rPr>
          <w:rFonts w:cstheme="minorHAnsi"/>
          <w:color w:val="000000" w:themeColor="text1"/>
        </w:rPr>
        <w:t xml:space="preserve"> middle-aged adults. As such, it was the purpose of this stud</w:t>
      </w:r>
      <w:r w:rsidR="004E22F7" w:rsidRPr="00CA4ABC">
        <w:rPr>
          <w:rFonts w:cstheme="minorHAnsi"/>
          <w:color w:val="000000" w:themeColor="text1"/>
        </w:rPr>
        <w:t>y</w:t>
      </w:r>
      <w:r w:rsidRPr="00CA4ABC">
        <w:rPr>
          <w:rFonts w:cstheme="minorHAnsi"/>
          <w:color w:val="000000" w:themeColor="text1"/>
        </w:rPr>
        <w:t xml:space="preserve"> </w:t>
      </w:r>
      <w:r w:rsidR="007A21BA" w:rsidRPr="00CA4ABC">
        <w:rPr>
          <w:rFonts w:cstheme="minorHAnsi"/>
          <w:color w:val="000000" w:themeColor="text1"/>
        </w:rPr>
        <w:t>not to</w:t>
      </w:r>
      <w:r w:rsidRPr="00CA4ABC">
        <w:rPr>
          <w:rFonts w:cstheme="minorHAnsi"/>
          <w:color w:val="000000" w:themeColor="text1"/>
        </w:rPr>
        <w:t xml:space="preserve"> be restrictive on the age groups eligible to respond to the questionnaire. This way, it was believed that </w:t>
      </w:r>
      <w:r w:rsidR="00C27EA5" w:rsidRPr="00CA4ABC">
        <w:rPr>
          <w:rFonts w:cstheme="minorHAnsi"/>
          <w:color w:val="000000" w:themeColor="text1"/>
        </w:rPr>
        <w:t>niche</w:t>
      </w:r>
      <w:r w:rsidRPr="00CA4ABC">
        <w:rPr>
          <w:rFonts w:cstheme="minorHAnsi"/>
          <w:color w:val="000000" w:themeColor="text1"/>
        </w:rPr>
        <w:t xml:space="preserve"> data could be obtained and further insights into influential factors for determining protein intakes could be collected.</w:t>
      </w:r>
    </w:p>
    <w:p w14:paraId="6B88210C" w14:textId="77777777" w:rsidR="004C12CF" w:rsidRPr="00CA4ABC" w:rsidRDefault="004C12CF" w:rsidP="004053D7">
      <w:pPr>
        <w:spacing w:line="360" w:lineRule="auto"/>
        <w:rPr>
          <w:rFonts w:cstheme="minorHAnsi"/>
          <w:color w:val="000000" w:themeColor="text1"/>
        </w:rPr>
      </w:pPr>
    </w:p>
    <w:p w14:paraId="6068BC99" w14:textId="7FEB8B40"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Diets are complex and determined by a multitude of components. The amount of protein an individual consumes is influenced by many factors, extending beyond their knowledge and attitudes. These may include socioeconomic status, living arrangements, lifestyle habits, social interactions, religious influences, culinary competencies, taste and personal preferences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{"citationItems":[{"id":"ITEM-1","itemData":{"DOI":"10.1080/10408398.2020.1870434","abstract":"Human food choices (FC) influence food production systems. Agriculture is responsible for feeding the entire population, and somehow generates different types of environmental degradation. Consumers play a decisive role in consumption trends because FC has shaped habits and behaviors. Food is an expression of people's identity, values, and lifestyle. The objective of this article is to analyze the factors that influence FC and to consider intervention strategies used to work on improving behaviors and FC. The influence of socio-cultural aspects, such as cultural capital, social stratifications, and the inequalities could possibly trigger consumers' FC. The effects of different factors such as foodscapes, social environments, tastes, and even nutritional information, have generated that, the consumer chooses a product under pressure or makes an uninformed choice that generally is unhealthy. Restricting food accessibility generates a reactive but non-aware action, so it is necessary to work creating a sustainable food culture, with the first step of consumers being self-aware of their current FC.","author":[{"dropping-particle":"","family":"Pierre Enriquez","given":"Jean","non-dropping-particle":"","parse-names":false,"suffix":""},{"dropping-particle":"","family":"Carlos Archila-Godinez","given":"Juan","non-dropping-particle":"","parse-names":false,"suffix":""}],"id":"ITEM-1","issued":{"date-parts":[["2021"]]},"title":"Social and cultural influences on food choices: A review","type":"article-journal"},"uris":["http://www.mendeley.com/documents/?uuid=2f58091d-ee73-3603-9573-b68a5231a027"]}],"mendeley":{"formattedCitation":"(237)","plainTextFormattedCitation":"(237)","previouslyFormattedCitation":"(237)"},"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(237)</w:t>
      </w:r>
      <w:r w:rsidRPr="00CA4ABC">
        <w:rPr>
          <w:rFonts w:cstheme="minorHAnsi"/>
          <w:color w:val="000000" w:themeColor="text1"/>
        </w:rPr>
        <w:fldChar w:fldCharType="end"/>
      </w:r>
      <w:r w:rsidRPr="00CA4ABC">
        <w:rPr>
          <w:rFonts w:cstheme="minorHAnsi"/>
          <w:color w:val="000000" w:themeColor="text1"/>
        </w:rPr>
        <w:t xml:space="preserve">. Increasing protein intakes, where necessary, would need to </w:t>
      </w:r>
      <w:r w:rsidR="00E3117D" w:rsidRPr="00CA4ABC">
        <w:rPr>
          <w:rFonts w:cstheme="minorHAnsi"/>
          <w:color w:val="000000" w:themeColor="text1"/>
        </w:rPr>
        <w:t>consider</w:t>
      </w:r>
      <w:r w:rsidRPr="00CA4ABC">
        <w:rPr>
          <w:rFonts w:cstheme="minorHAnsi"/>
          <w:color w:val="000000" w:themeColor="text1"/>
        </w:rPr>
        <w:t xml:space="preserve"> these factors</w:t>
      </w:r>
      <w:r w:rsidR="00C62E70" w:rsidRPr="00CA4ABC">
        <w:rPr>
          <w:rFonts w:cstheme="minorHAnsi"/>
          <w:color w:val="000000" w:themeColor="text1"/>
        </w:rPr>
        <w:t>; otherwise</w:t>
      </w:r>
      <w:r w:rsidR="007A21BA" w:rsidRPr="00CA4ABC">
        <w:rPr>
          <w:rFonts w:cstheme="minorHAnsi"/>
          <w:color w:val="000000" w:themeColor="text1"/>
        </w:rPr>
        <w:t>,</w:t>
      </w:r>
      <w:r w:rsidRPr="00CA4ABC">
        <w:rPr>
          <w:rFonts w:cstheme="minorHAnsi"/>
          <w:color w:val="000000" w:themeColor="text1"/>
        </w:rPr>
        <w:t xml:space="preserve"> behaviour change would be more </w:t>
      </w:r>
      <w:r w:rsidR="00020C49">
        <w:rPr>
          <w:rFonts w:cstheme="minorHAnsi"/>
          <w:color w:val="000000" w:themeColor="text1"/>
        </w:rPr>
        <w:t>challenging</w:t>
      </w:r>
      <w:r w:rsidRPr="00CA4ABC">
        <w:rPr>
          <w:rFonts w:cstheme="minorHAnsi"/>
          <w:color w:val="000000" w:themeColor="text1"/>
        </w:rPr>
        <w:t xml:space="preserve"> to </w:t>
      </w:r>
      <w:r w:rsidR="005D5E75" w:rsidRPr="00CA4ABC">
        <w:rPr>
          <w:rFonts w:cstheme="minorHAnsi"/>
          <w:color w:val="000000" w:themeColor="text1"/>
        </w:rPr>
        <w:t>e</w:t>
      </w:r>
      <w:r w:rsidRPr="00CA4ABC">
        <w:rPr>
          <w:rFonts w:cstheme="minorHAnsi"/>
          <w:color w:val="000000" w:themeColor="text1"/>
        </w:rPr>
        <w:t xml:space="preserve">licit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{"citationItems":[{"id":"ITEM-1","itemData":{"DOI":"10.1186/1748-5908-6-42/TABLES/3","ISSN":"17485908","PMID":"21513547","abstract":"Background: Improving the design and implementation of evidence-based practice depends on successful behaviour change interventions. This requires an appropriate method for characterising interventions and linking them to an analysis of the targeted behaviour. There exists a plethora of frameworks of behaviour change interventions, but it is not clear how well they serve this purpose. This paper evaluates these frameworks, and develops and evaluates a new framework aimed at overcoming their limitations.Methods: A systematic search of electronic databases and consultation with behaviour change experts were used to identify frameworks of behaviour change interventions. These were evaluated according to three criteria: comprehensiveness, coherence, and a clear link to an overarching model of behaviour. A new framework was developed to meet these criteria. The reliability with which it could be applied was examined in two domains of behaviour change: tobacco control and obesity.Results: Nineteen frameworks were identified covering nine intervention functions and seven policy categories that could enable those interventions. None of the frameworks reviewed covered the full range of intervention functions or policies, and only a minority met the criteria of coherence or linkage to a model of behaviour. At the centre of a proposed new framework is a 'behaviour system' involving three essential conditions: capability, opportunity, and motivation (what we term the 'COM-B system'). This forms the hub of a 'behaviour change wheel' (BCW) around which are positioned the nine intervention functions aimed at addressing deficits in one or more of these conditions; around this are placed seven categories of policy that could enable those interventions to occur. The BCW was used reliably to characterise interventions within the English Department of Health's 2010 tobacco control strategy and the National Institute of Health and Clinical Excellence's guidance on reducing obesity.Conclusions: Interventions and policies to change behaviour can be usefully characterised by means of a BCW comprising: a 'behaviour system' at the hub, encircled by intervention functions and then by policy categories. Research is needed to establish how far the BCW can lead to more efficient design of effective interventions. © 2011 Michie et al; licensee BioMed Central Ltd.","author":[{"dropping-particle":"","family":"Michie","given":"Susan","non-dropping-particle":"","parse-names":false,"suffix":""},{"dropping-particle":"","family":"Stralen","given":"Maartje M.","non-dropping-particle":"van","parse-names":false,"suffix":""},{"dropping-particle":"","family":"West","given":"Robert","non-dropping-particle":"","parse-names":false,"suffix":""}],"container-title":"Implementation Science","id":"ITEM-1","issue":"1","issued":{"date-parts":[["2011","4","23"]]},"page":"1-12","publisher":"BioMed Central","title":"The behaviour change wheel: A new method for characterising and designing behaviour change interventions","type":"article-journal","volume":"6"},"uris":["http://www.mendeley.com/documents/?uuid=5f8845ea-4dfc-3b60-9664-0c4c7ce5ad49"]}],"mendeley":{"formattedCitation":"(238)","plainTextFormattedCitation":"(238)","previouslyFormattedCitation":"(238)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(238)</w:t>
      </w:r>
      <w:r w:rsidRPr="00CA4ABC">
        <w:rPr>
          <w:rFonts w:cstheme="minorHAnsi"/>
          <w:color w:val="000000" w:themeColor="text1"/>
        </w:rPr>
        <w:fldChar w:fldCharType="end"/>
      </w:r>
      <w:r w:rsidRPr="00CA4ABC">
        <w:rPr>
          <w:rFonts w:cstheme="minorHAnsi"/>
          <w:color w:val="000000" w:themeColor="text1"/>
        </w:rPr>
        <w:t xml:space="preserve">. It is therefore important to </w:t>
      </w:r>
      <w:r w:rsidR="004E22F7" w:rsidRPr="00CA4ABC">
        <w:rPr>
          <w:rFonts w:cstheme="minorHAnsi"/>
          <w:color w:val="000000" w:themeColor="text1"/>
        </w:rPr>
        <w:t xml:space="preserve">also </w:t>
      </w:r>
      <w:r w:rsidRPr="00CA4ABC">
        <w:rPr>
          <w:rFonts w:cstheme="minorHAnsi"/>
          <w:color w:val="000000" w:themeColor="text1"/>
        </w:rPr>
        <w:t xml:space="preserve">gain an understanding </w:t>
      </w:r>
      <w:r w:rsidR="007A21BA" w:rsidRPr="00CA4ABC">
        <w:rPr>
          <w:rFonts w:cstheme="minorHAnsi"/>
          <w:color w:val="000000" w:themeColor="text1"/>
        </w:rPr>
        <w:t>of</w:t>
      </w:r>
      <w:r w:rsidRPr="00CA4ABC">
        <w:rPr>
          <w:rFonts w:cstheme="minorHAnsi"/>
          <w:color w:val="000000" w:themeColor="text1"/>
        </w:rPr>
        <w:t xml:space="preserve"> lifestyle factors which </w:t>
      </w:r>
      <w:r w:rsidR="00DE380A" w:rsidRPr="00CA4ABC">
        <w:rPr>
          <w:rFonts w:cstheme="minorHAnsi"/>
          <w:color w:val="000000" w:themeColor="text1"/>
        </w:rPr>
        <w:t>are associated with low protein consumption</w:t>
      </w:r>
      <w:r w:rsidRPr="00CA4ABC">
        <w:rPr>
          <w:rFonts w:cstheme="minorHAnsi"/>
          <w:color w:val="000000" w:themeColor="text1"/>
        </w:rPr>
        <w:t xml:space="preserve">.  </w:t>
      </w:r>
    </w:p>
    <w:p w14:paraId="2D182182" w14:textId="77777777" w:rsidR="004C12CF" w:rsidRPr="00CA4ABC" w:rsidRDefault="004C12CF" w:rsidP="004053D7">
      <w:pPr>
        <w:spacing w:line="360" w:lineRule="auto"/>
        <w:rPr>
          <w:rFonts w:cstheme="minorHAnsi"/>
          <w:color w:val="000000" w:themeColor="text1"/>
        </w:rPr>
      </w:pPr>
    </w:p>
    <w:p w14:paraId="11CA4F99" w14:textId="1CA27F0A" w:rsidR="004C12CF" w:rsidRPr="00CA4ABC" w:rsidRDefault="004C12CF" w:rsidP="004053D7">
      <w:pPr>
        <w:spacing w:line="360" w:lineRule="auto"/>
        <w:rPr>
          <w:rFonts w:cstheme="minorHAnsi"/>
          <w:color w:val="000000" w:themeColor="text1"/>
        </w:rPr>
      </w:pPr>
      <w:r w:rsidRPr="00CA4ABC">
        <w:rPr>
          <w:rFonts w:cstheme="minorHAnsi"/>
          <w:color w:val="000000" w:themeColor="text1"/>
        </w:rPr>
        <w:lastRenderedPageBreak/>
        <w:t xml:space="preserve">It has previously been suggested that </w:t>
      </w:r>
      <w:r w:rsidR="00430A0C" w:rsidRPr="00CA4ABC">
        <w:rPr>
          <w:rFonts w:cstheme="minorHAnsi"/>
          <w:color w:val="000000" w:themeColor="text1"/>
        </w:rPr>
        <w:t>demographics</w:t>
      </w:r>
      <w:r w:rsidRPr="00CA4ABC">
        <w:rPr>
          <w:rFonts w:cstheme="minorHAnsi"/>
          <w:color w:val="000000" w:themeColor="text1"/>
        </w:rPr>
        <w:t xml:space="preserve">, including age and sex, arthrometric characteristics, and activity levels </w:t>
      </w:r>
      <w:r w:rsidR="0084711A" w:rsidRPr="00CA4ABC">
        <w:rPr>
          <w:rFonts w:cstheme="minorHAnsi"/>
          <w:color w:val="000000" w:themeColor="text1"/>
        </w:rPr>
        <w:t>contribute to</w:t>
      </w:r>
      <w:r w:rsidRPr="00CA4ABC">
        <w:rPr>
          <w:rFonts w:cstheme="minorHAnsi"/>
          <w:color w:val="000000" w:themeColor="text1"/>
        </w:rPr>
        <w:t xml:space="preserve"> sarcopenia risk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{"citationItems":[{"id":"ITEM-1","itemData":{"DOI":"10.1016/J.MATURITAS.2020.01.004","ISSN":"0378-5122","PMID":"32005425","abstract":"Introduction: The critical sociodemographic, lifestyle and diseases factors influencing sarcopenia, defined by the current European Working Group on Sarcopenia 2 (EWGSOP2) classification and cut-off points, have not yet been fully elucidated. This study aimed, therefore, to determine sociodemographic, anthropometric, lifestyle and health-related factors associated with sarcopenia using the new EWGSOP2 definition. Study design: 396,283 participants (52.8 % women, age 38–73 years) were included in this cross-sectional study. The potential factors associated with sarcopenia were allocated to four categories: sociodemographic (sex, age, education, income and professional qualification), anthropometric (nutritional status, abdominal obesity, body fat and birth weight), lifestyle (physical activity, smoking, sleeping, sitting time, TV viewing, alcohol, and dietary intakes) and health status (self-reported prevalent diseases). P-values were corrected for multiple testing using the Bonferroni method. Results: Age, women, lower education, higher deprivation, underweight, lower birth weight, and chronic diseases such as rheumatoid arthritis, chronic bronchitis and osteoporosis were associated with a higher likelihood of sarcopenia. Conversely, overweight, obesity, as well as a self-reported higher intake of energy, protein, vitamins (B12 and B9) and minerals (potassium, calcium and magnesium) were associated with lower odds of sarcopenia. Conclusion: Women, people aged over 65 years, underweight people and those with rheumatoid arthritis were most likely to have sarcopenia. Considering the increase in the ageing population, sarcopenia is likely to become more prevalent. Identifying factors associated with sarcopenia could inform future strategies for early identification of individuals at high risk of sarcopenia and therefore the implementation of preventive strategies against the disease.","author":[{"dropping-particle":"","family":"Petermann-Rocha","given":"Fanny","non-dropping-particle":"","parse-names":false,"suffix":""},{"dropping-particle":"","family":"Chen","given":"Minghao","non-dropping-particle":"","parse-names":false,"suffix":""},{"dropping-particle":"","family":"Gray","given":"Stuart R.","non-dropping-particle":"","parse-names":false,"suffix":""},{"dropping-particle":"","family":"Ho","given":"Frederick K.","non-dropping-particle":"","parse-names":false,"suffix":""},{"dropping-particle":"","family":"Pell","given":"Jill P.","non-dropping-particle":"","parse-names":false,"suffix":""},{"dropping-particle":"","family":"Celis-Morales","given":"Carlos","non-dropping-particle":"","parse-names":false,"suffix":""}],"container-title":"Maturitas","id":"ITEM-1","issued":{"date-parts":[["2020","3","1"]]},"page":"60-67","publisher":"Elsevier","title":"Factors associated with sarcopenia: A cross-sectional analysis using UK Biobank","type":"article-journal","volume":"133"},"uris":["http://www.mendeley.com/documents/?uuid=71e383bd-e0f2-3be8-adc1-d32435a338a0"]}],"mendeley":{"formattedCitation":"(111)","plainTextFormattedCitation":"(111)","previouslyFormattedCitation":"(111)"},"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(111)</w:t>
      </w:r>
      <w:r w:rsidRPr="00CA4ABC">
        <w:rPr>
          <w:rFonts w:cstheme="minorHAnsi"/>
          <w:color w:val="000000" w:themeColor="text1"/>
        </w:rPr>
        <w:fldChar w:fldCharType="end"/>
      </w:r>
      <w:r w:rsidRPr="00CA4ABC">
        <w:rPr>
          <w:rFonts w:cstheme="minorHAnsi"/>
          <w:color w:val="000000" w:themeColor="text1"/>
        </w:rPr>
        <w:t xml:space="preserve">. Similar characteristics and traits may determine protein intakes, particularly as it has been shown that factors such as </w:t>
      </w:r>
      <w:r w:rsidRPr="00CA4ABC">
        <w:rPr>
          <w:rFonts w:cstheme="minorHAnsi"/>
          <w:color w:val="000000" w:themeColor="text1"/>
          <w:shd w:val="clear" w:color="auto" w:fill="FFFFFF"/>
        </w:rPr>
        <w:t xml:space="preserve">dietary components, cultural and social pressures, cognitive-affective factors, </w:t>
      </w:r>
      <w:r w:rsidR="00092E6C">
        <w:rPr>
          <w:rFonts w:cstheme="minorHAnsi"/>
          <w:color w:val="000000" w:themeColor="text1"/>
          <w:shd w:val="clear" w:color="auto" w:fill="FFFFFF"/>
        </w:rPr>
        <w:t xml:space="preserve">and </w:t>
      </w:r>
      <w:r w:rsidRPr="00CA4ABC">
        <w:rPr>
          <w:rFonts w:cstheme="minorHAnsi"/>
          <w:color w:val="000000" w:themeColor="text1"/>
          <w:shd w:val="clear" w:color="auto" w:fill="FFFFFF"/>
        </w:rPr>
        <w:t>genetic and personality characteristics</w:t>
      </w:r>
      <w:r w:rsidRPr="00CA4ABC">
        <w:rPr>
          <w:rFonts w:cstheme="minorHAnsi"/>
          <w:color w:val="000000" w:themeColor="text1"/>
        </w:rPr>
        <w:t xml:space="preserve"> influence diet and food choices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{"citationItems":[{"id":"ITEM-1","itemData":{"DOI":"10.1017/S002966511600286X","ISSN":"0029-6651","PMID":"27903310","abstract":"Health nudge interventions to steer people into healthier lifestyles are increasingly applied by governments worldwide, and it is natural to look to such approaches to improve health by altering what people choose to eat. However, to produce policy recommendations that are likely to be effective, we need to be able to make valid predictions about the consequences of proposed interventions, and for this, we need a better understanding of the determinants of food choice. These determinants include dietary components (e.g. highly palatable foods and alcohol), but also diverse cultural and social pressures, cognitive-affective factors (perceived stress, health attitude, anxiety and depression), and familial, genetic and epigenetic influences on personality characteristics. In addition, our choices are influenced by an array of physiological mechanisms, including signals to the brain from the gastrointestinal tract and adipose tissue, which affect not only our hunger and satiety but also our motivation to eat particular nutrients, and the reward we experience from eating. Thus, to develop the evidence base necessary for effective policies, we need to build bridges across different levels of knowledge and understanding. This requires experimental models that can fill in the gaps in our understanding that are needed to inform policy, translational models that connect mechanistic understanding from laboratory studies to the real life human condition, and formal models that encapsulate scientific knowledge from diverse disciplines, and which embed understanding in a way that enables policy-relevant predictions to be made. Here we review recent developments in these areas.","author":[{"dropping-particle":"","family":"Leng","given":"Gareth","non-dropping-particle":"","parse-names":false,"suffix":""},{"dropping-particle":"","family":"Adan","given":"Roger A.H.","non-dropping-particle":"","parse-names":false,"suffix":""},{"dropping-particle":"","family":"Belot","given":"Michele","non-dropping-particle":"","parse-names":false,"suffix":""},{"dropping-particle":"","family":"Brunstrom","given":"Jeffrey M.","non-dropping-particle":"","parse-names":false,"suffix":""},{"dropping-particle":"","family":"Graaf","given":"Kees","non-dropping-particle":"De","parse-names":false,"suffix":""},{"dropping-particle":"","family":"Dickson","given":"Suzanne L.","non-dropping-particle":"","parse-names":false,"suffix":""},{"dropping-particle":"","family":"Hare","given":"Todd","non-dropping-particle":"","parse-names":false,"suffix":""},{"dropping-particle":"","family":"Maier","given":"Silvia","non-dropping-particle":"","parse-names":false,"suffix":""},{"dropping-particle":"","family":"Menzies","given":"John","non-dropping-particle":"","parse-names":false,"suffix":""},{"dropping-particle":"","family":"Preissl","given":"Hubert","non-dropping-particle":"","parse-names":false,"suffix":""},{"dropping-particle":"","family":"Reisch","given":"Lucia A.","non-dropping-particle":"","parse-names":false,"suffix":""},{"dropping-particle":"","family":"Rogers","given":"Peter J.","non-dropping-particle":"","parse-names":false,"suffix":""},{"dropping-particle":"","family":"Smeets","given":"Paul A.M.","non-dropping-particle":"","parse-names":false,"suffix":""}],"container-title":"Proceedings of the Nutrition Society","id":"ITEM-1","issue":"3","issued":{"date-parts":[["2017","8","1"]]},"page":"316-327","publisher":"Cambridge University Press","title":"The determinants of food choice","type":"article-journal","volume":"76"},"uris":["http://www.mendeley.com/documents/?uuid=a8d64c16-4459-3dd4-bbb1-651873c5d8dd"]}],"mendeley":{"formattedCitation":"(228)","plainTextFormattedCitation":"(228)","previouslyFormattedCitation":"(228)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(228)</w:t>
      </w:r>
      <w:r w:rsidRPr="00CA4ABC">
        <w:rPr>
          <w:rFonts w:cstheme="minorHAnsi"/>
          <w:color w:val="000000" w:themeColor="text1"/>
        </w:rPr>
        <w:fldChar w:fldCharType="end"/>
      </w:r>
      <w:r w:rsidRPr="00CA4ABC">
        <w:rPr>
          <w:rFonts w:cstheme="minorHAnsi"/>
          <w:color w:val="000000" w:themeColor="text1"/>
        </w:rPr>
        <w:t>.</w:t>
      </w:r>
    </w:p>
    <w:p w14:paraId="195C4C1E" w14:textId="77777777" w:rsidR="004C12CF" w:rsidRPr="00CA4ABC" w:rsidRDefault="004C12CF" w:rsidP="004053D7">
      <w:pPr>
        <w:spacing w:line="360" w:lineRule="auto"/>
        <w:rPr>
          <w:rFonts w:cstheme="minorHAnsi"/>
          <w:color w:val="000000" w:themeColor="text1"/>
        </w:rPr>
      </w:pPr>
    </w:p>
    <w:p w14:paraId="426AC73E" w14:textId="5A511C13" w:rsidR="004C12CF" w:rsidRPr="00CA4ABC" w:rsidRDefault="00092E6C" w:rsidP="004053D7">
      <w:pPr>
        <w:spacing w:line="360" w:lineRule="auto"/>
        <w:rPr>
          <w:rFonts w:cstheme="minorHAnsi"/>
          <w:color w:val="000000" w:themeColor="text1"/>
        </w:rPr>
      </w:pPr>
      <w:r>
        <w:rPr>
          <w:rFonts w:cstheme="minorHAnsi"/>
          <w:color w:val="000000" w:themeColor="text1"/>
        </w:rPr>
        <w:t>This chapter aims</w:t>
      </w:r>
      <w:r w:rsidR="004C12CF" w:rsidRPr="00CA4ABC">
        <w:rPr>
          <w:rFonts w:cstheme="minorHAnsi"/>
          <w:color w:val="000000" w:themeColor="text1"/>
        </w:rPr>
        <w:t xml:space="preserve"> to determine if there is a relationship between protein knowledge and other key determinants </w:t>
      </w:r>
      <w:r w:rsidR="00C62E70" w:rsidRPr="00CA4ABC">
        <w:rPr>
          <w:rFonts w:cstheme="minorHAnsi"/>
          <w:color w:val="000000" w:themeColor="text1"/>
        </w:rPr>
        <w:t>o</w:t>
      </w:r>
      <w:r w:rsidR="00430A0C" w:rsidRPr="00CA4ABC">
        <w:rPr>
          <w:rFonts w:cstheme="minorHAnsi"/>
          <w:color w:val="000000" w:themeColor="text1"/>
        </w:rPr>
        <w:t>n</w:t>
      </w:r>
      <w:r w:rsidR="004C12CF" w:rsidRPr="00CA4ABC">
        <w:rPr>
          <w:rFonts w:cstheme="minorHAnsi"/>
          <w:color w:val="000000" w:themeColor="text1"/>
        </w:rPr>
        <w:t xml:space="preserve"> habitual protein intakes in UK adults aged 18 years or older. </w:t>
      </w:r>
      <w:r w:rsidR="00430A0C" w:rsidRPr="00CA4ABC">
        <w:rPr>
          <w:rFonts w:cstheme="minorHAnsi"/>
          <w:color w:val="000000"/>
        </w:rPr>
        <w:t>Protein</w:t>
      </w:r>
      <w:r w:rsidR="005D5E75" w:rsidRPr="00CA4ABC">
        <w:rPr>
          <w:rFonts w:cstheme="minorHAnsi"/>
          <w:color w:val="000000"/>
        </w:rPr>
        <w:t xml:space="preserve"> knowledge was measured via an online questionnaire</w:t>
      </w:r>
      <w:r w:rsidR="00430A0C" w:rsidRPr="00CA4ABC">
        <w:rPr>
          <w:rFonts w:cstheme="minorHAnsi"/>
          <w:color w:val="000000"/>
        </w:rPr>
        <w:t>,</w:t>
      </w:r>
      <w:r w:rsidR="005D5E75" w:rsidRPr="00CA4ABC">
        <w:rPr>
          <w:rFonts w:cstheme="minorHAnsi"/>
          <w:color w:val="000000"/>
        </w:rPr>
        <w:t xml:space="preserve"> developed by the research team</w:t>
      </w:r>
      <w:r w:rsidR="004C12CF" w:rsidRPr="00CA4ABC">
        <w:rPr>
          <w:rFonts w:cstheme="minorHAnsi"/>
          <w:color w:val="000000" w:themeColor="text1"/>
        </w:rPr>
        <w:t>. Questions were linked to protein intake dietary guidelines, the importance of protein for health and food-based protein sources. Protein intake was assessed using a 24-hour recall protocol</w:t>
      </w:r>
      <w:r w:rsidR="002C2814" w:rsidRPr="00CA4ABC">
        <w:rPr>
          <w:rFonts w:cstheme="minorHAnsi"/>
          <w:color w:val="000000" w:themeColor="text1"/>
        </w:rPr>
        <w:t>. Demographic information about respondents w</w:t>
      </w:r>
      <w:r w:rsidR="00C62E70" w:rsidRPr="00CA4ABC">
        <w:rPr>
          <w:rFonts w:cstheme="minorHAnsi"/>
          <w:color w:val="000000" w:themeColor="text1"/>
        </w:rPr>
        <w:t>as</w:t>
      </w:r>
      <w:r w:rsidR="002C2814" w:rsidRPr="00CA4ABC">
        <w:rPr>
          <w:rFonts w:cstheme="minorHAnsi"/>
          <w:color w:val="000000" w:themeColor="text1"/>
        </w:rPr>
        <w:t xml:space="preserve"> also collected. </w:t>
      </w:r>
      <w:r w:rsidR="004C12CF" w:rsidRPr="00CA4ABC">
        <w:rPr>
          <w:rFonts w:cstheme="minorHAnsi"/>
          <w:color w:val="000000" w:themeColor="text1"/>
        </w:rPr>
        <w:t xml:space="preserve"> </w:t>
      </w:r>
    </w:p>
    <w:p w14:paraId="170939F9" w14:textId="77777777" w:rsidR="002C2814" w:rsidRPr="00CA4ABC" w:rsidRDefault="002C2814" w:rsidP="004053D7">
      <w:pPr>
        <w:spacing w:line="360" w:lineRule="auto"/>
        <w:rPr>
          <w:rFonts w:cstheme="minorHAnsi"/>
          <w:color w:val="000000" w:themeColor="text1"/>
        </w:rPr>
      </w:pPr>
    </w:p>
    <w:p w14:paraId="5F89D4F0" w14:textId="18B07467" w:rsidR="004E22F7" w:rsidRPr="00CA4ABC" w:rsidRDefault="004E22F7" w:rsidP="002C2814">
      <w:pPr>
        <w:pStyle w:val="Heading2"/>
        <w:rPr>
          <w:rFonts w:asciiTheme="minorHAnsi" w:hAnsiTheme="minorHAnsi" w:cstheme="minorHAnsi"/>
          <w:color w:val="000000" w:themeColor="text1"/>
        </w:rPr>
      </w:pPr>
      <w:bookmarkStart w:id="153" w:name="_Toc135384307"/>
      <w:r w:rsidRPr="00CA4ABC">
        <w:rPr>
          <w:rFonts w:asciiTheme="minorHAnsi" w:hAnsiTheme="minorHAnsi" w:cstheme="minorHAnsi"/>
          <w:color w:val="000000" w:themeColor="text1"/>
        </w:rPr>
        <w:t>4.1.1 Aims, hypothesis and objectives:</w:t>
      </w:r>
      <w:bookmarkEnd w:id="153"/>
    </w:p>
    <w:p w14:paraId="156A6267" w14:textId="17F080CE" w:rsidR="004C12CF" w:rsidRPr="00CA4ABC" w:rsidRDefault="004C12CF" w:rsidP="004053D7">
      <w:pPr>
        <w:pStyle w:val="Heading3"/>
        <w:spacing w:line="360" w:lineRule="auto"/>
        <w:rPr>
          <w:rFonts w:asciiTheme="minorHAnsi" w:hAnsiTheme="minorHAnsi" w:cstheme="minorHAnsi"/>
          <w:color w:val="000000" w:themeColor="text1"/>
        </w:rPr>
      </w:pPr>
      <w:bookmarkStart w:id="154" w:name="_Toc135384308"/>
      <w:r w:rsidRPr="00CA4ABC">
        <w:rPr>
          <w:rFonts w:asciiTheme="minorHAnsi" w:hAnsiTheme="minorHAnsi" w:cstheme="minorHAnsi"/>
          <w:color w:val="000000" w:themeColor="text1"/>
        </w:rPr>
        <w:t>4.1.1</w:t>
      </w:r>
      <w:r w:rsidR="004E22F7" w:rsidRPr="00CA4ABC">
        <w:rPr>
          <w:rFonts w:asciiTheme="minorHAnsi" w:hAnsiTheme="minorHAnsi" w:cstheme="minorHAnsi"/>
          <w:color w:val="000000" w:themeColor="text1"/>
        </w:rPr>
        <w:t>.1</w:t>
      </w:r>
      <w:r w:rsidRPr="00CA4ABC">
        <w:rPr>
          <w:rFonts w:asciiTheme="minorHAnsi" w:hAnsiTheme="minorHAnsi" w:cstheme="minorHAnsi"/>
          <w:color w:val="000000" w:themeColor="text1"/>
        </w:rPr>
        <w:t xml:space="preserve"> Aim</w:t>
      </w:r>
      <w:r w:rsidR="002C2814" w:rsidRPr="00CA4ABC">
        <w:rPr>
          <w:rFonts w:asciiTheme="minorHAnsi" w:hAnsiTheme="minorHAnsi" w:cstheme="minorHAnsi"/>
          <w:color w:val="000000" w:themeColor="text1"/>
        </w:rPr>
        <w:t>:</w:t>
      </w:r>
      <w:bookmarkEnd w:id="154"/>
    </w:p>
    <w:p w14:paraId="5356DD56" w14:textId="5EC7E198" w:rsidR="004C12CF" w:rsidRPr="00CA4ABC" w:rsidRDefault="004C12CF" w:rsidP="002C2814">
      <w:pPr>
        <w:spacing w:line="360" w:lineRule="auto"/>
        <w:ind w:firstLine="720"/>
        <w:rPr>
          <w:rFonts w:cstheme="minorHAnsi"/>
          <w:color w:val="000000" w:themeColor="text1"/>
        </w:rPr>
      </w:pPr>
      <w:r w:rsidRPr="00CA4ABC">
        <w:rPr>
          <w:rFonts w:cstheme="minorHAnsi"/>
          <w:color w:val="000000" w:themeColor="text1"/>
        </w:rPr>
        <w:t xml:space="preserve">To explore factors </w:t>
      </w:r>
      <w:r w:rsidR="006E48ED" w:rsidRPr="00CA4ABC">
        <w:rPr>
          <w:rFonts w:cstheme="minorHAnsi"/>
          <w:color w:val="000000" w:themeColor="text1"/>
        </w:rPr>
        <w:t xml:space="preserve">associated with </w:t>
      </w:r>
      <w:r w:rsidRPr="00CA4ABC">
        <w:rPr>
          <w:rFonts w:cstheme="minorHAnsi"/>
          <w:color w:val="000000" w:themeColor="text1"/>
        </w:rPr>
        <w:t>protein intake in a UK adult population, including dietary habits and protein knowledge</w:t>
      </w:r>
      <w:r w:rsidR="00C62E70" w:rsidRPr="00CA4ABC">
        <w:rPr>
          <w:rFonts w:cstheme="minorHAnsi"/>
          <w:color w:val="000000" w:themeColor="text1"/>
        </w:rPr>
        <w:t>,</w:t>
      </w:r>
      <w:r w:rsidR="006E48ED" w:rsidRPr="00CA4ABC">
        <w:rPr>
          <w:rFonts w:cstheme="minorHAnsi"/>
          <w:color w:val="000000" w:themeColor="text1"/>
        </w:rPr>
        <w:t xml:space="preserve"> and t</w:t>
      </w:r>
      <w:r w:rsidR="00DE380A" w:rsidRPr="00CA4ABC">
        <w:rPr>
          <w:rFonts w:cstheme="minorHAnsi"/>
          <w:color w:val="000000" w:themeColor="text1"/>
        </w:rPr>
        <w:t>hereby</w:t>
      </w:r>
      <w:r w:rsidR="006E48ED" w:rsidRPr="00CA4ABC">
        <w:rPr>
          <w:rFonts w:cstheme="minorHAnsi"/>
          <w:color w:val="000000" w:themeColor="text1"/>
        </w:rPr>
        <w:t xml:space="preserve"> identify groups that may benefit the most from intervention. </w:t>
      </w:r>
    </w:p>
    <w:p w14:paraId="4047FDA7" w14:textId="53A26906" w:rsidR="004E22F7" w:rsidRPr="00CA4ABC" w:rsidRDefault="004E22F7" w:rsidP="002C2814">
      <w:pPr>
        <w:pStyle w:val="Heading3"/>
        <w:rPr>
          <w:rFonts w:asciiTheme="minorHAnsi" w:hAnsiTheme="minorHAnsi" w:cstheme="minorHAnsi"/>
          <w:color w:val="000000" w:themeColor="text1"/>
        </w:rPr>
      </w:pPr>
      <w:bookmarkStart w:id="155" w:name="_Toc135384309"/>
      <w:r w:rsidRPr="00CA4ABC">
        <w:rPr>
          <w:rFonts w:asciiTheme="minorHAnsi" w:hAnsiTheme="minorHAnsi" w:cstheme="minorHAnsi"/>
          <w:color w:val="000000" w:themeColor="text1"/>
        </w:rPr>
        <w:t>4.1.1.2 Hypothesis:</w:t>
      </w:r>
      <w:bookmarkEnd w:id="155"/>
    </w:p>
    <w:p w14:paraId="467619CA" w14:textId="12EEE968" w:rsidR="004C12CF" w:rsidRPr="00CA4ABC" w:rsidRDefault="004E22F7" w:rsidP="002C2814">
      <w:pPr>
        <w:spacing w:line="360" w:lineRule="auto"/>
        <w:ind w:firstLine="720"/>
        <w:rPr>
          <w:rFonts w:cstheme="minorHAnsi"/>
          <w:color w:val="000000" w:themeColor="text1"/>
        </w:rPr>
      </w:pPr>
      <w:r w:rsidRPr="00CA4ABC">
        <w:rPr>
          <w:rFonts w:cstheme="minorHAnsi"/>
          <w:color w:val="000000" w:themeColor="text1"/>
        </w:rPr>
        <w:t xml:space="preserve">It is hypothesised that individuals </w:t>
      </w:r>
      <w:r w:rsidR="00092E6C">
        <w:rPr>
          <w:rFonts w:cstheme="minorHAnsi"/>
          <w:color w:val="000000" w:themeColor="text1"/>
        </w:rPr>
        <w:t>with low protein knowledge</w:t>
      </w:r>
      <w:r w:rsidRPr="00CA4ABC">
        <w:rPr>
          <w:rFonts w:cstheme="minorHAnsi"/>
          <w:color w:val="000000" w:themeColor="text1"/>
        </w:rPr>
        <w:t xml:space="preserve"> (as indicated by their score on the protein knowledge questionnaire) will </w:t>
      </w:r>
      <w:r w:rsidR="00DE380A" w:rsidRPr="00CA4ABC">
        <w:rPr>
          <w:rFonts w:cstheme="minorHAnsi"/>
          <w:color w:val="000000" w:themeColor="text1"/>
        </w:rPr>
        <w:t xml:space="preserve">have </w:t>
      </w:r>
      <w:r w:rsidR="00C62E70" w:rsidRPr="00CA4ABC">
        <w:rPr>
          <w:rFonts w:cstheme="minorHAnsi"/>
          <w:color w:val="000000" w:themeColor="text1"/>
        </w:rPr>
        <w:t xml:space="preserve">a </w:t>
      </w:r>
      <w:r w:rsidR="00DE380A" w:rsidRPr="00CA4ABC">
        <w:rPr>
          <w:rFonts w:cstheme="minorHAnsi"/>
          <w:color w:val="000000" w:themeColor="text1"/>
        </w:rPr>
        <w:t xml:space="preserve">low dietary </w:t>
      </w:r>
      <w:r w:rsidR="00C62E70" w:rsidRPr="00CA4ABC">
        <w:rPr>
          <w:rFonts w:cstheme="minorHAnsi"/>
          <w:color w:val="000000" w:themeColor="text1"/>
        </w:rPr>
        <w:t>intake.</w:t>
      </w:r>
    </w:p>
    <w:p w14:paraId="3BC8234A" w14:textId="1EAAAD4D" w:rsidR="004C12CF" w:rsidRPr="00CA4ABC" w:rsidRDefault="004C12CF">
      <w:pPr>
        <w:pStyle w:val="ListParagraph"/>
        <w:numPr>
          <w:ilvl w:val="3"/>
          <w:numId w:val="32"/>
        </w:numPr>
        <w:spacing w:line="360" w:lineRule="auto"/>
        <w:outlineLvl w:val="2"/>
        <w:rPr>
          <w:rFonts w:cstheme="minorHAnsi"/>
          <w:color w:val="000000" w:themeColor="text1"/>
        </w:rPr>
      </w:pPr>
      <w:bookmarkStart w:id="156" w:name="_Toc135384310"/>
      <w:r w:rsidRPr="00CA4ABC">
        <w:rPr>
          <w:rFonts w:cstheme="minorHAnsi"/>
          <w:color w:val="000000" w:themeColor="text1"/>
        </w:rPr>
        <w:t>Objectives</w:t>
      </w:r>
      <w:r w:rsidR="002C2814" w:rsidRPr="00CA4ABC">
        <w:rPr>
          <w:rFonts w:cstheme="minorHAnsi"/>
          <w:color w:val="000000" w:themeColor="text1"/>
        </w:rPr>
        <w:t>:</w:t>
      </w:r>
      <w:bookmarkEnd w:id="156"/>
    </w:p>
    <w:p w14:paraId="07FE9D9C" w14:textId="352661A8" w:rsidR="004C12CF" w:rsidRPr="00CA4ABC" w:rsidRDefault="004C12CF">
      <w:pPr>
        <w:pStyle w:val="ListParagraph"/>
        <w:numPr>
          <w:ilvl w:val="0"/>
          <w:numId w:val="7"/>
        </w:numPr>
        <w:spacing w:line="360" w:lineRule="auto"/>
        <w:rPr>
          <w:rFonts w:cstheme="minorHAnsi"/>
          <w:color w:val="000000" w:themeColor="text1"/>
        </w:rPr>
      </w:pPr>
      <w:r w:rsidRPr="00CA4ABC">
        <w:rPr>
          <w:rFonts w:cstheme="minorHAnsi"/>
          <w:color w:val="000000" w:themeColor="text1"/>
        </w:rPr>
        <w:t>To collect 24-hour recall dietary intake information</w:t>
      </w:r>
      <w:r w:rsidR="00DE380A" w:rsidRPr="00CA4ABC">
        <w:rPr>
          <w:rFonts w:cstheme="minorHAnsi"/>
          <w:color w:val="000000" w:themeColor="text1"/>
        </w:rPr>
        <w:t xml:space="preserve"> from adults in the UK.</w:t>
      </w:r>
    </w:p>
    <w:p w14:paraId="4DF12756" w14:textId="77777777" w:rsidR="004C12CF" w:rsidRPr="00CA4ABC" w:rsidRDefault="004C12CF">
      <w:pPr>
        <w:pStyle w:val="ListParagraph"/>
        <w:numPr>
          <w:ilvl w:val="0"/>
          <w:numId w:val="7"/>
        </w:numPr>
        <w:spacing w:line="360" w:lineRule="auto"/>
        <w:rPr>
          <w:rFonts w:cstheme="minorHAnsi"/>
          <w:color w:val="000000" w:themeColor="text1"/>
        </w:rPr>
      </w:pPr>
      <w:r w:rsidRPr="00CA4ABC">
        <w:rPr>
          <w:rFonts w:cstheme="minorHAnsi"/>
          <w:color w:val="000000" w:themeColor="text1"/>
        </w:rPr>
        <w:t>To determine protein intake data based on 24-hour dietary recalls</w:t>
      </w:r>
    </w:p>
    <w:p w14:paraId="377EFAE4" w14:textId="36A558E2" w:rsidR="004C12CF" w:rsidRPr="00CA4ABC" w:rsidRDefault="004C12CF">
      <w:pPr>
        <w:pStyle w:val="ListParagraph"/>
        <w:numPr>
          <w:ilvl w:val="0"/>
          <w:numId w:val="7"/>
        </w:numPr>
        <w:spacing w:line="360" w:lineRule="auto"/>
        <w:rPr>
          <w:rFonts w:cstheme="minorHAnsi"/>
          <w:color w:val="000000" w:themeColor="text1"/>
        </w:rPr>
      </w:pPr>
      <w:r w:rsidRPr="00CA4ABC">
        <w:rPr>
          <w:rFonts w:cstheme="minorHAnsi"/>
          <w:color w:val="000000" w:themeColor="text1"/>
        </w:rPr>
        <w:t xml:space="preserve">To </w:t>
      </w:r>
      <w:r w:rsidR="001F4177" w:rsidRPr="00CA4ABC">
        <w:rPr>
          <w:rFonts w:cstheme="minorHAnsi"/>
          <w:color w:val="000000" w:themeColor="text1"/>
        </w:rPr>
        <w:t>assess</w:t>
      </w:r>
      <w:r w:rsidRPr="00CA4ABC">
        <w:rPr>
          <w:rFonts w:cstheme="minorHAnsi"/>
          <w:color w:val="000000" w:themeColor="text1"/>
        </w:rPr>
        <w:t xml:space="preserve"> protein knowledge</w:t>
      </w:r>
      <w:r w:rsidR="001F4177" w:rsidRPr="00CA4ABC">
        <w:rPr>
          <w:rFonts w:cstheme="minorHAnsi"/>
          <w:color w:val="000000" w:themeColor="text1"/>
        </w:rPr>
        <w:t xml:space="preserve"> using</w:t>
      </w:r>
      <w:r w:rsidRPr="00CA4ABC">
        <w:rPr>
          <w:rFonts w:cstheme="minorHAnsi"/>
          <w:color w:val="000000" w:themeColor="text1"/>
        </w:rPr>
        <w:t xml:space="preserve"> survey</w:t>
      </w:r>
      <w:r w:rsidR="001F4177" w:rsidRPr="00CA4ABC">
        <w:rPr>
          <w:rFonts w:cstheme="minorHAnsi"/>
          <w:color w:val="000000" w:themeColor="text1"/>
        </w:rPr>
        <w:t xml:space="preserve"> methodology</w:t>
      </w:r>
      <w:r w:rsidRPr="00CA4ABC">
        <w:rPr>
          <w:rFonts w:cstheme="minorHAnsi"/>
          <w:color w:val="000000" w:themeColor="text1"/>
        </w:rPr>
        <w:t>.</w:t>
      </w:r>
    </w:p>
    <w:p w14:paraId="1D6BBED8" w14:textId="77777777" w:rsidR="004C12CF" w:rsidRPr="00CA4ABC" w:rsidRDefault="004C12CF">
      <w:pPr>
        <w:pStyle w:val="ListParagraph"/>
        <w:numPr>
          <w:ilvl w:val="0"/>
          <w:numId w:val="7"/>
        </w:numPr>
        <w:spacing w:line="360" w:lineRule="auto"/>
        <w:rPr>
          <w:rFonts w:cstheme="minorHAnsi"/>
          <w:color w:val="000000" w:themeColor="text1"/>
        </w:rPr>
      </w:pPr>
      <w:r w:rsidRPr="00CA4ABC">
        <w:rPr>
          <w:rFonts w:cstheme="minorHAnsi"/>
          <w:color w:val="000000" w:themeColor="text1"/>
        </w:rPr>
        <w:t>To explore if there is a relationship between protein intakes and protein knowledge scores</w:t>
      </w:r>
    </w:p>
    <w:p w14:paraId="498518EB" w14:textId="77777777" w:rsidR="004C12CF" w:rsidRPr="00CA4ABC" w:rsidRDefault="004C12CF">
      <w:pPr>
        <w:pStyle w:val="ListParagraph"/>
        <w:numPr>
          <w:ilvl w:val="0"/>
          <w:numId w:val="7"/>
        </w:numPr>
        <w:spacing w:line="360" w:lineRule="auto"/>
        <w:rPr>
          <w:rFonts w:cstheme="minorHAnsi"/>
          <w:color w:val="000000" w:themeColor="text1"/>
        </w:rPr>
      </w:pPr>
      <w:r w:rsidRPr="00CA4ABC">
        <w:rPr>
          <w:rFonts w:cstheme="minorHAnsi"/>
          <w:color w:val="000000" w:themeColor="text1"/>
        </w:rPr>
        <w:t>To explore if there are other factors which may influence protein intakes.</w:t>
      </w:r>
    </w:p>
    <w:p w14:paraId="1219CEE8" w14:textId="4CFB52C9" w:rsidR="004C12CF" w:rsidRDefault="004C12CF" w:rsidP="004053D7">
      <w:pPr>
        <w:spacing w:line="360" w:lineRule="auto"/>
        <w:rPr>
          <w:rFonts w:cstheme="minorHAnsi"/>
          <w:color w:val="000000" w:themeColor="text1"/>
        </w:rPr>
      </w:pPr>
    </w:p>
    <w:p w14:paraId="60A3BAC4" w14:textId="77777777" w:rsidR="00F42CB9" w:rsidRPr="00CA4ABC" w:rsidRDefault="00F42CB9" w:rsidP="004053D7">
      <w:pPr>
        <w:spacing w:line="360" w:lineRule="auto"/>
        <w:rPr>
          <w:rFonts w:cstheme="minorHAnsi"/>
          <w:color w:val="000000" w:themeColor="text1"/>
        </w:rPr>
      </w:pPr>
    </w:p>
    <w:p w14:paraId="03236477" w14:textId="5BE4DFB9" w:rsidR="004C12CF" w:rsidRPr="00CA4ABC" w:rsidRDefault="004C12CF" w:rsidP="004053D7">
      <w:pPr>
        <w:pStyle w:val="Heading2"/>
        <w:spacing w:line="360" w:lineRule="auto"/>
        <w:rPr>
          <w:rFonts w:asciiTheme="minorHAnsi" w:hAnsiTheme="minorHAnsi" w:cstheme="minorHAnsi"/>
          <w:b/>
          <w:bCs/>
          <w:color w:val="000000" w:themeColor="text1"/>
          <w:sz w:val="24"/>
          <w:szCs w:val="24"/>
        </w:rPr>
      </w:pPr>
      <w:bookmarkStart w:id="157" w:name="_Toc135384311"/>
      <w:r w:rsidRPr="00CA4ABC">
        <w:rPr>
          <w:rFonts w:asciiTheme="minorHAnsi" w:hAnsiTheme="minorHAnsi" w:cstheme="minorHAnsi"/>
          <w:b/>
          <w:bCs/>
          <w:color w:val="000000" w:themeColor="text1"/>
        </w:rPr>
        <w:lastRenderedPageBreak/>
        <w:t xml:space="preserve">4.2 </w:t>
      </w:r>
      <w:r w:rsidRPr="00CA4ABC">
        <w:rPr>
          <w:rFonts w:asciiTheme="minorHAnsi" w:hAnsiTheme="minorHAnsi" w:cstheme="minorHAnsi"/>
          <w:b/>
          <w:bCs/>
          <w:color w:val="000000" w:themeColor="text1"/>
          <w:sz w:val="24"/>
          <w:szCs w:val="24"/>
        </w:rPr>
        <w:t>Methods</w:t>
      </w:r>
      <w:bookmarkEnd w:id="157"/>
    </w:p>
    <w:p w14:paraId="10D654E9" w14:textId="390244A3" w:rsidR="004C12CF" w:rsidRPr="00CA4ABC" w:rsidRDefault="004C12CF" w:rsidP="00397E6C">
      <w:pPr>
        <w:spacing w:line="360" w:lineRule="auto"/>
        <w:ind w:firstLine="720"/>
        <w:rPr>
          <w:rFonts w:cstheme="minorHAnsi"/>
          <w:color w:val="000000" w:themeColor="text1"/>
        </w:rPr>
      </w:pPr>
      <w:r w:rsidRPr="00CA4ABC">
        <w:rPr>
          <w:rFonts w:cstheme="minorHAnsi"/>
          <w:color w:val="000000" w:themeColor="text1"/>
        </w:rPr>
        <w:t xml:space="preserve">The methods </w:t>
      </w:r>
      <w:r w:rsidR="001F4177" w:rsidRPr="00CA4ABC">
        <w:rPr>
          <w:rFonts w:cstheme="minorHAnsi"/>
          <w:color w:val="000000" w:themeColor="text1"/>
        </w:rPr>
        <w:t xml:space="preserve">and statistical analysis </w:t>
      </w:r>
      <w:r w:rsidR="00397E6C" w:rsidRPr="00CA4ABC">
        <w:rPr>
          <w:rFonts w:cstheme="minorHAnsi"/>
          <w:color w:val="000000" w:themeColor="text1"/>
        </w:rPr>
        <w:t xml:space="preserve">procedures </w:t>
      </w:r>
      <w:r w:rsidRPr="00CA4ABC">
        <w:rPr>
          <w:rFonts w:cstheme="minorHAnsi"/>
          <w:color w:val="000000" w:themeColor="text1"/>
        </w:rPr>
        <w:t>for this chapter have been outlined in Chapter 3 (SheffProUK)</w:t>
      </w:r>
      <w:r w:rsidR="00397E6C" w:rsidRPr="00CA4ABC">
        <w:rPr>
          <w:rFonts w:cstheme="minorHAnsi"/>
          <w:color w:val="000000" w:themeColor="text1"/>
        </w:rPr>
        <w:t>. Factors considered in relation to protein intakes included: protein knowledge scores, gender, age, BMI, physical activity levels (PAL) and meat</w:t>
      </w:r>
      <w:r w:rsidR="005D367E" w:rsidRPr="00CA4ABC">
        <w:rPr>
          <w:rFonts w:cstheme="minorHAnsi"/>
          <w:color w:val="000000" w:themeColor="text1"/>
        </w:rPr>
        <w:t>-</w:t>
      </w:r>
      <w:r w:rsidR="00397E6C" w:rsidRPr="00CA4ABC">
        <w:rPr>
          <w:rFonts w:cstheme="minorHAnsi"/>
          <w:color w:val="000000" w:themeColor="text1"/>
        </w:rPr>
        <w:t xml:space="preserve">eating habits. </w:t>
      </w:r>
      <w:r w:rsidRPr="00CA4ABC">
        <w:rPr>
          <w:rFonts w:cstheme="minorHAnsi"/>
          <w:color w:val="000000" w:themeColor="text1"/>
        </w:rPr>
        <w:t>The final protein knowledge questions, including sub-parts, are available in appendix 2 (SheffProUK, part-3)</w:t>
      </w:r>
      <w:r w:rsidR="00397E6C" w:rsidRPr="00CA4ABC">
        <w:rPr>
          <w:rFonts w:cstheme="minorHAnsi"/>
          <w:color w:val="000000" w:themeColor="text1"/>
        </w:rPr>
        <w:t>.</w:t>
      </w:r>
      <w:r w:rsidRPr="00CA4ABC">
        <w:rPr>
          <w:rFonts w:cstheme="minorHAnsi"/>
          <w:color w:val="000000" w:themeColor="text1"/>
        </w:rPr>
        <w:t xml:space="preserve"> </w:t>
      </w:r>
    </w:p>
    <w:p w14:paraId="0984190F" w14:textId="77777777" w:rsidR="004C12CF" w:rsidRPr="00CA4ABC" w:rsidRDefault="004C12CF" w:rsidP="004053D7">
      <w:pPr>
        <w:spacing w:line="360" w:lineRule="auto"/>
        <w:rPr>
          <w:rFonts w:cstheme="minorHAnsi"/>
          <w:color w:val="000000" w:themeColor="text1"/>
        </w:rPr>
      </w:pPr>
    </w:p>
    <w:p w14:paraId="4C9D2D71" w14:textId="6FFF274E" w:rsidR="004C12CF" w:rsidRPr="00CA4ABC" w:rsidRDefault="004C12CF" w:rsidP="00E8340C">
      <w:pPr>
        <w:pStyle w:val="Heading2"/>
        <w:spacing w:line="360" w:lineRule="auto"/>
        <w:rPr>
          <w:rFonts w:asciiTheme="minorHAnsi" w:hAnsiTheme="minorHAnsi" w:cstheme="minorHAnsi"/>
          <w:b/>
          <w:bCs/>
          <w:color w:val="000000" w:themeColor="text1"/>
          <w:sz w:val="24"/>
          <w:szCs w:val="24"/>
        </w:rPr>
      </w:pPr>
      <w:bookmarkStart w:id="158" w:name="_Toc135384312"/>
      <w:r w:rsidRPr="00CA4ABC">
        <w:rPr>
          <w:rFonts w:asciiTheme="minorHAnsi" w:hAnsiTheme="minorHAnsi" w:cstheme="minorHAnsi"/>
          <w:b/>
          <w:bCs/>
          <w:color w:val="000000" w:themeColor="text1"/>
        </w:rPr>
        <w:t xml:space="preserve">4.3 </w:t>
      </w:r>
      <w:r w:rsidRPr="00CA4ABC">
        <w:rPr>
          <w:rFonts w:asciiTheme="minorHAnsi" w:hAnsiTheme="minorHAnsi" w:cstheme="minorHAnsi"/>
          <w:b/>
          <w:bCs/>
          <w:color w:val="000000" w:themeColor="text1"/>
          <w:sz w:val="24"/>
          <w:szCs w:val="24"/>
        </w:rPr>
        <w:t>Results</w:t>
      </w:r>
      <w:bookmarkEnd w:id="158"/>
    </w:p>
    <w:p w14:paraId="2848D75C" w14:textId="2162E504" w:rsidR="004C12CF" w:rsidRPr="00CA4ABC" w:rsidRDefault="004C12CF" w:rsidP="00E8340C">
      <w:pPr>
        <w:pStyle w:val="Heading3"/>
        <w:spacing w:line="360" w:lineRule="auto"/>
        <w:rPr>
          <w:rFonts w:asciiTheme="minorHAnsi" w:hAnsiTheme="minorHAnsi" w:cstheme="minorHAnsi"/>
          <w:color w:val="000000" w:themeColor="text1"/>
        </w:rPr>
      </w:pPr>
      <w:bookmarkStart w:id="159" w:name="_Toc135384313"/>
      <w:r w:rsidRPr="00CA4ABC">
        <w:rPr>
          <w:rFonts w:asciiTheme="minorHAnsi" w:hAnsiTheme="minorHAnsi" w:cstheme="minorHAnsi"/>
          <w:color w:val="000000" w:themeColor="text1"/>
        </w:rPr>
        <w:t>4.3.1 Participant characteristics</w:t>
      </w:r>
      <w:bookmarkEnd w:id="159"/>
    </w:p>
    <w:p w14:paraId="7465CF40" w14:textId="23D34FF1" w:rsidR="004C12CF" w:rsidRPr="00CA4ABC" w:rsidRDefault="004C12CF" w:rsidP="00DE380A">
      <w:pPr>
        <w:spacing w:line="360" w:lineRule="auto"/>
        <w:ind w:firstLine="720"/>
        <w:rPr>
          <w:rFonts w:cstheme="minorHAnsi"/>
          <w:color w:val="000000" w:themeColor="text1"/>
        </w:rPr>
      </w:pPr>
      <w:r w:rsidRPr="00CA4ABC">
        <w:rPr>
          <w:rFonts w:cstheme="minorHAnsi"/>
          <w:color w:val="000000" w:themeColor="text1"/>
        </w:rPr>
        <w:t>355</w:t>
      </w:r>
      <w:r w:rsidR="00AB59A1" w:rsidRPr="00CA4ABC">
        <w:rPr>
          <w:rFonts w:cstheme="minorHAnsi"/>
          <w:color w:val="000000" w:themeColor="text1"/>
        </w:rPr>
        <w:t xml:space="preserve"> participants</w:t>
      </w:r>
      <w:r w:rsidRPr="00CA4ABC">
        <w:rPr>
          <w:rFonts w:cstheme="minorHAnsi"/>
          <w:color w:val="000000" w:themeColor="text1"/>
        </w:rPr>
        <w:t xml:space="preserve"> responded to part three of the online survey (protein knowledge questionnaire). In total, 306 were included in the analysis. Removal of participants </w:t>
      </w:r>
      <w:r w:rsidR="00092E6C">
        <w:rPr>
          <w:rFonts w:cstheme="minorHAnsi"/>
          <w:color w:val="000000" w:themeColor="text1"/>
        </w:rPr>
        <w:t>was</w:t>
      </w:r>
      <w:r w:rsidR="006815C0" w:rsidRPr="00CA4ABC">
        <w:rPr>
          <w:rFonts w:cstheme="minorHAnsi"/>
          <w:color w:val="000000" w:themeColor="text1"/>
        </w:rPr>
        <w:t xml:space="preserve"> due to:</w:t>
      </w:r>
      <w:r w:rsidRPr="00CA4ABC">
        <w:rPr>
          <w:rFonts w:cstheme="minorHAnsi"/>
          <w:color w:val="000000" w:themeColor="text1"/>
        </w:rPr>
        <w:t xml:space="preserve"> completed the pilot study, reported age as less than 18 (n=1), incomplete data (n=29) </w:t>
      </w:r>
      <w:r w:rsidR="006815C0" w:rsidRPr="00CA4ABC">
        <w:rPr>
          <w:rFonts w:cstheme="minorHAnsi"/>
          <w:color w:val="000000" w:themeColor="text1"/>
        </w:rPr>
        <w:t>(</w:t>
      </w:r>
      <w:r w:rsidRPr="00CA4ABC">
        <w:rPr>
          <w:rFonts w:cstheme="minorHAnsi"/>
          <w:color w:val="000000" w:themeColor="text1"/>
        </w:rPr>
        <w:t>possibly due to using different emails</w:t>
      </w:r>
      <w:r w:rsidR="006815C0" w:rsidRPr="00CA4ABC">
        <w:rPr>
          <w:rFonts w:cstheme="minorHAnsi"/>
          <w:color w:val="000000" w:themeColor="text1"/>
        </w:rPr>
        <w:t>),</w:t>
      </w:r>
      <w:r w:rsidRPr="00CA4ABC">
        <w:rPr>
          <w:rFonts w:cstheme="minorHAnsi"/>
          <w:color w:val="000000" w:themeColor="text1"/>
        </w:rPr>
        <w:t xml:space="preserve"> removal of under-reporters (n=8), removal of over-reporters (n=2). The flow diagram in chapter 3 displays the exclusion o</w:t>
      </w:r>
      <w:r w:rsidR="006815C0" w:rsidRPr="00CA4ABC">
        <w:rPr>
          <w:rFonts w:cstheme="minorHAnsi"/>
          <w:color w:val="000000" w:themeColor="text1"/>
        </w:rPr>
        <w:t>f</w:t>
      </w:r>
      <w:r w:rsidRPr="00CA4ABC">
        <w:rPr>
          <w:rFonts w:cstheme="minorHAnsi"/>
          <w:color w:val="000000" w:themeColor="text1"/>
        </w:rPr>
        <w:t xml:space="preserve"> participants across the research (</w:t>
      </w:r>
      <w:r w:rsidRPr="00CA4ABC">
        <w:rPr>
          <w:rFonts w:cstheme="minorHAnsi"/>
          <w:color w:val="000000" w:themeColor="text1"/>
        </w:rPr>
        <w:fldChar w:fldCharType="begin"/>
      </w:r>
      <w:r w:rsidRPr="00CA4ABC">
        <w:rPr>
          <w:rFonts w:cstheme="minorHAnsi"/>
          <w:color w:val="000000" w:themeColor="text1"/>
        </w:rPr>
        <w:instrText xml:space="preserve"> REF _Ref121296072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8</w:t>
      </w:r>
      <w:r w:rsidRPr="00CA4ABC">
        <w:rPr>
          <w:rFonts w:cstheme="minorHAnsi"/>
          <w:color w:val="000000" w:themeColor="text1"/>
        </w:rPr>
        <w:fldChar w:fldCharType="end"/>
      </w:r>
      <w:r w:rsidRPr="00CA4ABC">
        <w:rPr>
          <w:rFonts w:cstheme="minorHAnsi"/>
          <w:color w:val="000000" w:themeColor="text1"/>
        </w:rPr>
        <w:t>)</w:t>
      </w:r>
      <w:r w:rsidR="006815C0" w:rsidRPr="00CA4ABC">
        <w:rPr>
          <w:rFonts w:cstheme="minorHAnsi"/>
          <w:color w:val="000000" w:themeColor="text1"/>
        </w:rPr>
        <w:t>. P</w:t>
      </w:r>
      <w:r w:rsidR="002111C9" w:rsidRPr="00CA4ABC">
        <w:rPr>
          <w:rFonts w:cstheme="minorHAnsi"/>
          <w:color w:val="000000" w:themeColor="text1"/>
        </w:rPr>
        <w:t>articipant</w:t>
      </w:r>
      <w:r w:rsidRPr="00CA4ABC">
        <w:rPr>
          <w:rFonts w:cstheme="minorHAnsi"/>
          <w:color w:val="000000" w:themeColor="text1"/>
        </w:rPr>
        <w:t xml:space="preserve"> characteristics are </w:t>
      </w:r>
      <w:r w:rsidR="00DE380A" w:rsidRPr="00CA4ABC">
        <w:rPr>
          <w:rFonts w:cstheme="minorHAnsi"/>
          <w:color w:val="000000" w:themeColor="text1"/>
        </w:rPr>
        <w:t>summarised in</w:t>
      </w:r>
      <w:r w:rsidRPr="00CA4ABC">
        <w:rPr>
          <w:rFonts w:cstheme="minorHAnsi"/>
          <w:color w:val="000000" w:themeColor="text1"/>
        </w:rPr>
        <w:t xml:space="preserve"> </w:t>
      </w:r>
      <w:r w:rsidRPr="00CA4ABC">
        <w:rPr>
          <w:rFonts w:cstheme="minorHAnsi"/>
          <w:color w:val="000000" w:themeColor="text1"/>
        </w:rPr>
        <w:fldChar w:fldCharType="begin"/>
      </w:r>
      <w:r w:rsidRPr="00CA4ABC">
        <w:rPr>
          <w:rFonts w:cstheme="minorHAnsi"/>
          <w:color w:val="000000" w:themeColor="text1"/>
        </w:rPr>
        <w:instrText xml:space="preserve"> REF _Ref121296816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6</w:t>
      </w:r>
      <w:r w:rsidRPr="00CA4ABC">
        <w:rPr>
          <w:rFonts w:cstheme="minorHAnsi"/>
          <w:color w:val="000000" w:themeColor="text1"/>
        </w:rPr>
        <w:fldChar w:fldCharType="end"/>
      </w:r>
      <w:r w:rsidR="002111C9" w:rsidRPr="00CA4ABC">
        <w:rPr>
          <w:rFonts w:cstheme="minorHAnsi"/>
          <w:color w:val="000000" w:themeColor="text1"/>
        </w:rPr>
        <w:t>.</w:t>
      </w:r>
    </w:p>
    <w:p w14:paraId="00CCC463" w14:textId="69D2C17F" w:rsidR="004C12CF" w:rsidRPr="00CA4ABC" w:rsidRDefault="004C12CF" w:rsidP="004053D7">
      <w:pPr>
        <w:spacing w:line="360" w:lineRule="auto"/>
        <w:rPr>
          <w:rFonts w:cstheme="minorHAnsi"/>
          <w:color w:val="000000" w:themeColor="text1"/>
        </w:rPr>
      </w:pPr>
    </w:p>
    <w:p w14:paraId="4A96C070" w14:textId="29734B74" w:rsidR="004C12CF" w:rsidRPr="00CA4ABC" w:rsidRDefault="004C12CF" w:rsidP="004053D7">
      <w:pPr>
        <w:pStyle w:val="Heading3"/>
        <w:spacing w:line="360" w:lineRule="auto"/>
        <w:rPr>
          <w:rFonts w:asciiTheme="minorHAnsi" w:hAnsiTheme="minorHAnsi" w:cstheme="minorHAnsi"/>
          <w:color w:val="000000" w:themeColor="text1"/>
        </w:rPr>
      </w:pPr>
      <w:bookmarkStart w:id="160" w:name="_Toc135384314"/>
      <w:r w:rsidRPr="00CA4ABC">
        <w:rPr>
          <w:rFonts w:asciiTheme="minorHAnsi" w:hAnsiTheme="minorHAnsi" w:cstheme="minorHAnsi"/>
          <w:color w:val="000000" w:themeColor="text1"/>
        </w:rPr>
        <w:t>4.3.2 Checks for normality</w:t>
      </w:r>
      <w:bookmarkEnd w:id="160"/>
    </w:p>
    <w:p w14:paraId="1461648E" w14:textId="0092DFCE" w:rsidR="004C12CF" w:rsidRPr="00CA4ABC" w:rsidRDefault="00DE380A" w:rsidP="009B561F">
      <w:pPr>
        <w:spacing w:line="360" w:lineRule="auto"/>
        <w:ind w:firstLine="720"/>
        <w:rPr>
          <w:rFonts w:cstheme="minorHAnsi"/>
          <w:color w:val="000000" w:themeColor="text1"/>
        </w:rPr>
      </w:pPr>
      <w:r w:rsidRPr="00CA4ABC">
        <w:rPr>
          <w:rFonts w:cstheme="minorHAnsi"/>
          <w:color w:val="000000" w:themeColor="text1"/>
        </w:rPr>
        <w:t xml:space="preserve">Survey response data from SheffProUK </w:t>
      </w:r>
      <w:r w:rsidR="004C12CF" w:rsidRPr="00CA4ABC">
        <w:rPr>
          <w:rFonts w:cstheme="minorHAnsi"/>
          <w:color w:val="000000" w:themeColor="text1"/>
        </w:rPr>
        <w:t>was found</w:t>
      </w:r>
      <w:r w:rsidR="001314ED" w:rsidRPr="00CA4ABC">
        <w:rPr>
          <w:rFonts w:cstheme="minorHAnsi"/>
          <w:color w:val="000000" w:themeColor="text1"/>
        </w:rPr>
        <w:t xml:space="preserve"> not </w:t>
      </w:r>
      <w:r w:rsidR="00092E6C">
        <w:rPr>
          <w:rFonts w:cstheme="minorHAnsi"/>
          <w:color w:val="000000" w:themeColor="text1"/>
        </w:rPr>
        <w:t xml:space="preserve">to </w:t>
      </w:r>
      <w:r w:rsidR="001314ED" w:rsidRPr="00CA4ABC">
        <w:rPr>
          <w:rFonts w:cstheme="minorHAnsi"/>
          <w:color w:val="000000" w:themeColor="text1"/>
        </w:rPr>
        <w:t>be normally distributed</w:t>
      </w:r>
      <w:r w:rsidR="004C12CF" w:rsidRPr="00CA4ABC">
        <w:rPr>
          <w:rFonts w:cstheme="minorHAnsi"/>
          <w:color w:val="000000" w:themeColor="text1"/>
        </w:rPr>
        <w:t xml:space="preserve"> for </w:t>
      </w:r>
      <w:r w:rsidR="001314ED" w:rsidRPr="00CA4ABC">
        <w:rPr>
          <w:rFonts w:cstheme="minorHAnsi"/>
          <w:color w:val="000000" w:themeColor="text1"/>
        </w:rPr>
        <w:t xml:space="preserve">both </w:t>
      </w:r>
      <w:r w:rsidR="004C12CF" w:rsidRPr="00CA4ABC">
        <w:rPr>
          <w:rFonts w:cstheme="minorHAnsi"/>
          <w:color w:val="000000" w:themeColor="text1"/>
        </w:rPr>
        <w:t xml:space="preserve">protein intakes </w:t>
      </w:r>
      <w:r w:rsidR="001314ED" w:rsidRPr="00CA4ABC">
        <w:rPr>
          <w:rFonts w:cstheme="minorHAnsi"/>
          <w:color w:val="000000" w:themeColor="text1"/>
        </w:rPr>
        <w:t xml:space="preserve">(p=0.001) </w:t>
      </w:r>
      <w:r w:rsidR="004C12CF" w:rsidRPr="00CA4ABC">
        <w:rPr>
          <w:rFonts w:cstheme="minorHAnsi"/>
          <w:color w:val="000000" w:themeColor="text1"/>
        </w:rPr>
        <w:t>(</w:t>
      </w:r>
      <w:r w:rsidR="004C12CF" w:rsidRPr="00CA4ABC">
        <w:rPr>
          <w:rFonts w:cstheme="minorHAnsi"/>
          <w:color w:val="000000" w:themeColor="text1"/>
        </w:rPr>
        <w:fldChar w:fldCharType="begin"/>
      </w:r>
      <w:r w:rsidR="004C12CF" w:rsidRPr="00CA4ABC">
        <w:rPr>
          <w:rFonts w:cstheme="minorHAnsi"/>
          <w:color w:val="000000" w:themeColor="text1"/>
        </w:rPr>
        <w:instrText xml:space="preserve"> REF _Ref122339472 \h  \* MERGEFORMAT </w:instrText>
      </w:r>
      <w:r w:rsidR="004C12CF" w:rsidRPr="00CA4ABC">
        <w:rPr>
          <w:rFonts w:cstheme="minorHAnsi"/>
          <w:color w:val="000000" w:themeColor="text1"/>
        </w:rPr>
      </w:r>
      <w:r w:rsidR="004C12CF"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13</w:t>
      </w:r>
      <w:r w:rsidR="004C12CF" w:rsidRPr="00CA4ABC">
        <w:rPr>
          <w:rFonts w:cstheme="minorHAnsi"/>
          <w:color w:val="000000" w:themeColor="text1"/>
        </w:rPr>
        <w:fldChar w:fldCharType="end"/>
      </w:r>
      <w:r w:rsidR="004C12CF" w:rsidRPr="00CA4ABC">
        <w:rPr>
          <w:rFonts w:cstheme="minorHAnsi"/>
          <w:color w:val="000000" w:themeColor="text1"/>
        </w:rPr>
        <w:t>) and protein knowledge scores</w:t>
      </w:r>
      <w:r w:rsidR="001314ED" w:rsidRPr="00CA4ABC">
        <w:rPr>
          <w:rFonts w:cstheme="minorHAnsi"/>
          <w:color w:val="000000" w:themeColor="text1"/>
        </w:rPr>
        <w:t xml:space="preserve"> (p&lt;0.05)</w:t>
      </w:r>
      <w:r w:rsidR="004C12CF" w:rsidRPr="00CA4ABC">
        <w:rPr>
          <w:rFonts w:cstheme="minorHAnsi"/>
          <w:color w:val="000000" w:themeColor="text1"/>
        </w:rPr>
        <w:t xml:space="preserve"> (</w:t>
      </w:r>
      <w:r w:rsidR="004C12CF" w:rsidRPr="00CA4ABC">
        <w:rPr>
          <w:rFonts w:cstheme="minorHAnsi"/>
          <w:color w:val="000000" w:themeColor="text1"/>
        </w:rPr>
        <w:fldChar w:fldCharType="begin"/>
      </w:r>
      <w:r w:rsidR="004C12CF" w:rsidRPr="00CA4ABC">
        <w:rPr>
          <w:rFonts w:cstheme="minorHAnsi"/>
          <w:color w:val="000000" w:themeColor="text1"/>
        </w:rPr>
        <w:instrText xml:space="preserve"> REF _Ref122339494 \h  \* MERGEFORMAT </w:instrText>
      </w:r>
      <w:r w:rsidR="004C12CF" w:rsidRPr="00CA4ABC">
        <w:rPr>
          <w:rFonts w:cstheme="minorHAnsi"/>
          <w:color w:val="000000" w:themeColor="text1"/>
        </w:rPr>
      </w:r>
      <w:r w:rsidR="004C12CF"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14</w:t>
      </w:r>
      <w:r w:rsidR="004C12CF" w:rsidRPr="00CA4ABC">
        <w:rPr>
          <w:rFonts w:cstheme="minorHAnsi"/>
          <w:color w:val="000000" w:themeColor="text1"/>
        </w:rPr>
        <w:fldChar w:fldCharType="end"/>
      </w:r>
      <w:r w:rsidR="004C12CF" w:rsidRPr="00CA4ABC">
        <w:rPr>
          <w:rFonts w:cstheme="minorHAnsi"/>
          <w:color w:val="000000" w:themeColor="text1"/>
        </w:rPr>
        <w:t>).</w:t>
      </w:r>
    </w:p>
    <w:p w14:paraId="775B4EAF" w14:textId="7CAE8A9E" w:rsidR="004C12CF" w:rsidRPr="00CA4ABC" w:rsidRDefault="006541D6" w:rsidP="004053D7">
      <w:pPr>
        <w:spacing w:line="360" w:lineRule="auto"/>
        <w:rPr>
          <w:rFonts w:cstheme="minorHAnsi"/>
          <w:color w:val="000000" w:themeColor="text1"/>
        </w:rPr>
      </w:pPr>
      <w:r>
        <w:rPr>
          <w:rFonts w:cstheme="minorHAnsi"/>
          <w:noProof/>
          <w:color w:val="000000" w:themeColor="text1"/>
        </w:rPr>
        <w:lastRenderedPageBreak/>
        <mc:AlternateContent>
          <mc:Choice Requires="wps">
            <w:drawing>
              <wp:anchor distT="0" distB="0" distL="114300" distR="114300" simplePos="0" relativeHeight="251713536" behindDoc="0" locked="0" layoutInCell="1" allowOverlap="1" wp14:anchorId="628B133E" wp14:editId="1973EDF7">
                <wp:simplePos x="0" y="0"/>
                <wp:positionH relativeFrom="column">
                  <wp:posOffset>3854153</wp:posOffset>
                </wp:positionH>
                <wp:positionV relativeFrom="paragraph">
                  <wp:posOffset>224511</wp:posOffset>
                </wp:positionV>
                <wp:extent cx="675118" cy="572135"/>
                <wp:effectExtent l="0" t="0" r="10795" b="12065"/>
                <wp:wrapNone/>
                <wp:docPr id="7" name="Oval 7"/>
                <wp:cNvGraphicFramePr/>
                <a:graphic xmlns:a="http://schemas.openxmlformats.org/drawingml/2006/main">
                  <a:graphicData uri="http://schemas.microsoft.com/office/word/2010/wordprocessingShape">
                    <wps:wsp>
                      <wps:cNvSpPr/>
                      <wps:spPr>
                        <a:xfrm>
                          <a:off x="0" y="0"/>
                          <a:ext cx="675118" cy="57213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oval w14:anchorId="51CE7073" id="Oval 7" o:spid="_x0000_s1026" style="position:absolute;margin-left:303.5pt;margin-top:17.7pt;width:53.15pt;height:45.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" fillcolor="white [3212]" strokecolor="white [3212]" strokeweight="1pt">
                <v:stroke joinstyle="miter"/>
              </v:oval>
            </w:pict>
          </mc:Fallback>
        </mc:AlternateContent>
      </w:r>
      <w:r w:rsidR="004C12CF" w:rsidRPr="00CA4ABC">
        <w:rPr>
          <w:rFonts w:cstheme="minorHAnsi"/>
          <w:noProof/>
          <w:color w:val="000000" w:themeColor="text1"/>
        </w:rPr>
        <w:drawing>
          <wp:inline distT="0" distB="0" distL="0" distR="0" wp14:anchorId="530EBC12" wp14:editId="0A42764A">
            <wp:extent cx="5185954" cy="3331214"/>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94566" cy="3336746"/>
                    </a:xfrm>
                    <a:prstGeom prst="rect">
                      <a:avLst/>
                    </a:prstGeom>
                  </pic:spPr>
                </pic:pic>
              </a:graphicData>
            </a:graphic>
          </wp:inline>
        </w:drawing>
      </w:r>
    </w:p>
    <w:p w14:paraId="04E68B23" w14:textId="4CB33984" w:rsidR="004C12CF" w:rsidRPr="006541D6" w:rsidRDefault="004C12CF" w:rsidP="004053D7">
      <w:pPr>
        <w:pStyle w:val="Caption"/>
        <w:spacing w:line="360" w:lineRule="auto"/>
        <w:rPr>
          <w:rFonts w:cstheme="minorHAnsi"/>
          <w:i w:val="0"/>
          <w:iCs w:val="0"/>
          <w:color w:val="000000" w:themeColor="text1"/>
          <w:sz w:val="24"/>
          <w:szCs w:val="24"/>
        </w:rPr>
      </w:pPr>
      <w:bookmarkStart w:id="161" w:name="_Ref122339472"/>
      <w:bookmarkStart w:id="162" w:name="_Toc127044192"/>
      <w:bookmarkStart w:id="163" w:name="_Toc127978474"/>
      <w:r w:rsidRPr="006541D6">
        <w:rPr>
          <w:rFonts w:cstheme="minorHAnsi"/>
          <w:i w:val="0"/>
          <w:iCs w:val="0"/>
          <w:color w:val="000000" w:themeColor="text1"/>
          <w:sz w:val="24"/>
          <w:szCs w:val="24"/>
        </w:rPr>
        <w:t xml:space="preserve">Figure </w:t>
      </w:r>
      <w:r w:rsidRPr="006541D6">
        <w:rPr>
          <w:rFonts w:cstheme="minorHAnsi"/>
          <w:i w:val="0"/>
          <w:iCs w:val="0"/>
          <w:color w:val="000000" w:themeColor="text1"/>
          <w:sz w:val="24"/>
          <w:szCs w:val="24"/>
        </w:rPr>
        <w:fldChar w:fldCharType="begin"/>
      </w:r>
      <w:r w:rsidRPr="006541D6">
        <w:rPr>
          <w:rFonts w:cstheme="minorHAnsi"/>
          <w:i w:val="0"/>
          <w:iCs w:val="0"/>
          <w:color w:val="000000" w:themeColor="text1"/>
          <w:sz w:val="24"/>
          <w:szCs w:val="24"/>
        </w:rPr>
        <w:instrText xml:space="preserve"> SEQ Figure \* ARABIC </w:instrText>
      </w:r>
      <w:r w:rsidRPr="006541D6">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14</w:t>
      </w:r>
      <w:r w:rsidRPr="006541D6">
        <w:rPr>
          <w:rFonts w:cstheme="minorHAnsi"/>
          <w:i w:val="0"/>
          <w:iCs w:val="0"/>
          <w:color w:val="000000" w:themeColor="text1"/>
          <w:sz w:val="24"/>
          <w:szCs w:val="24"/>
        </w:rPr>
        <w:fldChar w:fldCharType="end"/>
      </w:r>
      <w:bookmarkEnd w:id="161"/>
      <w:r w:rsidR="006541D6" w:rsidRPr="006541D6">
        <w:rPr>
          <w:rFonts w:cstheme="minorHAnsi"/>
          <w:i w:val="0"/>
          <w:iCs w:val="0"/>
          <w:color w:val="000000" w:themeColor="text1"/>
          <w:sz w:val="24"/>
          <w:szCs w:val="24"/>
        </w:rPr>
        <w:t>. N</w:t>
      </w:r>
      <w:r w:rsidRPr="006541D6">
        <w:rPr>
          <w:rFonts w:cstheme="minorHAnsi"/>
          <w:i w:val="0"/>
          <w:iCs w:val="0"/>
          <w:color w:val="000000" w:themeColor="text1"/>
          <w:sz w:val="24"/>
          <w:szCs w:val="24"/>
        </w:rPr>
        <w:t>ormality checks using histograms for protein intake</w:t>
      </w:r>
      <w:r w:rsidR="00933888" w:rsidRPr="006541D6">
        <w:rPr>
          <w:rFonts w:cstheme="minorHAnsi"/>
          <w:i w:val="0"/>
          <w:iCs w:val="0"/>
          <w:color w:val="000000" w:themeColor="text1"/>
          <w:sz w:val="24"/>
          <w:szCs w:val="24"/>
        </w:rPr>
        <w:t>s</w:t>
      </w:r>
      <w:r w:rsidRPr="006541D6">
        <w:rPr>
          <w:rFonts w:cstheme="minorHAnsi"/>
          <w:i w:val="0"/>
          <w:iCs w:val="0"/>
          <w:color w:val="000000" w:themeColor="text1"/>
          <w:sz w:val="24"/>
          <w:szCs w:val="24"/>
        </w:rPr>
        <w:t xml:space="preserve"> across all </w:t>
      </w:r>
      <w:r w:rsidR="00D83FF8" w:rsidRPr="006541D6">
        <w:rPr>
          <w:rFonts w:cstheme="minorHAnsi"/>
          <w:i w:val="0"/>
          <w:iCs w:val="0"/>
          <w:color w:val="000000" w:themeColor="text1"/>
          <w:sz w:val="24"/>
          <w:szCs w:val="24"/>
        </w:rPr>
        <w:t>participants</w:t>
      </w:r>
      <w:r w:rsidRPr="006541D6">
        <w:rPr>
          <w:rFonts w:cstheme="minorHAnsi"/>
          <w:i w:val="0"/>
          <w:iCs w:val="0"/>
          <w:color w:val="000000" w:themeColor="text1"/>
          <w:sz w:val="24"/>
          <w:szCs w:val="24"/>
        </w:rPr>
        <w:t xml:space="preserve"> in</w:t>
      </w:r>
      <w:r w:rsidR="00D83FF8" w:rsidRPr="006541D6">
        <w:rPr>
          <w:rFonts w:cstheme="minorHAnsi"/>
          <w:i w:val="0"/>
          <w:iCs w:val="0"/>
          <w:color w:val="000000" w:themeColor="text1"/>
          <w:sz w:val="24"/>
          <w:szCs w:val="24"/>
        </w:rPr>
        <w:t>cluded in</w:t>
      </w:r>
      <w:r w:rsidRPr="006541D6">
        <w:rPr>
          <w:rFonts w:cstheme="minorHAnsi"/>
          <w:i w:val="0"/>
          <w:iCs w:val="0"/>
          <w:color w:val="000000" w:themeColor="text1"/>
          <w:sz w:val="24"/>
          <w:szCs w:val="24"/>
        </w:rPr>
        <w:t xml:space="preserve"> the analysis (n=306)</w:t>
      </w:r>
      <w:bookmarkEnd w:id="162"/>
      <w:r w:rsidR="006541D6" w:rsidRPr="006541D6">
        <w:rPr>
          <w:rFonts w:cstheme="minorHAnsi"/>
          <w:i w:val="0"/>
          <w:iCs w:val="0"/>
          <w:color w:val="000000" w:themeColor="text1"/>
          <w:sz w:val="24"/>
          <w:szCs w:val="24"/>
        </w:rPr>
        <w:t>.</w:t>
      </w:r>
      <w:bookmarkEnd w:id="163"/>
    </w:p>
    <w:p w14:paraId="1B745F0F" w14:textId="59B6361D" w:rsidR="004C12CF" w:rsidRPr="00CA4ABC" w:rsidRDefault="009A5F24" w:rsidP="004053D7">
      <w:pPr>
        <w:spacing w:line="360" w:lineRule="auto"/>
        <w:rPr>
          <w:rFonts w:cstheme="minorHAnsi"/>
          <w:color w:val="000000" w:themeColor="text1"/>
        </w:rPr>
      </w:pPr>
      <w:r>
        <w:rPr>
          <w:rFonts w:cstheme="minorHAnsi"/>
          <w:noProof/>
          <w:color w:val="000000" w:themeColor="text1"/>
        </w:rPr>
        <mc:AlternateContent>
          <mc:Choice Requires="wps">
            <w:drawing>
              <wp:anchor distT="0" distB="0" distL="114300" distR="114300" simplePos="0" relativeHeight="251716608" behindDoc="0" locked="0" layoutInCell="1" allowOverlap="1" wp14:anchorId="3E46E761" wp14:editId="6E092196">
                <wp:simplePos x="0" y="0"/>
                <wp:positionH relativeFrom="column">
                  <wp:posOffset>3862574</wp:posOffset>
                </wp:positionH>
                <wp:positionV relativeFrom="paragraph">
                  <wp:posOffset>196137</wp:posOffset>
                </wp:positionV>
                <wp:extent cx="880216" cy="444382"/>
                <wp:effectExtent l="0" t="0" r="8890" b="13335"/>
                <wp:wrapNone/>
                <wp:docPr id="10" name="Oval 10"/>
                <wp:cNvGraphicFramePr/>
                <a:graphic xmlns:a="http://schemas.openxmlformats.org/drawingml/2006/main">
                  <a:graphicData uri="http://schemas.microsoft.com/office/word/2010/wordprocessingShape">
                    <wps:wsp>
                      <wps:cNvSpPr/>
                      <wps:spPr>
                        <a:xfrm>
                          <a:off x="0" y="0"/>
                          <a:ext cx="880216" cy="444382"/>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oval w14:anchorId="53199988" id="Oval 10" o:spid="_x0000_s1026" style="position:absolute;margin-left:304.15pt;margin-top:15.45pt;width:69.3pt;height:3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" fillcolor="white [3212]" strokecolor="white [3212]" strokeweight="1pt">
                <v:stroke joinstyle="miter"/>
              </v:oval>
            </w:pict>
          </mc:Fallback>
        </mc:AlternateContent>
      </w:r>
      <w:r>
        <w:rPr>
          <w:rFonts w:cstheme="minorHAnsi"/>
          <w:noProof/>
          <w:color w:val="000000" w:themeColor="text1"/>
        </w:rPr>
        <mc:AlternateContent>
          <mc:Choice Requires="wps">
            <w:drawing>
              <wp:anchor distT="0" distB="0" distL="114300" distR="114300" simplePos="0" relativeHeight="251715584" behindDoc="0" locked="0" layoutInCell="1" allowOverlap="1" wp14:anchorId="141F2E41" wp14:editId="195604AF">
                <wp:simplePos x="0" y="0"/>
                <wp:positionH relativeFrom="column">
                  <wp:posOffset>0</wp:posOffset>
                </wp:positionH>
                <wp:positionV relativeFrom="paragraph">
                  <wp:posOffset>0</wp:posOffset>
                </wp:positionV>
                <wp:extent cx="675118" cy="572135"/>
                <wp:effectExtent l="0" t="0" r="10795" b="12065"/>
                <wp:wrapNone/>
                <wp:docPr id="8" name="Oval 8"/>
                <wp:cNvGraphicFramePr/>
                <a:graphic xmlns:a="http://schemas.openxmlformats.org/drawingml/2006/main">
                  <a:graphicData uri="http://schemas.microsoft.com/office/word/2010/wordprocessingShape">
                    <wps:wsp>
                      <wps:cNvSpPr/>
                      <wps:spPr>
                        <a:xfrm>
                          <a:off x="0" y="0"/>
                          <a:ext cx="675118" cy="57213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oval w14:anchorId="043F6DDE" id="Oval 8" o:spid="_x0000_s1026" style="position:absolute;margin-left:0;margin-top:0;width:53.15pt;height:45.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" fillcolor="white [3212]" strokecolor="white [3212]" strokeweight="1pt">
                <v:stroke joinstyle="miter"/>
              </v:oval>
            </w:pict>
          </mc:Fallback>
        </mc:AlternateContent>
      </w:r>
      <w:r w:rsidR="004C12CF" w:rsidRPr="00CA4ABC">
        <w:rPr>
          <w:rFonts w:cstheme="minorHAnsi"/>
          <w:noProof/>
          <w:color w:val="000000" w:themeColor="text1"/>
        </w:rPr>
        <w:drawing>
          <wp:inline distT="0" distB="0" distL="0" distR="0" wp14:anchorId="1970F837" wp14:editId="788521B5">
            <wp:extent cx="5185410" cy="333086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02519" cy="3341853"/>
                    </a:xfrm>
                    <a:prstGeom prst="rect">
                      <a:avLst/>
                    </a:prstGeom>
                  </pic:spPr>
                </pic:pic>
              </a:graphicData>
            </a:graphic>
          </wp:inline>
        </w:drawing>
      </w:r>
    </w:p>
    <w:p w14:paraId="5A6F95C5" w14:textId="33E2FFDF" w:rsidR="004C12CF" w:rsidRPr="006541D6" w:rsidRDefault="004C12CF" w:rsidP="004053D7">
      <w:pPr>
        <w:pStyle w:val="Caption"/>
        <w:spacing w:line="360" w:lineRule="auto"/>
        <w:rPr>
          <w:rFonts w:cstheme="minorHAnsi"/>
          <w:i w:val="0"/>
          <w:iCs w:val="0"/>
          <w:color w:val="000000" w:themeColor="text1"/>
          <w:sz w:val="24"/>
          <w:szCs w:val="24"/>
        </w:rPr>
      </w:pPr>
      <w:bookmarkStart w:id="164" w:name="_Ref122339494"/>
      <w:bookmarkStart w:id="165" w:name="_Toc127044193"/>
      <w:bookmarkStart w:id="166" w:name="_Toc127978475"/>
      <w:r w:rsidRPr="006541D6">
        <w:rPr>
          <w:rFonts w:cstheme="minorHAnsi"/>
          <w:i w:val="0"/>
          <w:iCs w:val="0"/>
          <w:color w:val="000000" w:themeColor="text1"/>
          <w:sz w:val="24"/>
          <w:szCs w:val="24"/>
        </w:rPr>
        <w:t xml:space="preserve">Figure </w:t>
      </w:r>
      <w:r w:rsidRPr="006541D6">
        <w:rPr>
          <w:rFonts w:cstheme="minorHAnsi"/>
          <w:i w:val="0"/>
          <w:iCs w:val="0"/>
          <w:color w:val="000000" w:themeColor="text1"/>
          <w:sz w:val="24"/>
          <w:szCs w:val="24"/>
        </w:rPr>
        <w:fldChar w:fldCharType="begin"/>
      </w:r>
      <w:r w:rsidRPr="006541D6">
        <w:rPr>
          <w:rFonts w:cstheme="minorHAnsi"/>
          <w:i w:val="0"/>
          <w:iCs w:val="0"/>
          <w:color w:val="000000" w:themeColor="text1"/>
          <w:sz w:val="24"/>
          <w:szCs w:val="24"/>
        </w:rPr>
        <w:instrText xml:space="preserve"> SEQ Figure \* ARABIC </w:instrText>
      </w:r>
      <w:r w:rsidRPr="006541D6">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15</w:t>
      </w:r>
      <w:r w:rsidRPr="006541D6">
        <w:rPr>
          <w:rFonts w:cstheme="minorHAnsi"/>
          <w:i w:val="0"/>
          <w:iCs w:val="0"/>
          <w:color w:val="000000" w:themeColor="text1"/>
          <w:sz w:val="24"/>
          <w:szCs w:val="24"/>
        </w:rPr>
        <w:fldChar w:fldCharType="end"/>
      </w:r>
      <w:bookmarkEnd w:id="164"/>
      <w:r w:rsidR="006541D6" w:rsidRPr="006541D6">
        <w:rPr>
          <w:rFonts w:cstheme="minorHAnsi"/>
          <w:i w:val="0"/>
          <w:iCs w:val="0"/>
          <w:color w:val="000000" w:themeColor="text1"/>
          <w:sz w:val="24"/>
          <w:szCs w:val="24"/>
        </w:rPr>
        <w:t>. N</w:t>
      </w:r>
      <w:r w:rsidRPr="006541D6">
        <w:rPr>
          <w:rFonts w:cstheme="minorHAnsi"/>
          <w:i w:val="0"/>
          <w:iCs w:val="0"/>
          <w:color w:val="000000" w:themeColor="text1"/>
          <w:sz w:val="24"/>
          <w:szCs w:val="24"/>
        </w:rPr>
        <w:t>ormality checks using histograms for protein knowledge scores (out of 24) across all</w:t>
      </w:r>
      <w:r w:rsidR="00397E6C" w:rsidRPr="006541D6">
        <w:rPr>
          <w:rFonts w:cstheme="minorHAnsi"/>
          <w:i w:val="0"/>
          <w:iCs w:val="0"/>
          <w:color w:val="000000" w:themeColor="text1"/>
          <w:sz w:val="24"/>
          <w:szCs w:val="24"/>
        </w:rPr>
        <w:t xml:space="preserve"> </w:t>
      </w:r>
      <w:r w:rsidRPr="006541D6">
        <w:rPr>
          <w:rFonts w:cstheme="minorHAnsi"/>
          <w:i w:val="0"/>
          <w:iCs w:val="0"/>
          <w:color w:val="000000" w:themeColor="text1"/>
          <w:sz w:val="24"/>
          <w:szCs w:val="24"/>
        </w:rPr>
        <w:t>participants in the analysis (n=306)</w:t>
      </w:r>
      <w:bookmarkEnd w:id="165"/>
      <w:r w:rsidR="006541D6">
        <w:rPr>
          <w:rFonts w:cstheme="minorHAnsi"/>
          <w:i w:val="0"/>
          <w:iCs w:val="0"/>
          <w:color w:val="000000" w:themeColor="text1"/>
          <w:sz w:val="24"/>
          <w:szCs w:val="24"/>
        </w:rPr>
        <w:t>.</w:t>
      </w:r>
      <w:bookmarkEnd w:id="166"/>
    </w:p>
    <w:p w14:paraId="5120E87D" w14:textId="1F5E7AFA" w:rsidR="004C12CF" w:rsidRPr="00CA4ABC" w:rsidRDefault="004C12CF" w:rsidP="004053D7">
      <w:pPr>
        <w:pStyle w:val="Heading3"/>
        <w:spacing w:line="360" w:lineRule="auto"/>
        <w:rPr>
          <w:rFonts w:asciiTheme="minorHAnsi" w:hAnsiTheme="minorHAnsi" w:cstheme="minorHAnsi"/>
          <w:color w:val="000000" w:themeColor="text1"/>
          <w:sz w:val="26"/>
          <w:szCs w:val="26"/>
        </w:rPr>
      </w:pPr>
      <w:bookmarkStart w:id="167" w:name="_Toc135384315"/>
      <w:r w:rsidRPr="00CA4ABC">
        <w:rPr>
          <w:rFonts w:asciiTheme="minorHAnsi" w:hAnsiTheme="minorHAnsi" w:cstheme="minorHAnsi"/>
          <w:color w:val="000000" w:themeColor="text1"/>
          <w:sz w:val="26"/>
          <w:szCs w:val="26"/>
        </w:rPr>
        <w:lastRenderedPageBreak/>
        <w:t>4.3.3 Protein intakes</w:t>
      </w:r>
      <w:bookmarkEnd w:id="167"/>
    </w:p>
    <w:p w14:paraId="7683D767" w14:textId="3388636E" w:rsidR="004C12CF" w:rsidRPr="00CA4ABC" w:rsidRDefault="004C12CF" w:rsidP="00E8340C">
      <w:pPr>
        <w:spacing w:line="360" w:lineRule="auto"/>
        <w:ind w:firstLine="720"/>
        <w:rPr>
          <w:rFonts w:cstheme="minorHAnsi"/>
          <w:color w:val="000000" w:themeColor="text1"/>
        </w:rPr>
      </w:pPr>
      <w:r w:rsidRPr="00CA4ABC">
        <w:rPr>
          <w:rFonts w:cstheme="minorHAnsi"/>
          <w:color w:val="000000" w:themeColor="text1"/>
        </w:rPr>
        <w:t>Protein intakes for all analysed participants have been previously presented in chapter 3 (</w:t>
      </w:r>
      <w:r w:rsidRPr="00CA4ABC">
        <w:rPr>
          <w:rFonts w:cstheme="minorHAnsi"/>
          <w:color w:val="000000" w:themeColor="text1"/>
        </w:rPr>
        <w:fldChar w:fldCharType="begin"/>
      </w:r>
      <w:r w:rsidRPr="00CA4ABC">
        <w:rPr>
          <w:rFonts w:cstheme="minorHAnsi"/>
          <w:color w:val="000000" w:themeColor="text1"/>
        </w:rPr>
        <w:instrText xml:space="preserve"> REF _Ref121298027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8</w:t>
      </w:r>
      <w:r w:rsidRPr="00CA4ABC">
        <w:rPr>
          <w:rFonts w:cstheme="minorHAnsi"/>
          <w:color w:val="000000" w:themeColor="text1"/>
        </w:rPr>
        <w:fldChar w:fldCharType="end"/>
      </w:r>
      <w:r w:rsidRPr="00CA4ABC">
        <w:rPr>
          <w:rFonts w:cstheme="minorHAnsi"/>
          <w:color w:val="000000" w:themeColor="text1"/>
        </w:rPr>
        <w:t>.)</w:t>
      </w:r>
    </w:p>
    <w:p w14:paraId="3AEB7C03" w14:textId="77777777" w:rsidR="004C12CF" w:rsidRPr="00CA4ABC" w:rsidRDefault="004C12CF" w:rsidP="004053D7">
      <w:pPr>
        <w:spacing w:line="360" w:lineRule="auto"/>
        <w:rPr>
          <w:rFonts w:cstheme="minorHAnsi"/>
          <w:color w:val="000000" w:themeColor="text1"/>
        </w:rPr>
      </w:pPr>
    </w:p>
    <w:p w14:paraId="770140A6" w14:textId="38BF4FAF" w:rsidR="004C12CF" w:rsidRPr="00CA4ABC" w:rsidRDefault="004C12CF" w:rsidP="004053D7">
      <w:pPr>
        <w:pStyle w:val="Heading3"/>
        <w:spacing w:line="360" w:lineRule="auto"/>
        <w:rPr>
          <w:rFonts w:asciiTheme="minorHAnsi" w:hAnsiTheme="minorHAnsi" w:cstheme="minorHAnsi"/>
          <w:color w:val="000000" w:themeColor="text1"/>
        </w:rPr>
      </w:pPr>
      <w:bookmarkStart w:id="168" w:name="_Toc135384316"/>
      <w:r w:rsidRPr="00CA4ABC">
        <w:rPr>
          <w:rFonts w:asciiTheme="minorHAnsi" w:hAnsiTheme="minorHAnsi" w:cstheme="minorHAnsi"/>
          <w:color w:val="000000" w:themeColor="text1"/>
          <w:sz w:val="26"/>
          <w:szCs w:val="26"/>
        </w:rPr>
        <w:t xml:space="preserve">4.3.4 </w:t>
      </w:r>
      <w:r w:rsidRPr="00CA4ABC">
        <w:rPr>
          <w:rFonts w:asciiTheme="minorHAnsi" w:hAnsiTheme="minorHAnsi" w:cstheme="minorHAnsi"/>
          <w:color w:val="000000" w:themeColor="text1"/>
        </w:rPr>
        <w:t>Protein knowledge scores</w:t>
      </w:r>
      <w:bookmarkEnd w:id="168"/>
    </w:p>
    <w:p w14:paraId="061A1E0A" w14:textId="2A2BE96D" w:rsidR="004C12CF" w:rsidRPr="00CA4ABC" w:rsidRDefault="00314E15" w:rsidP="00E8340C">
      <w:pPr>
        <w:spacing w:line="360" w:lineRule="auto"/>
        <w:ind w:firstLine="720"/>
        <w:rPr>
          <w:rFonts w:cstheme="minorHAnsi"/>
          <w:color w:val="000000" w:themeColor="text1"/>
        </w:rPr>
      </w:pPr>
      <w:r>
        <w:rPr>
          <w:rFonts w:cstheme="minorHAnsi"/>
          <w:color w:val="000000" w:themeColor="text1"/>
        </w:rPr>
        <w:t xml:space="preserve">The average protein knowledge score (out of 24) for all participants </w:t>
      </w:r>
      <w:r w:rsidR="004C12CF" w:rsidRPr="00CA4ABC">
        <w:rPr>
          <w:rFonts w:cstheme="minorHAnsi"/>
          <w:color w:val="000000" w:themeColor="text1"/>
        </w:rPr>
        <w:t>w</w:t>
      </w:r>
      <w:r w:rsidR="00933888" w:rsidRPr="00CA4ABC">
        <w:rPr>
          <w:rFonts w:cstheme="minorHAnsi"/>
          <w:color w:val="000000" w:themeColor="text1"/>
        </w:rPr>
        <w:t>as</w:t>
      </w:r>
      <w:r w:rsidR="004C12CF" w:rsidRPr="00CA4ABC">
        <w:rPr>
          <w:rFonts w:cstheme="minorHAnsi"/>
          <w:color w:val="000000" w:themeColor="text1"/>
        </w:rPr>
        <w:t xml:space="preserve"> 15.83</w:t>
      </w:r>
      <w:r w:rsidR="00913965" w:rsidRPr="00CA4ABC">
        <w:rPr>
          <w:rFonts w:cstheme="minorHAnsi"/>
          <w:color w:val="000000" w:themeColor="text1"/>
        </w:rPr>
        <w:t xml:space="preserve"> (</w:t>
      </w:r>
      <w:r w:rsidR="004C12CF" w:rsidRPr="00CA4ABC">
        <w:rPr>
          <w:rFonts w:cstheme="minorHAnsi"/>
          <w:color w:val="000000" w:themeColor="text1"/>
        </w:rPr>
        <w:fldChar w:fldCharType="begin"/>
      </w:r>
      <w:r w:rsidR="004C12CF" w:rsidRPr="00CA4ABC">
        <w:rPr>
          <w:rFonts w:cstheme="minorHAnsi"/>
          <w:color w:val="000000" w:themeColor="text1"/>
        </w:rPr>
        <w:instrText xml:space="preserve"> REF _Ref122340156 \h  \* MERGEFORMAT </w:instrText>
      </w:r>
      <w:r w:rsidR="004C12CF" w:rsidRPr="00CA4ABC">
        <w:rPr>
          <w:rFonts w:cstheme="minorHAnsi"/>
          <w:color w:val="000000" w:themeColor="text1"/>
        </w:rPr>
      </w:r>
      <w:r w:rsidR="004C12CF"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12</w:t>
      </w:r>
      <w:r w:rsidR="004C12CF" w:rsidRPr="00CA4ABC">
        <w:rPr>
          <w:rFonts w:cstheme="minorHAnsi"/>
          <w:color w:val="000000" w:themeColor="text1"/>
        </w:rPr>
        <w:fldChar w:fldCharType="end"/>
      </w:r>
      <w:r w:rsidR="00FB560B" w:rsidRPr="00CA4ABC">
        <w:rPr>
          <w:rFonts w:cstheme="minorHAnsi"/>
          <w:color w:val="000000" w:themeColor="text1"/>
        </w:rPr>
        <w:t>.</w:t>
      </w:r>
      <w:r w:rsidR="00913965" w:rsidRPr="00CA4ABC">
        <w:rPr>
          <w:rFonts w:cstheme="minorHAnsi"/>
          <w:color w:val="000000" w:themeColor="text1"/>
        </w:rPr>
        <w:t xml:space="preserve">) </w:t>
      </w:r>
      <w:r w:rsidR="004C12CF" w:rsidRPr="00CA4ABC">
        <w:rPr>
          <w:rFonts w:cstheme="minorHAnsi"/>
          <w:color w:val="000000" w:themeColor="text1"/>
        </w:rPr>
        <w:t>Question 7</w:t>
      </w:r>
      <w:r w:rsidR="00E17724" w:rsidRPr="00CA4ABC">
        <w:rPr>
          <w:rFonts w:cstheme="minorHAnsi"/>
          <w:color w:val="000000" w:themeColor="text1"/>
        </w:rPr>
        <w:t xml:space="preserve"> (how many meal</w:t>
      </w:r>
      <w:r w:rsidR="00933888" w:rsidRPr="00CA4ABC">
        <w:rPr>
          <w:rFonts w:cstheme="minorHAnsi"/>
          <w:color w:val="000000" w:themeColor="text1"/>
        </w:rPr>
        <w:t>s</w:t>
      </w:r>
      <w:r w:rsidR="00E17724" w:rsidRPr="00CA4ABC">
        <w:rPr>
          <w:rFonts w:cstheme="minorHAnsi"/>
          <w:color w:val="000000" w:themeColor="text1"/>
        </w:rPr>
        <w:t xml:space="preserve"> should include protein?) </w:t>
      </w:r>
      <w:r w:rsidR="004C12CF" w:rsidRPr="00CA4ABC">
        <w:rPr>
          <w:rFonts w:cstheme="minorHAnsi"/>
          <w:color w:val="000000" w:themeColor="text1"/>
        </w:rPr>
        <w:t>had the lowest percentage of correct answers, based on all participant responses</w:t>
      </w:r>
      <w:r w:rsidR="00913965" w:rsidRPr="00CA4ABC">
        <w:rPr>
          <w:rFonts w:cstheme="minorHAnsi"/>
          <w:color w:val="000000" w:themeColor="text1"/>
        </w:rPr>
        <w:t>, whilst question 8a</w:t>
      </w:r>
      <w:r w:rsidR="00E17724" w:rsidRPr="00CA4ABC">
        <w:rPr>
          <w:rFonts w:cstheme="minorHAnsi"/>
          <w:color w:val="000000" w:themeColor="text1"/>
        </w:rPr>
        <w:t xml:space="preserve"> (do you agree with the following statement: “You need protein in the diet for repairing bones and muscle”</w:t>
      </w:r>
      <w:r w:rsidR="00933888" w:rsidRPr="00CA4ABC">
        <w:rPr>
          <w:rFonts w:cstheme="minorHAnsi"/>
          <w:color w:val="000000" w:themeColor="text1"/>
        </w:rPr>
        <w:t>)</w:t>
      </w:r>
      <w:r w:rsidR="00E17724" w:rsidRPr="00CA4ABC">
        <w:rPr>
          <w:rFonts w:cstheme="minorHAnsi"/>
          <w:color w:val="000000" w:themeColor="text1"/>
        </w:rPr>
        <w:t xml:space="preserve"> </w:t>
      </w:r>
      <w:r w:rsidR="00913965" w:rsidRPr="00CA4ABC">
        <w:rPr>
          <w:rFonts w:cstheme="minorHAnsi"/>
          <w:color w:val="000000" w:themeColor="text1"/>
        </w:rPr>
        <w:t>had the highest number of correct responses</w:t>
      </w:r>
      <w:r w:rsidR="004C12CF" w:rsidRPr="00CA4ABC">
        <w:rPr>
          <w:rFonts w:cstheme="minorHAnsi"/>
          <w:color w:val="000000" w:themeColor="text1"/>
        </w:rPr>
        <w:t xml:space="preserve"> </w:t>
      </w:r>
      <w:r w:rsidR="00913965" w:rsidRPr="00CA4ABC">
        <w:rPr>
          <w:rFonts w:cstheme="minorHAnsi"/>
          <w:color w:val="000000" w:themeColor="text1"/>
        </w:rPr>
        <w:t>(</w:t>
      </w:r>
      <w:r w:rsidR="00913965" w:rsidRPr="00CA4ABC">
        <w:rPr>
          <w:rFonts w:cstheme="minorHAnsi"/>
          <w:color w:val="000000" w:themeColor="text1"/>
        </w:rPr>
        <w:fldChar w:fldCharType="begin"/>
      </w:r>
      <w:r w:rsidR="00913965" w:rsidRPr="00CA4ABC">
        <w:rPr>
          <w:rFonts w:cstheme="minorHAnsi"/>
          <w:color w:val="000000" w:themeColor="text1"/>
        </w:rPr>
        <w:instrText xml:space="preserve"> REF _Ref123893867 \h </w:instrText>
      </w:r>
      <w:r w:rsidR="00CA4ABC">
        <w:rPr>
          <w:rFonts w:cstheme="minorHAnsi"/>
          <w:color w:val="000000" w:themeColor="text1"/>
        </w:rPr>
        <w:instrText xml:space="preserve"> \* MERGEFORMAT </w:instrText>
      </w:r>
      <w:r w:rsidR="00913965" w:rsidRPr="00CA4ABC">
        <w:rPr>
          <w:rFonts w:cstheme="minorHAnsi"/>
          <w:color w:val="000000" w:themeColor="text1"/>
        </w:rPr>
      </w:r>
      <w:r w:rsidR="00913965" w:rsidRPr="00CA4ABC">
        <w:rPr>
          <w:rFonts w:cstheme="minorHAnsi"/>
          <w:color w:val="000000" w:themeColor="text1"/>
        </w:rPr>
        <w:fldChar w:fldCharType="separate"/>
      </w:r>
      <w:r w:rsidR="00913965" w:rsidRPr="00CA4ABC">
        <w:rPr>
          <w:rFonts w:cstheme="minorHAnsi"/>
          <w:color w:val="000000" w:themeColor="text1"/>
        </w:rPr>
        <w:t xml:space="preserve">Figure </w:t>
      </w:r>
      <w:r w:rsidR="00913965" w:rsidRPr="00CA4ABC">
        <w:rPr>
          <w:rFonts w:cstheme="minorHAnsi"/>
          <w:noProof/>
          <w:color w:val="000000" w:themeColor="text1"/>
        </w:rPr>
        <w:t>15</w:t>
      </w:r>
      <w:r w:rsidR="00913965" w:rsidRPr="00CA4ABC">
        <w:rPr>
          <w:rFonts w:cstheme="minorHAnsi"/>
          <w:color w:val="000000" w:themeColor="text1"/>
        </w:rPr>
        <w:fldChar w:fldCharType="end"/>
      </w:r>
      <w:r w:rsidR="0005180B">
        <w:rPr>
          <w:rFonts w:cstheme="minorHAnsi"/>
          <w:color w:val="000000" w:themeColor="text1"/>
        </w:rPr>
        <w:t>.</w:t>
      </w:r>
      <w:r w:rsidR="00913965" w:rsidRPr="00CA4ABC">
        <w:rPr>
          <w:rFonts w:cstheme="minorHAnsi"/>
          <w:color w:val="000000" w:themeColor="text1"/>
        </w:rPr>
        <w:t>)</w:t>
      </w:r>
      <w:r w:rsidR="004C12CF" w:rsidRPr="00CA4ABC">
        <w:rPr>
          <w:rFonts w:cstheme="minorHAnsi"/>
          <w:color w:val="000000" w:themeColor="text1"/>
        </w:rPr>
        <w:t xml:space="preserve"> </w:t>
      </w:r>
      <w:r>
        <w:rPr>
          <w:rFonts w:cstheme="minorHAnsi"/>
          <w:color w:val="000000" w:themeColor="text1"/>
        </w:rPr>
        <w:t xml:space="preserve">Most participants correctly identified the majority of food items as high or low in protein </w:t>
      </w:r>
      <w:r w:rsidR="00913965" w:rsidRPr="00CA4ABC">
        <w:rPr>
          <w:rFonts w:cstheme="minorHAnsi"/>
          <w:color w:val="000000" w:themeColor="text1"/>
        </w:rPr>
        <w:t>(</w:t>
      </w:r>
      <w:r w:rsidR="004C12CF" w:rsidRPr="00CA4ABC">
        <w:rPr>
          <w:rFonts w:cstheme="minorHAnsi"/>
          <w:color w:val="000000" w:themeColor="text1"/>
        </w:rPr>
        <w:fldChar w:fldCharType="begin"/>
      </w:r>
      <w:r w:rsidR="004C12CF" w:rsidRPr="00CA4ABC">
        <w:rPr>
          <w:rFonts w:cstheme="minorHAnsi"/>
          <w:color w:val="000000" w:themeColor="text1"/>
        </w:rPr>
        <w:instrText xml:space="preserve"> REF _Ref122343037 \h  \* MERGEFORMAT </w:instrText>
      </w:r>
      <w:r w:rsidR="004C12CF" w:rsidRPr="00CA4ABC">
        <w:rPr>
          <w:rFonts w:cstheme="minorHAnsi"/>
          <w:color w:val="000000" w:themeColor="text1"/>
        </w:rPr>
      </w:r>
      <w:r w:rsidR="004C12CF"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13</w:t>
      </w:r>
      <w:r w:rsidR="004C12CF" w:rsidRPr="00CA4ABC">
        <w:rPr>
          <w:rFonts w:cstheme="minorHAnsi"/>
          <w:color w:val="000000" w:themeColor="text1"/>
        </w:rPr>
        <w:fldChar w:fldCharType="end"/>
      </w:r>
      <w:r w:rsidR="004C12CF" w:rsidRPr="00CA4ABC">
        <w:rPr>
          <w:rFonts w:cstheme="minorHAnsi"/>
          <w:color w:val="000000" w:themeColor="text1"/>
        </w:rPr>
        <w:t>.</w:t>
      </w:r>
      <w:r w:rsidR="00913965" w:rsidRPr="00CA4ABC">
        <w:rPr>
          <w:rFonts w:cstheme="minorHAnsi"/>
          <w:color w:val="000000" w:themeColor="text1"/>
        </w:rPr>
        <w:t>)</w:t>
      </w:r>
      <w:r>
        <w:rPr>
          <w:rFonts w:cstheme="minorHAnsi"/>
          <w:color w:val="000000" w:themeColor="text1"/>
        </w:rPr>
        <w:t xml:space="preserve"> Complete</w:t>
      </w:r>
      <w:r w:rsidR="004C12CF" w:rsidRPr="00CA4ABC">
        <w:rPr>
          <w:rFonts w:cstheme="minorHAnsi"/>
          <w:color w:val="000000" w:themeColor="text1"/>
        </w:rPr>
        <w:t xml:space="preserve"> question responses a</w:t>
      </w:r>
      <w:r w:rsidR="008B66A2" w:rsidRPr="00CA4ABC">
        <w:rPr>
          <w:rFonts w:cstheme="minorHAnsi"/>
          <w:color w:val="000000" w:themeColor="text1"/>
        </w:rPr>
        <w:t>re a</w:t>
      </w:r>
      <w:r w:rsidR="004C12CF" w:rsidRPr="00CA4ABC">
        <w:rPr>
          <w:rFonts w:cstheme="minorHAnsi"/>
          <w:color w:val="000000" w:themeColor="text1"/>
        </w:rPr>
        <w:t xml:space="preserve">vailable in appendix 7. </w:t>
      </w:r>
    </w:p>
    <w:p w14:paraId="7E48264A" w14:textId="77777777" w:rsidR="004C12CF" w:rsidRPr="00CA4ABC" w:rsidRDefault="004C12CF" w:rsidP="004053D7">
      <w:pPr>
        <w:spacing w:line="360" w:lineRule="auto"/>
        <w:rPr>
          <w:rFonts w:cstheme="minorHAnsi"/>
          <w:color w:val="000000" w:themeColor="text1"/>
        </w:rPr>
      </w:pPr>
    </w:p>
    <w:tbl>
      <w:tblPr>
        <w:tblStyle w:val="TableGrid"/>
        <w:tblpPr w:leftFromText="180" w:rightFromText="180" w:vertAnchor="text" w:horzAnchor="margin" w:tblpY="-69"/>
        <w:tblW w:w="8531" w:type="dxa"/>
        <w:tblLayout w:type="fixed"/>
        <w:tblLook w:val="0400" w:firstRow="0" w:lastRow="0" w:firstColumn="0" w:lastColumn="0" w:noHBand="0" w:noVBand="1"/>
      </w:tblPr>
      <w:tblGrid>
        <w:gridCol w:w="3955"/>
        <w:gridCol w:w="4576"/>
      </w:tblGrid>
      <w:tr w:rsidR="004053D7" w:rsidRPr="00CA4ABC" w14:paraId="05DD740E" w14:textId="77777777" w:rsidTr="009E173A">
        <w:trPr>
          <w:trHeight w:val="134"/>
        </w:trPr>
        <w:tc>
          <w:tcPr>
            <w:tcW w:w="3955" w:type="dxa"/>
          </w:tcPr>
          <w:p w14:paraId="30F1EB3B" w14:textId="16ECCE58" w:rsidR="004C12CF" w:rsidRPr="00CA4ABC" w:rsidRDefault="00933888" w:rsidP="00933888">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Group</w:t>
            </w:r>
          </w:p>
        </w:tc>
        <w:tc>
          <w:tcPr>
            <w:tcW w:w="4576" w:type="dxa"/>
          </w:tcPr>
          <w:p w14:paraId="4BDA0422" w14:textId="77777777" w:rsidR="004C12CF" w:rsidRPr="00CA4ABC" w:rsidRDefault="004C12CF" w:rsidP="00933888">
            <w:pPr>
              <w:spacing w:line="360" w:lineRule="auto"/>
              <w:jc w:val="center"/>
              <w:rPr>
                <w:rFonts w:eastAsia="Arial" w:cstheme="minorHAnsi"/>
                <w:b/>
                <w:bCs/>
                <w:color w:val="000000" w:themeColor="text1"/>
                <w:sz w:val="20"/>
                <w:szCs w:val="20"/>
              </w:rPr>
            </w:pPr>
            <w:r w:rsidRPr="00CA4ABC">
              <w:rPr>
                <w:rFonts w:cstheme="minorHAnsi"/>
                <w:b/>
                <w:bCs/>
                <w:color w:val="000000" w:themeColor="text1"/>
                <w:sz w:val="20"/>
                <w:szCs w:val="20"/>
              </w:rPr>
              <w:t>Protein Knowledge Score (out of 24)</w:t>
            </w:r>
          </w:p>
        </w:tc>
      </w:tr>
      <w:tr w:rsidR="004053D7" w:rsidRPr="00CA4ABC" w14:paraId="3F0E16F7" w14:textId="77777777" w:rsidTr="009E173A">
        <w:trPr>
          <w:trHeight w:val="134"/>
        </w:trPr>
        <w:tc>
          <w:tcPr>
            <w:tcW w:w="3955" w:type="dxa"/>
          </w:tcPr>
          <w:p w14:paraId="1BB9FF8D"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All participants</w:t>
            </w:r>
          </w:p>
          <w:p w14:paraId="498D7C1E"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(n=306)</w:t>
            </w:r>
          </w:p>
        </w:tc>
        <w:tc>
          <w:tcPr>
            <w:tcW w:w="4576" w:type="dxa"/>
          </w:tcPr>
          <w:p w14:paraId="53DF7811" w14:textId="77777777" w:rsidR="004C12CF" w:rsidRPr="00CA4ABC" w:rsidRDefault="004C12CF" w:rsidP="004053D7">
            <w:pPr>
              <w:spacing w:line="360" w:lineRule="auto"/>
              <w:rPr>
                <w:rFonts w:cstheme="minorHAnsi"/>
                <w:color w:val="000000" w:themeColor="text1"/>
                <w:sz w:val="20"/>
                <w:szCs w:val="20"/>
              </w:rPr>
            </w:pPr>
            <w:r w:rsidRPr="00CA4ABC">
              <w:rPr>
                <w:rFonts w:cstheme="minorHAnsi"/>
                <w:color w:val="000000" w:themeColor="text1"/>
                <w:sz w:val="20"/>
                <w:szCs w:val="20"/>
              </w:rPr>
              <w:t>15.83 (2.62)</w:t>
            </w:r>
          </w:p>
        </w:tc>
      </w:tr>
      <w:tr w:rsidR="004053D7" w:rsidRPr="00CA4ABC" w14:paraId="5776A533" w14:textId="77777777" w:rsidTr="009E173A">
        <w:trPr>
          <w:trHeight w:val="134"/>
        </w:trPr>
        <w:tc>
          <w:tcPr>
            <w:tcW w:w="3955" w:type="dxa"/>
          </w:tcPr>
          <w:p w14:paraId="1A93E610"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 xml:space="preserve">Participants consuming </w:t>
            </w:r>
            <w:r w:rsidRPr="00CA4ABC">
              <w:rPr>
                <w:rFonts w:eastAsia="Gungsuh" w:cstheme="minorHAnsi"/>
                <w:color w:val="000000" w:themeColor="text1"/>
                <w:sz w:val="20"/>
                <w:szCs w:val="20"/>
              </w:rPr>
              <w:t>≤</w:t>
            </w:r>
            <w:r w:rsidRPr="00CA4ABC">
              <w:rPr>
                <w:rFonts w:cstheme="minorHAnsi"/>
                <w:color w:val="000000" w:themeColor="text1"/>
                <w:sz w:val="20"/>
                <w:szCs w:val="20"/>
              </w:rPr>
              <w:t>1g/kg BM protein (n=150)</w:t>
            </w:r>
          </w:p>
        </w:tc>
        <w:tc>
          <w:tcPr>
            <w:tcW w:w="4576" w:type="dxa"/>
          </w:tcPr>
          <w:p w14:paraId="36EDAF9B" w14:textId="77777777" w:rsidR="004C12CF" w:rsidRPr="00CA4ABC" w:rsidRDefault="004C12CF" w:rsidP="004053D7">
            <w:pPr>
              <w:spacing w:line="360" w:lineRule="auto"/>
              <w:rPr>
                <w:rFonts w:cstheme="minorHAnsi"/>
                <w:color w:val="000000" w:themeColor="text1"/>
                <w:sz w:val="20"/>
                <w:szCs w:val="20"/>
              </w:rPr>
            </w:pPr>
            <w:r w:rsidRPr="00CA4ABC">
              <w:rPr>
                <w:rFonts w:eastAsia="Arial" w:cstheme="minorHAnsi"/>
                <w:color w:val="000000" w:themeColor="text1"/>
                <w:sz w:val="20"/>
                <w:szCs w:val="20"/>
              </w:rPr>
              <w:t>15.39 (2.64)</w:t>
            </w:r>
          </w:p>
        </w:tc>
      </w:tr>
      <w:tr w:rsidR="004053D7" w:rsidRPr="00CA4ABC" w14:paraId="74A60A24" w14:textId="77777777" w:rsidTr="009E173A">
        <w:trPr>
          <w:trHeight w:val="134"/>
        </w:trPr>
        <w:tc>
          <w:tcPr>
            <w:tcW w:w="3955" w:type="dxa"/>
          </w:tcPr>
          <w:p w14:paraId="7DAC71D6"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Participants consuming &gt;1g/kg BM protein (n=156)</w:t>
            </w:r>
          </w:p>
        </w:tc>
        <w:tc>
          <w:tcPr>
            <w:tcW w:w="4576" w:type="dxa"/>
          </w:tcPr>
          <w:p w14:paraId="5B98168D" w14:textId="77777777" w:rsidR="004C12CF" w:rsidRPr="00CA4ABC" w:rsidRDefault="004C12CF" w:rsidP="004053D7">
            <w:pPr>
              <w:spacing w:line="360" w:lineRule="auto"/>
              <w:rPr>
                <w:rFonts w:eastAsia="Arial" w:cstheme="minorHAnsi"/>
                <w:color w:val="000000" w:themeColor="text1"/>
                <w:sz w:val="20"/>
                <w:szCs w:val="20"/>
              </w:rPr>
            </w:pPr>
            <w:r w:rsidRPr="00CA4ABC">
              <w:rPr>
                <w:rFonts w:cstheme="minorHAnsi"/>
                <w:color w:val="000000" w:themeColor="text1"/>
                <w:sz w:val="20"/>
                <w:szCs w:val="20"/>
              </w:rPr>
              <w:t>16.28 (2.58)</w:t>
            </w:r>
          </w:p>
        </w:tc>
      </w:tr>
      <w:tr w:rsidR="004053D7" w:rsidRPr="00CA4ABC" w14:paraId="402CC6E3" w14:textId="77777777" w:rsidTr="009E173A">
        <w:trPr>
          <w:trHeight w:val="134"/>
        </w:trPr>
        <w:tc>
          <w:tcPr>
            <w:tcW w:w="3955" w:type="dxa"/>
          </w:tcPr>
          <w:p w14:paraId="20E00F00"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Participant aged &lt;55 years (n=184)</w:t>
            </w:r>
          </w:p>
        </w:tc>
        <w:tc>
          <w:tcPr>
            <w:tcW w:w="4576" w:type="dxa"/>
          </w:tcPr>
          <w:p w14:paraId="4EAC39A8" w14:textId="77777777" w:rsidR="004C12CF" w:rsidRPr="00CA4ABC" w:rsidRDefault="004C12CF" w:rsidP="004053D7">
            <w:pPr>
              <w:spacing w:line="360" w:lineRule="auto"/>
              <w:rPr>
                <w:rFonts w:cstheme="minorHAnsi"/>
                <w:color w:val="000000" w:themeColor="text1"/>
                <w:sz w:val="20"/>
                <w:szCs w:val="20"/>
              </w:rPr>
            </w:pPr>
            <w:r w:rsidRPr="00CA4ABC">
              <w:rPr>
                <w:rFonts w:cstheme="minorHAnsi"/>
                <w:color w:val="000000" w:themeColor="text1"/>
                <w:sz w:val="20"/>
                <w:szCs w:val="20"/>
              </w:rPr>
              <w:t>15.86 (2.72)</w:t>
            </w:r>
          </w:p>
        </w:tc>
      </w:tr>
      <w:tr w:rsidR="004053D7" w:rsidRPr="00CA4ABC" w14:paraId="3B722CC3" w14:textId="77777777" w:rsidTr="009E173A">
        <w:trPr>
          <w:trHeight w:val="134"/>
        </w:trPr>
        <w:tc>
          <w:tcPr>
            <w:tcW w:w="3955" w:type="dxa"/>
          </w:tcPr>
          <w:p w14:paraId="10D6B8AD"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 xml:space="preserve">Participant aged </w:t>
            </w:r>
            <w:r w:rsidRPr="00CA4ABC">
              <w:rPr>
                <w:rFonts w:cstheme="minorHAnsi"/>
                <w:b/>
                <w:bCs/>
                <w:color w:val="000000" w:themeColor="text1"/>
                <w:sz w:val="20"/>
                <w:szCs w:val="20"/>
                <w:shd w:val="clear" w:color="auto" w:fill="FFFFFF"/>
              </w:rPr>
              <w:t xml:space="preserve"> </w:t>
            </w:r>
            <w:r w:rsidRPr="00CA4ABC">
              <w:rPr>
                <w:rFonts w:cstheme="minorHAnsi"/>
                <w:color w:val="000000" w:themeColor="text1"/>
                <w:sz w:val="20"/>
                <w:szCs w:val="20"/>
                <w:shd w:val="clear" w:color="auto" w:fill="FFFFFF"/>
              </w:rPr>
              <w:t>≥</w:t>
            </w:r>
            <w:r w:rsidRPr="00CA4ABC">
              <w:rPr>
                <w:rFonts w:cstheme="minorHAnsi"/>
                <w:color w:val="000000" w:themeColor="text1"/>
                <w:sz w:val="20"/>
                <w:szCs w:val="20"/>
              </w:rPr>
              <w:t xml:space="preserve"> 55 years (n=123)</w:t>
            </w:r>
          </w:p>
        </w:tc>
        <w:tc>
          <w:tcPr>
            <w:tcW w:w="4576" w:type="dxa"/>
          </w:tcPr>
          <w:p w14:paraId="18777FE5" w14:textId="77777777" w:rsidR="004C12CF" w:rsidRPr="00CA4ABC" w:rsidRDefault="004C12CF" w:rsidP="004053D7">
            <w:pPr>
              <w:spacing w:line="360" w:lineRule="auto"/>
              <w:rPr>
                <w:rFonts w:cstheme="minorHAnsi"/>
                <w:color w:val="000000" w:themeColor="text1"/>
                <w:sz w:val="20"/>
                <w:szCs w:val="20"/>
              </w:rPr>
            </w:pPr>
            <w:r w:rsidRPr="00CA4ABC">
              <w:rPr>
                <w:rFonts w:cstheme="minorHAnsi"/>
                <w:color w:val="000000" w:themeColor="text1"/>
                <w:sz w:val="20"/>
                <w:szCs w:val="20"/>
              </w:rPr>
              <w:t>15.70 (2.16)</w:t>
            </w:r>
          </w:p>
        </w:tc>
      </w:tr>
      <w:tr w:rsidR="004053D7" w:rsidRPr="00CA4ABC" w14:paraId="449BE7BA" w14:textId="77777777" w:rsidTr="009E173A">
        <w:trPr>
          <w:trHeight w:val="134"/>
        </w:trPr>
        <w:tc>
          <w:tcPr>
            <w:tcW w:w="3955" w:type="dxa"/>
          </w:tcPr>
          <w:p w14:paraId="262C1400"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Females (n=217)</w:t>
            </w:r>
          </w:p>
        </w:tc>
        <w:tc>
          <w:tcPr>
            <w:tcW w:w="4576" w:type="dxa"/>
          </w:tcPr>
          <w:p w14:paraId="040811B4" w14:textId="77777777" w:rsidR="004C12CF" w:rsidRPr="00CA4ABC" w:rsidRDefault="004C12CF" w:rsidP="004053D7">
            <w:pPr>
              <w:spacing w:line="360" w:lineRule="auto"/>
              <w:rPr>
                <w:rFonts w:cstheme="minorHAnsi"/>
                <w:color w:val="000000" w:themeColor="text1"/>
                <w:sz w:val="20"/>
                <w:szCs w:val="20"/>
              </w:rPr>
            </w:pPr>
            <w:r w:rsidRPr="00CA4ABC">
              <w:rPr>
                <w:rFonts w:cstheme="minorHAnsi"/>
                <w:color w:val="000000" w:themeColor="text1"/>
                <w:sz w:val="20"/>
                <w:szCs w:val="20"/>
              </w:rPr>
              <w:t>15.96 (2.64)</w:t>
            </w:r>
          </w:p>
        </w:tc>
      </w:tr>
      <w:tr w:rsidR="004053D7" w:rsidRPr="00CA4ABC" w14:paraId="4B8DE273" w14:textId="77777777" w:rsidTr="009E173A">
        <w:trPr>
          <w:trHeight w:val="134"/>
        </w:trPr>
        <w:tc>
          <w:tcPr>
            <w:tcW w:w="3955" w:type="dxa"/>
          </w:tcPr>
          <w:p w14:paraId="2C15B366" w14:textId="77777777" w:rsidR="004C12CF" w:rsidRPr="00CA4ABC" w:rsidRDefault="004C12CF" w:rsidP="004053D7">
            <w:pPr>
              <w:spacing w:line="360" w:lineRule="auto"/>
              <w:jc w:val="right"/>
              <w:rPr>
                <w:rFonts w:cstheme="minorHAnsi"/>
                <w:color w:val="000000" w:themeColor="text1"/>
                <w:sz w:val="20"/>
                <w:szCs w:val="20"/>
              </w:rPr>
            </w:pPr>
            <w:r w:rsidRPr="00CA4ABC">
              <w:rPr>
                <w:rFonts w:cstheme="minorHAnsi"/>
                <w:color w:val="000000" w:themeColor="text1"/>
                <w:sz w:val="20"/>
                <w:szCs w:val="20"/>
              </w:rPr>
              <w:t>Males (n=65)</w:t>
            </w:r>
          </w:p>
        </w:tc>
        <w:tc>
          <w:tcPr>
            <w:tcW w:w="4576" w:type="dxa"/>
          </w:tcPr>
          <w:p w14:paraId="579007F3" w14:textId="77777777" w:rsidR="004C12CF" w:rsidRPr="00CA4ABC" w:rsidRDefault="004C12CF" w:rsidP="004053D7">
            <w:pPr>
              <w:spacing w:line="360" w:lineRule="auto"/>
              <w:rPr>
                <w:rFonts w:cstheme="minorHAnsi"/>
                <w:color w:val="000000" w:themeColor="text1"/>
                <w:sz w:val="20"/>
                <w:szCs w:val="20"/>
              </w:rPr>
            </w:pPr>
            <w:r w:rsidRPr="00CA4ABC">
              <w:rPr>
                <w:rFonts w:cstheme="minorHAnsi"/>
                <w:color w:val="000000" w:themeColor="text1"/>
                <w:sz w:val="20"/>
                <w:szCs w:val="20"/>
              </w:rPr>
              <w:t>15.37 (2.78)</w:t>
            </w:r>
          </w:p>
        </w:tc>
      </w:tr>
    </w:tbl>
    <w:p w14:paraId="1A6E0939" w14:textId="307FACA4" w:rsidR="004C12CF" w:rsidRDefault="004C12CF" w:rsidP="004053D7">
      <w:pPr>
        <w:pStyle w:val="Caption"/>
        <w:spacing w:line="360" w:lineRule="auto"/>
        <w:rPr>
          <w:rFonts w:cstheme="minorHAnsi"/>
          <w:i w:val="0"/>
          <w:iCs w:val="0"/>
          <w:color w:val="000000" w:themeColor="text1"/>
          <w:sz w:val="24"/>
          <w:szCs w:val="24"/>
        </w:rPr>
      </w:pPr>
      <w:bookmarkStart w:id="169" w:name="_Ref122340156"/>
      <w:bookmarkStart w:id="170" w:name="_Toc122956577"/>
      <w:r w:rsidRPr="00314E15">
        <w:rPr>
          <w:rFonts w:cstheme="minorHAnsi"/>
          <w:i w:val="0"/>
          <w:iCs w:val="0"/>
          <w:color w:val="000000" w:themeColor="text1"/>
          <w:sz w:val="24"/>
          <w:szCs w:val="24"/>
        </w:rPr>
        <w:t xml:space="preserve">Table </w:t>
      </w:r>
      <w:r w:rsidRPr="00314E15">
        <w:rPr>
          <w:rFonts w:cstheme="minorHAnsi"/>
          <w:i w:val="0"/>
          <w:iCs w:val="0"/>
          <w:color w:val="000000" w:themeColor="text1"/>
          <w:sz w:val="24"/>
          <w:szCs w:val="24"/>
        </w:rPr>
        <w:fldChar w:fldCharType="begin"/>
      </w:r>
      <w:r w:rsidRPr="00314E15">
        <w:rPr>
          <w:rFonts w:cstheme="minorHAnsi"/>
          <w:i w:val="0"/>
          <w:iCs w:val="0"/>
          <w:color w:val="000000" w:themeColor="text1"/>
          <w:sz w:val="24"/>
          <w:szCs w:val="24"/>
        </w:rPr>
        <w:instrText xml:space="preserve"> SEQ Table \* ARABIC </w:instrText>
      </w:r>
      <w:r w:rsidRPr="00314E15">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12</w:t>
      </w:r>
      <w:r w:rsidRPr="00314E15">
        <w:rPr>
          <w:rFonts w:cstheme="minorHAnsi"/>
          <w:i w:val="0"/>
          <w:iCs w:val="0"/>
          <w:color w:val="000000" w:themeColor="text1"/>
          <w:sz w:val="24"/>
          <w:szCs w:val="24"/>
        </w:rPr>
        <w:fldChar w:fldCharType="end"/>
      </w:r>
      <w:bookmarkEnd w:id="169"/>
      <w:r w:rsidR="00314E15" w:rsidRPr="00314E15">
        <w:rPr>
          <w:rFonts w:cstheme="minorHAnsi"/>
          <w:i w:val="0"/>
          <w:iCs w:val="0"/>
          <w:color w:val="000000" w:themeColor="text1"/>
          <w:sz w:val="24"/>
          <w:szCs w:val="24"/>
        </w:rPr>
        <w:t>. P</w:t>
      </w:r>
      <w:r w:rsidRPr="00314E15">
        <w:rPr>
          <w:rFonts w:cstheme="minorHAnsi"/>
          <w:i w:val="0"/>
          <w:iCs w:val="0"/>
          <w:color w:val="000000" w:themeColor="text1"/>
          <w:sz w:val="24"/>
          <w:szCs w:val="24"/>
        </w:rPr>
        <w:t>rotein knowledge scores for all participants and for participants split by protein intakes, age and sex.</w:t>
      </w:r>
      <w:bookmarkEnd w:id="170"/>
    </w:p>
    <w:p w14:paraId="4C34A423" w14:textId="77777777" w:rsidR="0005180B" w:rsidRPr="0005180B" w:rsidRDefault="0005180B" w:rsidP="0005180B"/>
    <w:p w14:paraId="4F3229A4" w14:textId="74722593" w:rsidR="004C12CF" w:rsidRPr="00314E15" w:rsidRDefault="00314E15" w:rsidP="004053D7">
      <w:pPr>
        <w:spacing w:line="360" w:lineRule="auto"/>
        <w:rPr>
          <w:rFonts w:cstheme="minorHAnsi"/>
          <w:color w:val="000000" w:themeColor="text1"/>
        </w:rPr>
      </w:pPr>
      <w:r w:rsidRPr="00314E15">
        <w:rPr>
          <w:rFonts w:cstheme="minorHAnsi"/>
          <w:noProof/>
          <w:color w:val="000000" w:themeColor="text1"/>
        </w:rPr>
        <w:lastRenderedPageBreak/>
        <w:drawing>
          <wp:inline distT="0" distB="0" distL="0" distR="0" wp14:anchorId="774A4DCE" wp14:editId="59EEDF19">
            <wp:extent cx="5727700" cy="2812266"/>
            <wp:effectExtent l="0" t="0" r="12700" b="7620"/>
            <wp:docPr id="69" name="Chart 69">
              <a:extLst xmlns:a="http://schemas.openxmlformats.org/drawingml/2006/main">
                <a:ext uri="{FF2B5EF4-FFF2-40B4-BE49-F238E27FC236}">
                  <a16:creationId xmlns:a16="http://schemas.microsoft.com/office/drawing/2014/main" id="{3A058C82-164B-3716-A8C2-38BD7A5DE0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248B307" w14:textId="744CAA49" w:rsidR="004C12CF" w:rsidRDefault="004C12CF" w:rsidP="00E8340C">
      <w:pPr>
        <w:pStyle w:val="Caption"/>
        <w:spacing w:line="360" w:lineRule="auto"/>
        <w:rPr>
          <w:rFonts w:cstheme="minorHAnsi"/>
          <w:i w:val="0"/>
          <w:iCs w:val="0"/>
          <w:color w:val="000000" w:themeColor="text1"/>
          <w:sz w:val="24"/>
          <w:szCs w:val="24"/>
        </w:rPr>
      </w:pPr>
      <w:bookmarkStart w:id="171" w:name="_Ref123893867"/>
      <w:bookmarkStart w:id="172" w:name="_Ref122342861"/>
      <w:bookmarkStart w:id="173" w:name="_Toc127044194"/>
      <w:bookmarkStart w:id="174" w:name="_Toc127978476"/>
      <w:r w:rsidRPr="00314E15">
        <w:rPr>
          <w:rFonts w:cstheme="minorHAnsi"/>
          <w:i w:val="0"/>
          <w:iCs w:val="0"/>
          <w:color w:val="000000" w:themeColor="text1"/>
          <w:sz w:val="24"/>
          <w:szCs w:val="24"/>
        </w:rPr>
        <w:t xml:space="preserve">Figure </w:t>
      </w:r>
      <w:r w:rsidRPr="00314E15">
        <w:rPr>
          <w:rFonts w:cstheme="minorHAnsi"/>
          <w:i w:val="0"/>
          <w:iCs w:val="0"/>
          <w:color w:val="000000" w:themeColor="text1"/>
          <w:sz w:val="24"/>
          <w:szCs w:val="24"/>
        </w:rPr>
        <w:fldChar w:fldCharType="begin"/>
      </w:r>
      <w:r w:rsidRPr="00314E15">
        <w:rPr>
          <w:rFonts w:cstheme="minorHAnsi"/>
          <w:i w:val="0"/>
          <w:iCs w:val="0"/>
          <w:color w:val="000000" w:themeColor="text1"/>
          <w:sz w:val="24"/>
          <w:szCs w:val="24"/>
        </w:rPr>
        <w:instrText xml:space="preserve"> SEQ Figure \* ARABIC </w:instrText>
      </w:r>
      <w:r w:rsidRPr="00314E15">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16</w:t>
      </w:r>
      <w:r w:rsidRPr="00314E15">
        <w:rPr>
          <w:rFonts w:cstheme="minorHAnsi"/>
          <w:i w:val="0"/>
          <w:iCs w:val="0"/>
          <w:color w:val="000000" w:themeColor="text1"/>
          <w:sz w:val="24"/>
          <w:szCs w:val="24"/>
        </w:rPr>
        <w:fldChar w:fldCharType="end"/>
      </w:r>
      <w:bookmarkEnd w:id="171"/>
      <w:r w:rsidR="00314E15" w:rsidRPr="00314E15">
        <w:rPr>
          <w:rFonts w:cstheme="minorHAnsi"/>
          <w:i w:val="0"/>
          <w:iCs w:val="0"/>
          <w:color w:val="000000" w:themeColor="text1"/>
          <w:sz w:val="24"/>
          <w:szCs w:val="24"/>
        </w:rPr>
        <w:t xml:space="preserve">. </w:t>
      </w:r>
      <w:r w:rsidRPr="00314E15">
        <w:rPr>
          <w:rFonts w:cstheme="minorHAnsi"/>
          <w:i w:val="0"/>
          <w:iCs w:val="0"/>
          <w:color w:val="000000" w:themeColor="text1"/>
          <w:sz w:val="24"/>
          <w:szCs w:val="24"/>
        </w:rPr>
        <w:t>Percentage correct</w:t>
      </w:r>
      <w:r w:rsidR="00933888" w:rsidRPr="00314E15">
        <w:rPr>
          <w:rFonts w:cstheme="minorHAnsi"/>
          <w:i w:val="0"/>
          <w:iCs w:val="0"/>
          <w:color w:val="000000" w:themeColor="text1"/>
          <w:sz w:val="24"/>
          <w:szCs w:val="24"/>
        </w:rPr>
        <w:t xml:space="preserve">, </w:t>
      </w:r>
      <w:r w:rsidRPr="00314E15">
        <w:rPr>
          <w:rFonts w:cstheme="minorHAnsi"/>
          <w:i w:val="0"/>
          <w:iCs w:val="0"/>
          <w:color w:val="000000" w:themeColor="text1"/>
          <w:sz w:val="24"/>
          <w:szCs w:val="24"/>
        </w:rPr>
        <w:t>incorrect or not sure for each individual question used to calculate protein knowledge scores (</w:t>
      </w:r>
      <w:r w:rsidR="002111C9" w:rsidRPr="00314E15">
        <w:rPr>
          <w:rFonts w:cstheme="minorHAnsi"/>
          <w:i w:val="0"/>
          <w:iCs w:val="0"/>
          <w:color w:val="000000" w:themeColor="text1"/>
          <w:sz w:val="24"/>
          <w:szCs w:val="24"/>
        </w:rPr>
        <w:t>excluding</w:t>
      </w:r>
      <w:r w:rsidRPr="00314E15">
        <w:rPr>
          <w:rFonts w:cstheme="minorHAnsi"/>
          <w:i w:val="0"/>
          <w:iCs w:val="0"/>
          <w:color w:val="000000" w:themeColor="text1"/>
          <w:sz w:val="24"/>
          <w:szCs w:val="24"/>
        </w:rPr>
        <w:t xml:space="preserve"> question 3).</w:t>
      </w:r>
      <w:bookmarkEnd w:id="172"/>
      <w:bookmarkEnd w:id="173"/>
      <w:bookmarkEnd w:id="174"/>
    </w:p>
    <w:p w14:paraId="11312289" w14:textId="25068D4E" w:rsidR="00314E15" w:rsidRDefault="00314E15" w:rsidP="00314E15"/>
    <w:p w14:paraId="4D3B2856" w14:textId="77777777" w:rsidR="00314E15" w:rsidRPr="00314E15" w:rsidRDefault="00314E15" w:rsidP="00314E15"/>
    <w:tbl>
      <w:tblPr>
        <w:tblStyle w:val="TableGrid"/>
        <w:tblW w:w="0" w:type="auto"/>
        <w:tblLook w:val="04A0" w:firstRow="1" w:lastRow="0" w:firstColumn="1" w:lastColumn="0" w:noHBand="0" w:noVBand="1"/>
      </w:tblPr>
      <w:tblGrid>
        <w:gridCol w:w="2252"/>
        <w:gridCol w:w="2252"/>
        <w:gridCol w:w="2253"/>
        <w:gridCol w:w="2253"/>
      </w:tblGrid>
      <w:tr w:rsidR="004053D7" w:rsidRPr="00CA4ABC" w14:paraId="78A8F364" w14:textId="77777777" w:rsidTr="009E173A">
        <w:tc>
          <w:tcPr>
            <w:tcW w:w="2252" w:type="dxa"/>
          </w:tcPr>
          <w:p w14:paraId="4A08EE22" w14:textId="77777777" w:rsidR="004C12CF" w:rsidRPr="00CA4ABC" w:rsidRDefault="004C12CF" w:rsidP="00314E15">
            <w:pPr>
              <w:jc w:val="center"/>
              <w:rPr>
                <w:rFonts w:cstheme="minorHAnsi"/>
                <w:b/>
                <w:bCs/>
                <w:color w:val="000000" w:themeColor="text1"/>
              </w:rPr>
            </w:pPr>
            <w:r w:rsidRPr="00CA4ABC">
              <w:rPr>
                <w:rFonts w:cstheme="minorHAnsi"/>
                <w:b/>
                <w:bCs/>
                <w:color w:val="000000" w:themeColor="text1"/>
              </w:rPr>
              <w:t>Food</w:t>
            </w:r>
          </w:p>
        </w:tc>
        <w:tc>
          <w:tcPr>
            <w:tcW w:w="2252" w:type="dxa"/>
          </w:tcPr>
          <w:p w14:paraId="53A458FB" w14:textId="77777777" w:rsidR="004C12CF" w:rsidRPr="00CA4ABC" w:rsidRDefault="004C12CF" w:rsidP="00314E15">
            <w:pPr>
              <w:jc w:val="center"/>
              <w:rPr>
                <w:rFonts w:cstheme="minorHAnsi"/>
                <w:b/>
                <w:bCs/>
                <w:color w:val="000000" w:themeColor="text1"/>
              </w:rPr>
            </w:pPr>
            <w:r w:rsidRPr="00CA4ABC">
              <w:rPr>
                <w:rFonts w:cstheme="minorHAnsi"/>
                <w:b/>
                <w:bCs/>
                <w:color w:val="000000" w:themeColor="text1"/>
              </w:rPr>
              <w:t>High (%)</w:t>
            </w:r>
          </w:p>
        </w:tc>
        <w:tc>
          <w:tcPr>
            <w:tcW w:w="2253" w:type="dxa"/>
          </w:tcPr>
          <w:p w14:paraId="62F66BB9" w14:textId="77777777" w:rsidR="004C12CF" w:rsidRPr="00CA4ABC" w:rsidRDefault="004C12CF" w:rsidP="00314E15">
            <w:pPr>
              <w:jc w:val="center"/>
              <w:rPr>
                <w:rFonts w:cstheme="minorHAnsi"/>
                <w:b/>
                <w:bCs/>
                <w:color w:val="000000" w:themeColor="text1"/>
              </w:rPr>
            </w:pPr>
            <w:r w:rsidRPr="00CA4ABC">
              <w:rPr>
                <w:rFonts w:cstheme="minorHAnsi"/>
                <w:b/>
                <w:bCs/>
                <w:color w:val="000000" w:themeColor="text1"/>
              </w:rPr>
              <w:t>Low (%)</w:t>
            </w:r>
          </w:p>
        </w:tc>
        <w:tc>
          <w:tcPr>
            <w:tcW w:w="2253" w:type="dxa"/>
          </w:tcPr>
          <w:p w14:paraId="228F908B" w14:textId="77777777" w:rsidR="004C12CF" w:rsidRPr="00CA4ABC" w:rsidRDefault="004C12CF" w:rsidP="00314E15">
            <w:pPr>
              <w:jc w:val="center"/>
              <w:rPr>
                <w:rFonts w:cstheme="minorHAnsi"/>
                <w:b/>
                <w:bCs/>
                <w:color w:val="000000" w:themeColor="text1"/>
              </w:rPr>
            </w:pPr>
            <w:r w:rsidRPr="00CA4ABC">
              <w:rPr>
                <w:rFonts w:cstheme="minorHAnsi"/>
                <w:b/>
                <w:bCs/>
                <w:color w:val="000000" w:themeColor="text1"/>
              </w:rPr>
              <w:t>Not sure (%)</w:t>
            </w:r>
          </w:p>
        </w:tc>
      </w:tr>
      <w:tr w:rsidR="004053D7" w:rsidRPr="00CA4ABC" w14:paraId="16B86A5C" w14:textId="77777777" w:rsidTr="009E173A">
        <w:tc>
          <w:tcPr>
            <w:tcW w:w="2252" w:type="dxa"/>
          </w:tcPr>
          <w:p w14:paraId="048E4DCD" w14:textId="77777777" w:rsidR="004C12CF" w:rsidRPr="00CA4ABC" w:rsidRDefault="004C12CF" w:rsidP="00E8340C">
            <w:pPr>
              <w:rPr>
                <w:rFonts w:cstheme="minorHAnsi"/>
                <w:color w:val="000000" w:themeColor="text1"/>
              </w:rPr>
            </w:pPr>
            <w:r w:rsidRPr="00CA4ABC">
              <w:rPr>
                <w:rFonts w:cstheme="minorHAnsi"/>
                <w:color w:val="000000" w:themeColor="text1"/>
              </w:rPr>
              <w:t>Poultry</w:t>
            </w:r>
          </w:p>
        </w:tc>
        <w:tc>
          <w:tcPr>
            <w:tcW w:w="2252" w:type="dxa"/>
            <w:shd w:val="clear" w:color="auto" w:fill="C5E0B3" w:themeFill="accent6" w:themeFillTint="66"/>
          </w:tcPr>
          <w:p w14:paraId="624B585C" w14:textId="77777777" w:rsidR="004C12CF" w:rsidRPr="00CA4ABC" w:rsidRDefault="004C12CF" w:rsidP="00E8340C">
            <w:pPr>
              <w:rPr>
                <w:rFonts w:cstheme="minorHAnsi"/>
                <w:color w:val="000000" w:themeColor="text1"/>
              </w:rPr>
            </w:pPr>
            <w:r w:rsidRPr="00CA4ABC">
              <w:rPr>
                <w:rFonts w:cstheme="minorHAnsi"/>
                <w:color w:val="000000" w:themeColor="text1"/>
              </w:rPr>
              <w:t>287 (93.8)</w:t>
            </w:r>
          </w:p>
        </w:tc>
        <w:tc>
          <w:tcPr>
            <w:tcW w:w="2253" w:type="dxa"/>
          </w:tcPr>
          <w:p w14:paraId="7F89A5AC" w14:textId="77777777" w:rsidR="004C12CF" w:rsidRPr="00CA4ABC" w:rsidRDefault="004C12CF" w:rsidP="00E8340C">
            <w:pPr>
              <w:rPr>
                <w:rFonts w:cstheme="minorHAnsi"/>
                <w:color w:val="000000" w:themeColor="text1"/>
              </w:rPr>
            </w:pPr>
            <w:r w:rsidRPr="00CA4ABC">
              <w:rPr>
                <w:rFonts w:cstheme="minorHAnsi"/>
                <w:color w:val="000000" w:themeColor="text1"/>
              </w:rPr>
              <w:t>11 (3.6)</w:t>
            </w:r>
          </w:p>
        </w:tc>
        <w:tc>
          <w:tcPr>
            <w:tcW w:w="2253" w:type="dxa"/>
          </w:tcPr>
          <w:p w14:paraId="5EA5B909" w14:textId="77777777" w:rsidR="004C12CF" w:rsidRPr="00CA4ABC" w:rsidRDefault="004C12CF" w:rsidP="00E8340C">
            <w:pPr>
              <w:rPr>
                <w:rFonts w:cstheme="minorHAnsi"/>
                <w:color w:val="000000" w:themeColor="text1"/>
              </w:rPr>
            </w:pPr>
            <w:r w:rsidRPr="00CA4ABC">
              <w:rPr>
                <w:rFonts w:cstheme="minorHAnsi"/>
                <w:color w:val="000000" w:themeColor="text1"/>
              </w:rPr>
              <w:t>8 (2.6)</w:t>
            </w:r>
          </w:p>
        </w:tc>
      </w:tr>
      <w:tr w:rsidR="004053D7" w:rsidRPr="00CA4ABC" w14:paraId="2D927DDD" w14:textId="77777777" w:rsidTr="009E173A">
        <w:tc>
          <w:tcPr>
            <w:tcW w:w="2252" w:type="dxa"/>
          </w:tcPr>
          <w:p w14:paraId="3BD507F7" w14:textId="77777777" w:rsidR="004C12CF" w:rsidRPr="00CA4ABC" w:rsidRDefault="004C12CF" w:rsidP="00E8340C">
            <w:pPr>
              <w:rPr>
                <w:rFonts w:cstheme="minorHAnsi"/>
                <w:color w:val="000000" w:themeColor="text1"/>
              </w:rPr>
            </w:pPr>
            <w:r w:rsidRPr="00CA4ABC">
              <w:rPr>
                <w:rFonts w:cstheme="minorHAnsi"/>
                <w:color w:val="000000" w:themeColor="text1"/>
              </w:rPr>
              <w:t>Cheese</w:t>
            </w:r>
          </w:p>
        </w:tc>
        <w:tc>
          <w:tcPr>
            <w:tcW w:w="2252" w:type="dxa"/>
            <w:shd w:val="clear" w:color="auto" w:fill="C5E0B3" w:themeFill="accent6" w:themeFillTint="66"/>
          </w:tcPr>
          <w:p w14:paraId="769F5F93" w14:textId="77777777" w:rsidR="004C12CF" w:rsidRPr="00CA4ABC" w:rsidRDefault="004C12CF" w:rsidP="00E8340C">
            <w:pPr>
              <w:rPr>
                <w:rFonts w:cstheme="minorHAnsi"/>
                <w:color w:val="000000" w:themeColor="text1"/>
              </w:rPr>
            </w:pPr>
            <w:r w:rsidRPr="00CA4ABC">
              <w:rPr>
                <w:rFonts w:cstheme="minorHAnsi"/>
                <w:color w:val="000000" w:themeColor="text1"/>
              </w:rPr>
              <w:t>234 (76.5)</w:t>
            </w:r>
          </w:p>
        </w:tc>
        <w:tc>
          <w:tcPr>
            <w:tcW w:w="2253" w:type="dxa"/>
          </w:tcPr>
          <w:p w14:paraId="5B228A3B" w14:textId="77777777" w:rsidR="004C12CF" w:rsidRPr="00CA4ABC" w:rsidRDefault="004C12CF" w:rsidP="00E8340C">
            <w:pPr>
              <w:rPr>
                <w:rFonts w:cstheme="minorHAnsi"/>
                <w:color w:val="000000" w:themeColor="text1"/>
              </w:rPr>
            </w:pPr>
            <w:r w:rsidRPr="00CA4ABC">
              <w:rPr>
                <w:rFonts w:cstheme="minorHAnsi"/>
                <w:color w:val="000000" w:themeColor="text1"/>
              </w:rPr>
              <w:t>67 (21.9)</w:t>
            </w:r>
          </w:p>
        </w:tc>
        <w:tc>
          <w:tcPr>
            <w:tcW w:w="2253" w:type="dxa"/>
          </w:tcPr>
          <w:p w14:paraId="571DCEC7" w14:textId="77777777" w:rsidR="004C12CF" w:rsidRPr="00CA4ABC" w:rsidRDefault="004C12CF" w:rsidP="00E8340C">
            <w:pPr>
              <w:rPr>
                <w:rFonts w:cstheme="minorHAnsi"/>
                <w:color w:val="000000" w:themeColor="text1"/>
              </w:rPr>
            </w:pPr>
            <w:r w:rsidRPr="00CA4ABC">
              <w:rPr>
                <w:rFonts w:cstheme="minorHAnsi"/>
                <w:color w:val="000000" w:themeColor="text1"/>
              </w:rPr>
              <w:t>5 (1.6)</w:t>
            </w:r>
          </w:p>
        </w:tc>
      </w:tr>
      <w:tr w:rsidR="004053D7" w:rsidRPr="00CA4ABC" w14:paraId="1BE960B0" w14:textId="77777777" w:rsidTr="009E173A">
        <w:tc>
          <w:tcPr>
            <w:tcW w:w="2252" w:type="dxa"/>
          </w:tcPr>
          <w:p w14:paraId="67F34B65" w14:textId="77777777" w:rsidR="004C12CF" w:rsidRPr="00CA4ABC" w:rsidRDefault="004C12CF" w:rsidP="00E8340C">
            <w:pPr>
              <w:rPr>
                <w:rFonts w:cstheme="minorHAnsi"/>
                <w:color w:val="000000" w:themeColor="text1"/>
              </w:rPr>
            </w:pPr>
            <w:r w:rsidRPr="00CA4ABC">
              <w:rPr>
                <w:rFonts w:cstheme="minorHAnsi"/>
                <w:color w:val="000000" w:themeColor="text1"/>
              </w:rPr>
              <w:t>Fruit</w:t>
            </w:r>
          </w:p>
        </w:tc>
        <w:tc>
          <w:tcPr>
            <w:tcW w:w="2252" w:type="dxa"/>
          </w:tcPr>
          <w:p w14:paraId="7BA03FCC" w14:textId="77777777" w:rsidR="004C12CF" w:rsidRPr="00CA4ABC" w:rsidRDefault="004C12CF" w:rsidP="00E8340C">
            <w:pPr>
              <w:rPr>
                <w:rFonts w:cstheme="minorHAnsi"/>
                <w:color w:val="000000" w:themeColor="text1"/>
              </w:rPr>
            </w:pPr>
            <w:r w:rsidRPr="00CA4ABC">
              <w:rPr>
                <w:rFonts w:cstheme="minorHAnsi"/>
                <w:color w:val="000000" w:themeColor="text1"/>
              </w:rPr>
              <w:t>12 (3.9)</w:t>
            </w:r>
          </w:p>
        </w:tc>
        <w:tc>
          <w:tcPr>
            <w:tcW w:w="2253" w:type="dxa"/>
            <w:shd w:val="clear" w:color="auto" w:fill="C5E0B3" w:themeFill="accent6" w:themeFillTint="66"/>
          </w:tcPr>
          <w:p w14:paraId="4DBC7AB5" w14:textId="77777777" w:rsidR="004C12CF" w:rsidRPr="00CA4ABC" w:rsidRDefault="004C12CF" w:rsidP="00E8340C">
            <w:pPr>
              <w:rPr>
                <w:rFonts w:cstheme="minorHAnsi"/>
                <w:color w:val="000000" w:themeColor="text1"/>
              </w:rPr>
            </w:pPr>
            <w:r w:rsidRPr="00CA4ABC">
              <w:rPr>
                <w:rFonts w:cstheme="minorHAnsi"/>
                <w:color w:val="000000" w:themeColor="text1"/>
              </w:rPr>
              <w:t>285 (93.1)</w:t>
            </w:r>
          </w:p>
        </w:tc>
        <w:tc>
          <w:tcPr>
            <w:tcW w:w="2253" w:type="dxa"/>
          </w:tcPr>
          <w:p w14:paraId="52BC467F" w14:textId="77777777" w:rsidR="004C12CF" w:rsidRPr="00CA4ABC" w:rsidRDefault="004C12CF" w:rsidP="00E8340C">
            <w:pPr>
              <w:rPr>
                <w:rFonts w:cstheme="minorHAnsi"/>
                <w:color w:val="000000" w:themeColor="text1"/>
              </w:rPr>
            </w:pPr>
            <w:r w:rsidRPr="00CA4ABC">
              <w:rPr>
                <w:rFonts w:cstheme="minorHAnsi"/>
                <w:color w:val="000000" w:themeColor="text1"/>
              </w:rPr>
              <w:t>9 (2.9)</w:t>
            </w:r>
          </w:p>
        </w:tc>
      </w:tr>
      <w:tr w:rsidR="004053D7" w:rsidRPr="00CA4ABC" w14:paraId="7216DF95" w14:textId="77777777" w:rsidTr="009E173A">
        <w:tc>
          <w:tcPr>
            <w:tcW w:w="2252" w:type="dxa"/>
          </w:tcPr>
          <w:p w14:paraId="632EFEA7" w14:textId="77777777" w:rsidR="004C12CF" w:rsidRPr="00CA4ABC" w:rsidRDefault="004C12CF" w:rsidP="00E8340C">
            <w:pPr>
              <w:rPr>
                <w:rFonts w:cstheme="minorHAnsi"/>
                <w:color w:val="000000" w:themeColor="text1"/>
              </w:rPr>
            </w:pPr>
            <w:r w:rsidRPr="00CA4ABC">
              <w:rPr>
                <w:rFonts w:cstheme="minorHAnsi"/>
                <w:color w:val="000000" w:themeColor="text1"/>
              </w:rPr>
              <w:t>Baked beans</w:t>
            </w:r>
          </w:p>
        </w:tc>
        <w:tc>
          <w:tcPr>
            <w:tcW w:w="2252" w:type="dxa"/>
            <w:shd w:val="clear" w:color="auto" w:fill="C5E0B3"/>
          </w:tcPr>
          <w:p w14:paraId="1CEC27C9" w14:textId="77777777" w:rsidR="004C12CF" w:rsidRPr="00CA4ABC" w:rsidRDefault="004C12CF" w:rsidP="00E8340C">
            <w:pPr>
              <w:rPr>
                <w:rFonts w:cstheme="minorHAnsi"/>
                <w:color w:val="000000" w:themeColor="text1"/>
              </w:rPr>
            </w:pPr>
            <w:r w:rsidRPr="00CA4ABC">
              <w:rPr>
                <w:rFonts w:cstheme="minorHAnsi"/>
                <w:color w:val="000000" w:themeColor="text1"/>
              </w:rPr>
              <w:t>268 (87.6)</w:t>
            </w:r>
          </w:p>
        </w:tc>
        <w:tc>
          <w:tcPr>
            <w:tcW w:w="2253" w:type="dxa"/>
          </w:tcPr>
          <w:p w14:paraId="2ABEF8B4" w14:textId="77777777" w:rsidR="004C12CF" w:rsidRPr="00CA4ABC" w:rsidRDefault="004C12CF" w:rsidP="00E8340C">
            <w:pPr>
              <w:rPr>
                <w:rFonts w:cstheme="minorHAnsi"/>
                <w:color w:val="000000" w:themeColor="text1"/>
              </w:rPr>
            </w:pPr>
            <w:r w:rsidRPr="00CA4ABC">
              <w:rPr>
                <w:rFonts w:cstheme="minorHAnsi"/>
                <w:color w:val="000000" w:themeColor="text1"/>
              </w:rPr>
              <w:t>30 (9.8)</w:t>
            </w:r>
          </w:p>
        </w:tc>
        <w:tc>
          <w:tcPr>
            <w:tcW w:w="2253" w:type="dxa"/>
          </w:tcPr>
          <w:p w14:paraId="7B57CB15" w14:textId="77777777" w:rsidR="004C12CF" w:rsidRPr="00CA4ABC" w:rsidRDefault="004C12CF" w:rsidP="00E8340C">
            <w:pPr>
              <w:rPr>
                <w:rFonts w:cstheme="minorHAnsi"/>
                <w:color w:val="000000" w:themeColor="text1"/>
              </w:rPr>
            </w:pPr>
            <w:r w:rsidRPr="00CA4ABC">
              <w:rPr>
                <w:rFonts w:cstheme="minorHAnsi"/>
                <w:color w:val="000000" w:themeColor="text1"/>
              </w:rPr>
              <w:t>8 (2.6)</w:t>
            </w:r>
          </w:p>
        </w:tc>
      </w:tr>
      <w:tr w:rsidR="004053D7" w:rsidRPr="00CA4ABC" w14:paraId="169D8036" w14:textId="77777777" w:rsidTr="009E173A">
        <w:tc>
          <w:tcPr>
            <w:tcW w:w="2252" w:type="dxa"/>
          </w:tcPr>
          <w:p w14:paraId="728C5A2D" w14:textId="77777777" w:rsidR="004C12CF" w:rsidRPr="00CA4ABC" w:rsidRDefault="004C12CF" w:rsidP="00E8340C">
            <w:pPr>
              <w:rPr>
                <w:rFonts w:cstheme="minorHAnsi"/>
                <w:color w:val="000000" w:themeColor="text1"/>
              </w:rPr>
            </w:pPr>
            <w:r w:rsidRPr="00CA4ABC">
              <w:rPr>
                <w:rFonts w:cstheme="minorHAnsi"/>
                <w:color w:val="000000" w:themeColor="text1"/>
              </w:rPr>
              <w:t>Butter</w:t>
            </w:r>
          </w:p>
        </w:tc>
        <w:tc>
          <w:tcPr>
            <w:tcW w:w="2252" w:type="dxa"/>
          </w:tcPr>
          <w:p w14:paraId="0D6C64B7" w14:textId="77777777" w:rsidR="004C12CF" w:rsidRPr="00CA4ABC" w:rsidRDefault="004C12CF" w:rsidP="00E8340C">
            <w:pPr>
              <w:rPr>
                <w:rFonts w:cstheme="minorHAnsi"/>
                <w:color w:val="000000" w:themeColor="text1"/>
              </w:rPr>
            </w:pPr>
            <w:r w:rsidRPr="00CA4ABC">
              <w:rPr>
                <w:rFonts w:cstheme="minorHAnsi"/>
                <w:color w:val="000000" w:themeColor="text1"/>
              </w:rPr>
              <w:t>45 (14.7)</w:t>
            </w:r>
          </w:p>
        </w:tc>
        <w:tc>
          <w:tcPr>
            <w:tcW w:w="2253" w:type="dxa"/>
            <w:shd w:val="clear" w:color="auto" w:fill="C5E0B3"/>
          </w:tcPr>
          <w:p w14:paraId="12607768" w14:textId="77777777" w:rsidR="004C12CF" w:rsidRPr="00CA4ABC" w:rsidRDefault="004C12CF" w:rsidP="00E8340C">
            <w:pPr>
              <w:rPr>
                <w:rFonts w:cstheme="minorHAnsi"/>
                <w:color w:val="000000" w:themeColor="text1"/>
              </w:rPr>
            </w:pPr>
            <w:r w:rsidRPr="00CA4ABC">
              <w:rPr>
                <w:rFonts w:cstheme="minorHAnsi"/>
                <w:color w:val="000000" w:themeColor="text1"/>
              </w:rPr>
              <w:t>241 (78.8)</w:t>
            </w:r>
          </w:p>
        </w:tc>
        <w:tc>
          <w:tcPr>
            <w:tcW w:w="2253" w:type="dxa"/>
          </w:tcPr>
          <w:p w14:paraId="19D189BB" w14:textId="77777777" w:rsidR="004C12CF" w:rsidRPr="00CA4ABC" w:rsidRDefault="004C12CF" w:rsidP="00E8340C">
            <w:pPr>
              <w:rPr>
                <w:rFonts w:cstheme="minorHAnsi"/>
                <w:color w:val="000000" w:themeColor="text1"/>
              </w:rPr>
            </w:pPr>
            <w:r w:rsidRPr="00CA4ABC">
              <w:rPr>
                <w:rFonts w:cstheme="minorHAnsi"/>
                <w:color w:val="000000" w:themeColor="text1"/>
              </w:rPr>
              <w:t>20 (6.5)</w:t>
            </w:r>
          </w:p>
        </w:tc>
      </w:tr>
      <w:tr w:rsidR="004053D7" w:rsidRPr="00CA4ABC" w14:paraId="53F35DF7" w14:textId="77777777" w:rsidTr="009E173A">
        <w:tc>
          <w:tcPr>
            <w:tcW w:w="2252" w:type="dxa"/>
          </w:tcPr>
          <w:p w14:paraId="334C50B7" w14:textId="77777777" w:rsidR="004C12CF" w:rsidRPr="00CA4ABC" w:rsidRDefault="004C12CF" w:rsidP="00E8340C">
            <w:pPr>
              <w:rPr>
                <w:rFonts w:cstheme="minorHAnsi"/>
                <w:color w:val="000000" w:themeColor="text1"/>
              </w:rPr>
            </w:pPr>
            <w:r w:rsidRPr="00CA4ABC">
              <w:rPr>
                <w:rFonts w:cstheme="minorHAnsi"/>
                <w:color w:val="000000" w:themeColor="text1"/>
              </w:rPr>
              <w:t>Nuts</w:t>
            </w:r>
          </w:p>
        </w:tc>
        <w:tc>
          <w:tcPr>
            <w:tcW w:w="2252" w:type="dxa"/>
          </w:tcPr>
          <w:p w14:paraId="11C13FB2" w14:textId="77777777" w:rsidR="004C12CF" w:rsidRPr="00CA4ABC" w:rsidRDefault="004C12CF" w:rsidP="00E8340C">
            <w:pPr>
              <w:rPr>
                <w:rFonts w:cstheme="minorHAnsi"/>
                <w:color w:val="000000" w:themeColor="text1"/>
              </w:rPr>
            </w:pPr>
            <w:r w:rsidRPr="00CA4ABC">
              <w:rPr>
                <w:rFonts w:cstheme="minorHAnsi"/>
                <w:color w:val="000000" w:themeColor="text1"/>
              </w:rPr>
              <w:t>282 (92.2)</w:t>
            </w:r>
          </w:p>
        </w:tc>
        <w:tc>
          <w:tcPr>
            <w:tcW w:w="2253" w:type="dxa"/>
            <w:shd w:val="clear" w:color="auto" w:fill="C5E0B3"/>
          </w:tcPr>
          <w:p w14:paraId="3DB54085" w14:textId="77777777" w:rsidR="004C12CF" w:rsidRPr="00CA4ABC" w:rsidRDefault="004C12CF" w:rsidP="00E8340C">
            <w:pPr>
              <w:rPr>
                <w:rFonts w:cstheme="minorHAnsi"/>
                <w:color w:val="000000" w:themeColor="text1"/>
              </w:rPr>
            </w:pPr>
            <w:r w:rsidRPr="00CA4ABC">
              <w:rPr>
                <w:rFonts w:cstheme="minorHAnsi"/>
                <w:color w:val="000000" w:themeColor="text1"/>
              </w:rPr>
              <w:t>20 (6.5)</w:t>
            </w:r>
          </w:p>
        </w:tc>
        <w:tc>
          <w:tcPr>
            <w:tcW w:w="2253" w:type="dxa"/>
          </w:tcPr>
          <w:p w14:paraId="6D78F246" w14:textId="77777777" w:rsidR="004C12CF" w:rsidRPr="00CA4ABC" w:rsidRDefault="004C12CF" w:rsidP="00E8340C">
            <w:pPr>
              <w:rPr>
                <w:rFonts w:cstheme="minorHAnsi"/>
                <w:color w:val="000000" w:themeColor="text1"/>
              </w:rPr>
            </w:pPr>
            <w:r w:rsidRPr="00CA4ABC">
              <w:rPr>
                <w:rFonts w:cstheme="minorHAnsi"/>
                <w:color w:val="000000" w:themeColor="text1"/>
              </w:rPr>
              <w:t>4 (1.3)</w:t>
            </w:r>
          </w:p>
        </w:tc>
      </w:tr>
      <w:tr w:rsidR="004053D7" w:rsidRPr="00CA4ABC" w14:paraId="79A3D5C9" w14:textId="77777777" w:rsidTr="009E173A">
        <w:tc>
          <w:tcPr>
            <w:tcW w:w="2252" w:type="dxa"/>
          </w:tcPr>
          <w:p w14:paraId="3A68B45B" w14:textId="77777777" w:rsidR="004C12CF" w:rsidRPr="00CA4ABC" w:rsidRDefault="004C12CF" w:rsidP="00E8340C">
            <w:pPr>
              <w:rPr>
                <w:rFonts w:cstheme="minorHAnsi"/>
                <w:color w:val="000000" w:themeColor="text1"/>
              </w:rPr>
            </w:pPr>
            <w:r w:rsidRPr="00CA4ABC">
              <w:rPr>
                <w:rFonts w:cstheme="minorHAnsi"/>
                <w:color w:val="000000" w:themeColor="text1"/>
              </w:rPr>
              <w:t>Lentils</w:t>
            </w:r>
          </w:p>
        </w:tc>
        <w:tc>
          <w:tcPr>
            <w:tcW w:w="2252" w:type="dxa"/>
            <w:shd w:val="clear" w:color="auto" w:fill="C5E0B3"/>
          </w:tcPr>
          <w:p w14:paraId="5DDBE8EA" w14:textId="77777777" w:rsidR="004C12CF" w:rsidRPr="00CA4ABC" w:rsidRDefault="004C12CF" w:rsidP="00E8340C">
            <w:pPr>
              <w:rPr>
                <w:rFonts w:cstheme="minorHAnsi"/>
                <w:color w:val="000000" w:themeColor="text1"/>
              </w:rPr>
            </w:pPr>
            <w:r w:rsidRPr="00CA4ABC">
              <w:rPr>
                <w:rFonts w:cstheme="minorHAnsi"/>
                <w:color w:val="000000" w:themeColor="text1"/>
              </w:rPr>
              <w:t>265 (86.6)</w:t>
            </w:r>
          </w:p>
        </w:tc>
        <w:tc>
          <w:tcPr>
            <w:tcW w:w="2253" w:type="dxa"/>
          </w:tcPr>
          <w:p w14:paraId="58833B63" w14:textId="77777777" w:rsidR="004C12CF" w:rsidRPr="00CA4ABC" w:rsidRDefault="004C12CF" w:rsidP="00E8340C">
            <w:pPr>
              <w:rPr>
                <w:rFonts w:cstheme="minorHAnsi"/>
                <w:color w:val="000000" w:themeColor="text1"/>
              </w:rPr>
            </w:pPr>
            <w:r w:rsidRPr="00CA4ABC">
              <w:rPr>
                <w:rFonts w:cstheme="minorHAnsi"/>
                <w:color w:val="000000" w:themeColor="text1"/>
              </w:rPr>
              <w:t>24 (7.8)</w:t>
            </w:r>
          </w:p>
        </w:tc>
        <w:tc>
          <w:tcPr>
            <w:tcW w:w="2253" w:type="dxa"/>
          </w:tcPr>
          <w:p w14:paraId="3D8A31C3" w14:textId="77777777" w:rsidR="004C12CF" w:rsidRPr="00CA4ABC" w:rsidRDefault="004C12CF" w:rsidP="00E8340C">
            <w:pPr>
              <w:rPr>
                <w:rFonts w:cstheme="minorHAnsi"/>
                <w:color w:val="000000" w:themeColor="text1"/>
              </w:rPr>
            </w:pPr>
            <w:r w:rsidRPr="00CA4ABC">
              <w:rPr>
                <w:rFonts w:cstheme="minorHAnsi"/>
                <w:color w:val="000000" w:themeColor="text1"/>
              </w:rPr>
              <w:t>17 (5.6)</w:t>
            </w:r>
          </w:p>
        </w:tc>
      </w:tr>
      <w:tr w:rsidR="004053D7" w:rsidRPr="00CA4ABC" w14:paraId="3A77F1D9" w14:textId="77777777" w:rsidTr="009E173A">
        <w:tc>
          <w:tcPr>
            <w:tcW w:w="2252" w:type="dxa"/>
          </w:tcPr>
          <w:p w14:paraId="1D4D78F5" w14:textId="77777777" w:rsidR="004C12CF" w:rsidRPr="00CA4ABC" w:rsidRDefault="004C12CF" w:rsidP="00E8340C">
            <w:pPr>
              <w:rPr>
                <w:rFonts w:cstheme="minorHAnsi"/>
                <w:color w:val="000000" w:themeColor="text1"/>
              </w:rPr>
            </w:pPr>
            <w:r w:rsidRPr="00CA4ABC">
              <w:rPr>
                <w:rFonts w:cstheme="minorHAnsi"/>
                <w:color w:val="000000" w:themeColor="text1"/>
              </w:rPr>
              <w:t>Potato</w:t>
            </w:r>
          </w:p>
        </w:tc>
        <w:tc>
          <w:tcPr>
            <w:tcW w:w="2252" w:type="dxa"/>
          </w:tcPr>
          <w:p w14:paraId="40260913" w14:textId="77777777" w:rsidR="004C12CF" w:rsidRPr="00CA4ABC" w:rsidRDefault="004C12CF" w:rsidP="00E8340C">
            <w:pPr>
              <w:rPr>
                <w:rFonts w:cstheme="minorHAnsi"/>
                <w:color w:val="000000" w:themeColor="text1"/>
              </w:rPr>
            </w:pPr>
            <w:r w:rsidRPr="00CA4ABC">
              <w:rPr>
                <w:rFonts w:cstheme="minorHAnsi"/>
                <w:color w:val="000000" w:themeColor="text1"/>
              </w:rPr>
              <w:t>14 (4.6)</w:t>
            </w:r>
          </w:p>
        </w:tc>
        <w:tc>
          <w:tcPr>
            <w:tcW w:w="2253" w:type="dxa"/>
            <w:shd w:val="clear" w:color="auto" w:fill="C5E0B3"/>
          </w:tcPr>
          <w:p w14:paraId="0E36EEFA" w14:textId="77777777" w:rsidR="004C12CF" w:rsidRPr="00CA4ABC" w:rsidRDefault="004C12CF" w:rsidP="00E8340C">
            <w:pPr>
              <w:rPr>
                <w:rFonts w:cstheme="minorHAnsi"/>
                <w:color w:val="000000" w:themeColor="text1"/>
              </w:rPr>
            </w:pPr>
            <w:r w:rsidRPr="00CA4ABC">
              <w:rPr>
                <w:rFonts w:cstheme="minorHAnsi"/>
                <w:color w:val="000000" w:themeColor="text1"/>
              </w:rPr>
              <w:t>286 (93.5)</w:t>
            </w:r>
          </w:p>
        </w:tc>
        <w:tc>
          <w:tcPr>
            <w:tcW w:w="2253" w:type="dxa"/>
          </w:tcPr>
          <w:p w14:paraId="6C7AB4D3" w14:textId="77777777" w:rsidR="004C12CF" w:rsidRPr="00CA4ABC" w:rsidRDefault="004C12CF" w:rsidP="00E8340C">
            <w:pPr>
              <w:rPr>
                <w:rFonts w:cstheme="minorHAnsi"/>
                <w:color w:val="000000" w:themeColor="text1"/>
              </w:rPr>
            </w:pPr>
            <w:r w:rsidRPr="00CA4ABC">
              <w:rPr>
                <w:rFonts w:cstheme="minorHAnsi"/>
                <w:color w:val="000000" w:themeColor="text1"/>
              </w:rPr>
              <w:t>6 (2)</w:t>
            </w:r>
          </w:p>
        </w:tc>
      </w:tr>
      <w:tr w:rsidR="004053D7" w:rsidRPr="00CA4ABC" w14:paraId="79BEF9EE" w14:textId="77777777" w:rsidTr="009E173A">
        <w:tc>
          <w:tcPr>
            <w:tcW w:w="2252" w:type="dxa"/>
          </w:tcPr>
          <w:p w14:paraId="2685DA97" w14:textId="77777777" w:rsidR="004C12CF" w:rsidRPr="00CA4ABC" w:rsidRDefault="004C12CF" w:rsidP="00E8340C">
            <w:pPr>
              <w:rPr>
                <w:rFonts w:cstheme="minorHAnsi"/>
                <w:color w:val="000000" w:themeColor="text1"/>
              </w:rPr>
            </w:pPr>
            <w:r w:rsidRPr="00CA4ABC">
              <w:rPr>
                <w:rFonts w:cstheme="minorHAnsi"/>
                <w:color w:val="000000" w:themeColor="text1"/>
              </w:rPr>
              <w:t>Bacon</w:t>
            </w:r>
          </w:p>
        </w:tc>
        <w:tc>
          <w:tcPr>
            <w:tcW w:w="2252" w:type="dxa"/>
            <w:shd w:val="clear" w:color="auto" w:fill="C5E0B3"/>
          </w:tcPr>
          <w:p w14:paraId="781F94A4" w14:textId="77777777" w:rsidR="004C12CF" w:rsidRPr="00CA4ABC" w:rsidRDefault="004C12CF" w:rsidP="00E8340C">
            <w:pPr>
              <w:rPr>
                <w:rFonts w:cstheme="minorHAnsi"/>
                <w:color w:val="000000" w:themeColor="text1"/>
              </w:rPr>
            </w:pPr>
            <w:r w:rsidRPr="00CA4ABC">
              <w:rPr>
                <w:rFonts w:cstheme="minorHAnsi"/>
                <w:color w:val="000000" w:themeColor="text1"/>
              </w:rPr>
              <w:t>210 (68.6)</w:t>
            </w:r>
          </w:p>
        </w:tc>
        <w:tc>
          <w:tcPr>
            <w:tcW w:w="2253" w:type="dxa"/>
          </w:tcPr>
          <w:p w14:paraId="6E9643D9" w14:textId="77777777" w:rsidR="004C12CF" w:rsidRPr="00CA4ABC" w:rsidRDefault="004C12CF" w:rsidP="00E8340C">
            <w:pPr>
              <w:rPr>
                <w:rFonts w:cstheme="minorHAnsi"/>
                <w:color w:val="000000" w:themeColor="text1"/>
              </w:rPr>
            </w:pPr>
            <w:r w:rsidRPr="00CA4ABC">
              <w:rPr>
                <w:rFonts w:cstheme="minorHAnsi"/>
                <w:color w:val="000000" w:themeColor="text1"/>
              </w:rPr>
              <w:t>78 (25.5)</w:t>
            </w:r>
          </w:p>
        </w:tc>
        <w:tc>
          <w:tcPr>
            <w:tcW w:w="2253" w:type="dxa"/>
          </w:tcPr>
          <w:p w14:paraId="15B5C7CE" w14:textId="77777777" w:rsidR="004C12CF" w:rsidRPr="00CA4ABC" w:rsidRDefault="004C12CF" w:rsidP="00E8340C">
            <w:pPr>
              <w:rPr>
                <w:rFonts w:cstheme="minorHAnsi"/>
                <w:color w:val="000000" w:themeColor="text1"/>
              </w:rPr>
            </w:pPr>
            <w:r w:rsidRPr="00CA4ABC">
              <w:rPr>
                <w:rFonts w:cstheme="minorHAnsi"/>
                <w:color w:val="000000" w:themeColor="text1"/>
              </w:rPr>
              <w:t>18 (5.9)</w:t>
            </w:r>
          </w:p>
        </w:tc>
      </w:tr>
      <w:tr w:rsidR="004053D7" w:rsidRPr="00CA4ABC" w14:paraId="028D6E55" w14:textId="77777777" w:rsidTr="009E173A">
        <w:tc>
          <w:tcPr>
            <w:tcW w:w="2252" w:type="dxa"/>
          </w:tcPr>
          <w:p w14:paraId="2E872655" w14:textId="77777777" w:rsidR="004C12CF" w:rsidRPr="00CA4ABC" w:rsidRDefault="004C12CF" w:rsidP="00E8340C">
            <w:pPr>
              <w:rPr>
                <w:rFonts w:cstheme="minorHAnsi"/>
                <w:color w:val="000000" w:themeColor="text1"/>
              </w:rPr>
            </w:pPr>
            <w:r w:rsidRPr="00CA4ABC">
              <w:rPr>
                <w:rFonts w:cstheme="minorHAnsi"/>
                <w:color w:val="000000" w:themeColor="text1"/>
              </w:rPr>
              <w:t>White bread</w:t>
            </w:r>
          </w:p>
        </w:tc>
        <w:tc>
          <w:tcPr>
            <w:tcW w:w="2252" w:type="dxa"/>
          </w:tcPr>
          <w:p w14:paraId="11D662EC" w14:textId="77777777" w:rsidR="004C12CF" w:rsidRPr="00CA4ABC" w:rsidRDefault="004C12CF" w:rsidP="00E8340C">
            <w:pPr>
              <w:rPr>
                <w:rFonts w:cstheme="minorHAnsi"/>
                <w:color w:val="000000" w:themeColor="text1"/>
              </w:rPr>
            </w:pPr>
            <w:r w:rsidRPr="00CA4ABC">
              <w:rPr>
                <w:rFonts w:cstheme="minorHAnsi"/>
                <w:color w:val="000000" w:themeColor="text1"/>
              </w:rPr>
              <w:t>9 (2.9)</w:t>
            </w:r>
          </w:p>
        </w:tc>
        <w:tc>
          <w:tcPr>
            <w:tcW w:w="2253" w:type="dxa"/>
            <w:shd w:val="clear" w:color="auto" w:fill="C5E0B3"/>
          </w:tcPr>
          <w:p w14:paraId="689DBB9E" w14:textId="77777777" w:rsidR="004C12CF" w:rsidRPr="00CA4ABC" w:rsidRDefault="004C12CF" w:rsidP="00E8340C">
            <w:pPr>
              <w:rPr>
                <w:rFonts w:cstheme="minorHAnsi"/>
                <w:color w:val="000000" w:themeColor="text1"/>
              </w:rPr>
            </w:pPr>
            <w:r w:rsidRPr="00CA4ABC">
              <w:rPr>
                <w:rFonts w:cstheme="minorHAnsi"/>
                <w:color w:val="000000" w:themeColor="text1"/>
              </w:rPr>
              <w:t>281 (91.8)</w:t>
            </w:r>
          </w:p>
        </w:tc>
        <w:tc>
          <w:tcPr>
            <w:tcW w:w="2253" w:type="dxa"/>
          </w:tcPr>
          <w:p w14:paraId="06338BF8" w14:textId="77777777" w:rsidR="004C12CF" w:rsidRPr="00CA4ABC" w:rsidRDefault="004C12CF" w:rsidP="00E8340C">
            <w:pPr>
              <w:rPr>
                <w:rFonts w:cstheme="minorHAnsi"/>
                <w:color w:val="000000" w:themeColor="text1"/>
              </w:rPr>
            </w:pPr>
            <w:r w:rsidRPr="00CA4ABC">
              <w:rPr>
                <w:rFonts w:cstheme="minorHAnsi"/>
                <w:color w:val="000000" w:themeColor="text1"/>
              </w:rPr>
              <w:t>16 (5.2)</w:t>
            </w:r>
          </w:p>
        </w:tc>
      </w:tr>
      <w:tr w:rsidR="004053D7" w:rsidRPr="00CA4ABC" w14:paraId="3EC4EC3E" w14:textId="77777777" w:rsidTr="009E173A">
        <w:tc>
          <w:tcPr>
            <w:tcW w:w="2252" w:type="dxa"/>
          </w:tcPr>
          <w:p w14:paraId="06CE6011" w14:textId="77777777" w:rsidR="004C12CF" w:rsidRPr="00CA4ABC" w:rsidRDefault="004C12CF" w:rsidP="00E8340C">
            <w:pPr>
              <w:rPr>
                <w:rFonts w:cstheme="minorHAnsi"/>
                <w:color w:val="000000" w:themeColor="text1"/>
              </w:rPr>
            </w:pPr>
            <w:r w:rsidRPr="00CA4ABC">
              <w:rPr>
                <w:rFonts w:cstheme="minorHAnsi"/>
                <w:color w:val="000000" w:themeColor="text1"/>
              </w:rPr>
              <w:t>Wholewheat bread</w:t>
            </w:r>
          </w:p>
        </w:tc>
        <w:tc>
          <w:tcPr>
            <w:tcW w:w="2252" w:type="dxa"/>
          </w:tcPr>
          <w:p w14:paraId="36480D99" w14:textId="77777777" w:rsidR="004C12CF" w:rsidRPr="00CA4ABC" w:rsidRDefault="004C12CF" w:rsidP="00E8340C">
            <w:pPr>
              <w:rPr>
                <w:rFonts w:cstheme="minorHAnsi"/>
                <w:color w:val="000000" w:themeColor="text1"/>
              </w:rPr>
            </w:pPr>
            <w:r w:rsidRPr="00CA4ABC">
              <w:rPr>
                <w:rFonts w:cstheme="minorHAnsi"/>
                <w:color w:val="000000" w:themeColor="text1"/>
              </w:rPr>
              <w:t>61 (19.9)</w:t>
            </w:r>
          </w:p>
        </w:tc>
        <w:tc>
          <w:tcPr>
            <w:tcW w:w="2253" w:type="dxa"/>
            <w:shd w:val="clear" w:color="auto" w:fill="C5E0B3"/>
          </w:tcPr>
          <w:p w14:paraId="053E7181" w14:textId="77777777" w:rsidR="004C12CF" w:rsidRPr="00CA4ABC" w:rsidRDefault="004C12CF" w:rsidP="00E8340C">
            <w:pPr>
              <w:rPr>
                <w:rFonts w:cstheme="minorHAnsi"/>
                <w:color w:val="000000" w:themeColor="text1"/>
              </w:rPr>
            </w:pPr>
            <w:r w:rsidRPr="00CA4ABC">
              <w:rPr>
                <w:rFonts w:cstheme="minorHAnsi"/>
                <w:color w:val="000000" w:themeColor="text1"/>
              </w:rPr>
              <w:t>226 (73.9)</w:t>
            </w:r>
          </w:p>
        </w:tc>
        <w:tc>
          <w:tcPr>
            <w:tcW w:w="2253" w:type="dxa"/>
          </w:tcPr>
          <w:p w14:paraId="47951EA1" w14:textId="77777777" w:rsidR="004C12CF" w:rsidRPr="00CA4ABC" w:rsidRDefault="004C12CF" w:rsidP="00E8340C">
            <w:pPr>
              <w:rPr>
                <w:rFonts w:cstheme="minorHAnsi"/>
                <w:color w:val="000000" w:themeColor="text1"/>
              </w:rPr>
            </w:pPr>
            <w:r w:rsidRPr="00CA4ABC">
              <w:rPr>
                <w:rFonts w:cstheme="minorHAnsi"/>
                <w:color w:val="000000" w:themeColor="text1"/>
              </w:rPr>
              <w:t>19 (6.2)</w:t>
            </w:r>
          </w:p>
        </w:tc>
      </w:tr>
      <w:tr w:rsidR="004053D7" w:rsidRPr="00CA4ABC" w14:paraId="52FBC0C4" w14:textId="77777777" w:rsidTr="009E173A">
        <w:tc>
          <w:tcPr>
            <w:tcW w:w="2252" w:type="dxa"/>
          </w:tcPr>
          <w:p w14:paraId="23A7D3A0" w14:textId="77777777" w:rsidR="004C12CF" w:rsidRPr="00CA4ABC" w:rsidRDefault="004C12CF" w:rsidP="00E8340C">
            <w:pPr>
              <w:rPr>
                <w:rFonts w:cstheme="minorHAnsi"/>
                <w:color w:val="000000" w:themeColor="text1"/>
              </w:rPr>
            </w:pPr>
            <w:r w:rsidRPr="00CA4ABC">
              <w:rPr>
                <w:rFonts w:cstheme="minorHAnsi"/>
                <w:color w:val="000000" w:themeColor="text1"/>
              </w:rPr>
              <w:t>Cream</w:t>
            </w:r>
          </w:p>
        </w:tc>
        <w:tc>
          <w:tcPr>
            <w:tcW w:w="2252" w:type="dxa"/>
          </w:tcPr>
          <w:p w14:paraId="786E7770" w14:textId="77777777" w:rsidR="004C12CF" w:rsidRPr="00CA4ABC" w:rsidRDefault="004C12CF" w:rsidP="00E8340C">
            <w:pPr>
              <w:rPr>
                <w:rFonts w:cstheme="minorHAnsi"/>
                <w:color w:val="000000" w:themeColor="text1"/>
              </w:rPr>
            </w:pPr>
            <w:r w:rsidRPr="00CA4ABC">
              <w:rPr>
                <w:rFonts w:cstheme="minorHAnsi"/>
                <w:color w:val="000000" w:themeColor="text1"/>
              </w:rPr>
              <w:t>90 (29.4)</w:t>
            </w:r>
          </w:p>
        </w:tc>
        <w:tc>
          <w:tcPr>
            <w:tcW w:w="2253" w:type="dxa"/>
            <w:shd w:val="clear" w:color="auto" w:fill="C5E0B3"/>
          </w:tcPr>
          <w:p w14:paraId="40E90D7B" w14:textId="77777777" w:rsidR="004C12CF" w:rsidRPr="00CA4ABC" w:rsidRDefault="004C12CF" w:rsidP="00E8340C">
            <w:pPr>
              <w:rPr>
                <w:rFonts w:cstheme="minorHAnsi"/>
                <w:color w:val="000000" w:themeColor="text1"/>
              </w:rPr>
            </w:pPr>
            <w:r w:rsidRPr="00CA4ABC">
              <w:rPr>
                <w:rFonts w:cstheme="minorHAnsi"/>
                <w:color w:val="000000" w:themeColor="text1"/>
              </w:rPr>
              <w:t>201 (65.7)</w:t>
            </w:r>
          </w:p>
        </w:tc>
        <w:tc>
          <w:tcPr>
            <w:tcW w:w="2253" w:type="dxa"/>
          </w:tcPr>
          <w:p w14:paraId="47B70305" w14:textId="77777777" w:rsidR="004C12CF" w:rsidRPr="00CA4ABC" w:rsidRDefault="004C12CF" w:rsidP="00E8340C">
            <w:pPr>
              <w:rPr>
                <w:rFonts w:cstheme="minorHAnsi"/>
                <w:color w:val="000000" w:themeColor="text1"/>
              </w:rPr>
            </w:pPr>
            <w:r w:rsidRPr="00CA4ABC">
              <w:rPr>
                <w:rFonts w:cstheme="minorHAnsi"/>
                <w:color w:val="000000" w:themeColor="text1"/>
              </w:rPr>
              <w:t>15 (4.9)</w:t>
            </w:r>
          </w:p>
        </w:tc>
      </w:tr>
      <w:tr w:rsidR="004053D7" w:rsidRPr="00CA4ABC" w14:paraId="0E2C1CE3" w14:textId="77777777" w:rsidTr="009E173A">
        <w:tc>
          <w:tcPr>
            <w:tcW w:w="2252" w:type="dxa"/>
          </w:tcPr>
          <w:p w14:paraId="1F1EF2E6" w14:textId="77777777" w:rsidR="004C12CF" w:rsidRPr="00CA4ABC" w:rsidRDefault="004C12CF" w:rsidP="00E8340C">
            <w:pPr>
              <w:rPr>
                <w:rFonts w:cstheme="minorHAnsi"/>
                <w:color w:val="000000" w:themeColor="text1"/>
              </w:rPr>
            </w:pPr>
            <w:r w:rsidRPr="00CA4ABC">
              <w:rPr>
                <w:rFonts w:cstheme="minorHAnsi"/>
                <w:color w:val="000000" w:themeColor="text1"/>
              </w:rPr>
              <w:t>Pasta</w:t>
            </w:r>
          </w:p>
        </w:tc>
        <w:tc>
          <w:tcPr>
            <w:tcW w:w="2252" w:type="dxa"/>
          </w:tcPr>
          <w:p w14:paraId="01593747" w14:textId="77777777" w:rsidR="004C12CF" w:rsidRPr="00CA4ABC" w:rsidRDefault="004C12CF" w:rsidP="00E8340C">
            <w:pPr>
              <w:rPr>
                <w:rFonts w:cstheme="minorHAnsi"/>
                <w:color w:val="000000" w:themeColor="text1"/>
              </w:rPr>
            </w:pPr>
            <w:r w:rsidRPr="00CA4ABC">
              <w:rPr>
                <w:rFonts w:cstheme="minorHAnsi"/>
                <w:color w:val="000000" w:themeColor="text1"/>
              </w:rPr>
              <w:t>21 (6.9)</w:t>
            </w:r>
          </w:p>
        </w:tc>
        <w:tc>
          <w:tcPr>
            <w:tcW w:w="2253" w:type="dxa"/>
            <w:shd w:val="clear" w:color="auto" w:fill="C5E0B3"/>
          </w:tcPr>
          <w:p w14:paraId="56AA4A7A" w14:textId="77777777" w:rsidR="004C12CF" w:rsidRPr="00CA4ABC" w:rsidRDefault="004C12CF" w:rsidP="00E8340C">
            <w:pPr>
              <w:rPr>
                <w:rFonts w:cstheme="minorHAnsi"/>
                <w:color w:val="000000" w:themeColor="text1"/>
              </w:rPr>
            </w:pPr>
            <w:r w:rsidRPr="00CA4ABC">
              <w:rPr>
                <w:rFonts w:cstheme="minorHAnsi"/>
                <w:color w:val="000000" w:themeColor="text1"/>
              </w:rPr>
              <w:t>268 (87.6)</w:t>
            </w:r>
          </w:p>
        </w:tc>
        <w:tc>
          <w:tcPr>
            <w:tcW w:w="2253" w:type="dxa"/>
          </w:tcPr>
          <w:p w14:paraId="5DF80030" w14:textId="77777777" w:rsidR="004C12CF" w:rsidRPr="00CA4ABC" w:rsidRDefault="004C12CF" w:rsidP="00E8340C">
            <w:pPr>
              <w:rPr>
                <w:rFonts w:cstheme="minorHAnsi"/>
                <w:color w:val="000000" w:themeColor="text1"/>
              </w:rPr>
            </w:pPr>
            <w:r w:rsidRPr="00CA4ABC">
              <w:rPr>
                <w:rFonts w:cstheme="minorHAnsi"/>
                <w:color w:val="000000" w:themeColor="text1"/>
              </w:rPr>
              <w:t>17 (5.6)</w:t>
            </w:r>
          </w:p>
        </w:tc>
      </w:tr>
      <w:tr w:rsidR="004053D7" w:rsidRPr="00CA4ABC" w14:paraId="7B8C0BC0" w14:textId="77777777" w:rsidTr="009E173A">
        <w:tc>
          <w:tcPr>
            <w:tcW w:w="2252" w:type="dxa"/>
          </w:tcPr>
          <w:p w14:paraId="4D5CF613" w14:textId="77777777" w:rsidR="004C12CF" w:rsidRPr="00CA4ABC" w:rsidRDefault="004C12CF" w:rsidP="00E8340C">
            <w:pPr>
              <w:rPr>
                <w:rFonts w:cstheme="minorHAnsi"/>
                <w:color w:val="000000" w:themeColor="text1"/>
              </w:rPr>
            </w:pPr>
            <w:r w:rsidRPr="00CA4ABC">
              <w:rPr>
                <w:rFonts w:cstheme="minorHAnsi"/>
                <w:color w:val="000000" w:themeColor="text1"/>
              </w:rPr>
              <w:t>Tofu</w:t>
            </w:r>
          </w:p>
        </w:tc>
        <w:tc>
          <w:tcPr>
            <w:tcW w:w="2252" w:type="dxa"/>
            <w:shd w:val="clear" w:color="auto" w:fill="C5E0B3"/>
          </w:tcPr>
          <w:p w14:paraId="025906EE" w14:textId="77777777" w:rsidR="004C12CF" w:rsidRPr="00CA4ABC" w:rsidRDefault="004C12CF" w:rsidP="00E8340C">
            <w:pPr>
              <w:rPr>
                <w:rFonts w:cstheme="minorHAnsi"/>
                <w:color w:val="000000" w:themeColor="text1"/>
              </w:rPr>
            </w:pPr>
            <w:r w:rsidRPr="00CA4ABC">
              <w:rPr>
                <w:rFonts w:cstheme="minorHAnsi"/>
                <w:color w:val="000000" w:themeColor="text1"/>
              </w:rPr>
              <w:t>234 (76.5)</w:t>
            </w:r>
          </w:p>
        </w:tc>
        <w:tc>
          <w:tcPr>
            <w:tcW w:w="2253" w:type="dxa"/>
          </w:tcPr>
          <w:p w14:paraId="2C6B8BA3" w14:textId="77777777" w:rsidR="004C12CF" w:rsidRPr="00CA4ABC" w:rsidRDefault="004C12CF" w:rsidP="00E8340C">
            <w:pPr>
              <w:rPr>
                <w:rFonts w:cstheme="minorHAnsi"/>
                <w:color w:val="000000" w:themeColor="text1"/>
              </w:rPr>
            </w:pPr>
            <w:r w:rsidRPr="00CA4ABC">
              <w:rPr>
                <w:rFonts w:cstheme="minorHAnsi"/>
                <w:color w:val="000000" w:themeColor="text1"/>
              </w:rPr>
              <w:t>35 (11.4)</w:t>
            </w:r>
          </w:p>
        </w:tc>
        <w:tc>
          <w:tcPr>
            <w:tcW w:w="2253" w:type="dxa"/>
          </w:tcPr>
          <w:p w14:paraId="34D8C861" w14:textId="77777777" w:rsidR="004C12CF" w:rsidRPr="00CA4ABC" w:rsidRDefault="004C12CF" w:rsidP="00E8340C">
            <w:pPr>
              <w:rPr>
                <w:rFonts w:cstheme="minorHAnsi"/>
                <w:color w:val="000000" w:themeColor="text1"/>
              </w:rPr>
            </w:pPr>
            <w:r w:rsidRPr="00CA4ABC">
              <w:rPr>
                <w:rFonts w:cstheme="minorHAnsi"/>
                <w:color w:val="000000" w:themeColor="text1"/>
              </w:rPr>
              <w:t>37 (12.1)</w:t>
            </w:r>
          </w:p>
        </w:tc>
      </w:tr>
    </w:tbl>
    <w:p w14:paraId="435CBCAB" w14:textId="4D6C2149" w:rsidR="004C12CF" w:rsidRPr="00DA07EE" w:rsidRDefault="004C12CF" w:rsidP="004053D7">
      <w:pPr>
        <w:spacing w:line="360" w:lineRule="auto"/>
        <w:rPr>
          <w:rFonts w:cstheme="minorHAnsi"/>
          <w:color w:val="000000" w:themeColor="text1"/>
        </w:rPr>
      </w:pPr>
      <w:bookmarkStart w:id="175" w:name="_Ref122343037"/>
      <w:bookmarkStart w:id="176" w:name="_Toc122956578"/>
      <w:r w:rsidRPr="00DA07EE">
        <w:rPr>
          <w:rFonts w:cstheme="minorHAnsi"/>
          <w:color w:val="000000" w:themeColor="text1"/>
        </w:rPr>
        <w:t xml:space="preserve">Table </w:t>
      </w:r>
      <w:r w:rsidRPr="00DA07EE">
        <w:rPr>
          <w:rFonts w:cstheme="minorHAnsi"/>
          <w:color w:val="000000" w:themeColor="text1"/>
        </w:rPr>
        <w:fldChar w:fldCharType="begin"/>
      </w:r>
      <w:r w:rsidRPr="00DA07EE">
        <w:rPr>
          <w:rFonts w:cstheme="minorHAnsi"/>
          <w:color w:val="000000" w:themeColor="text1"/>
        </w:rPr>
        <w:instrText xml:space="preserve"> SEQ Table \* ARABIC </w:instrText>
      </w:r>
      <w:r w:rsidRPr="00DA07EE">
        <w:rPr>
          <w:rFonts w:cstheme="minorHAnsi"/>
          <w:color w:val="000000" w:themeColor="text1"/>
        </w:rPr>
        <w:fldChar w:fldCharType="separate"/>
      </w:r>
      <w:r w:rsidR="00A13A55">
        <w:rPr>
          <w:rFonts w:cstheme="minorHAnsi"/>
          <w:noProof/>
          <w:color w:val="000000" w:themeColor="text1"/>
        </w:rPr>
        <w:t>13</w:t>
      </w:r>
      <w:r w:rsidRPr="00DA07EE">
        <w:rPr>
          <w:rFonts w:cstheme="minorHAnsi"/>
          <w:color w:val="000000" w:themeColor="text1"/>
        </w:rPr>
        <w:fldChar w:fldCharType="end"/>
      </w:r>
      <w:bookmarkEnd w:id="175"/>
      <w:r w:rsidR="00DA07EE" w:rsidRPr="00DA07EE">
        <w:rPr>
          <w:rFonts w:cstheme="minorHAnsi"/>
          <w:color w:val="000000" w:themeColor="text1"/>
        </w:rPr>
        <w:t xml:space="preserve">. </w:t>
      </w:r>
      <w:r w:rsidRPr="00DA07EE">
        <w:rPr>
          <w:rFonts w:cstheme="minorHAnsi"/>
          <w:color w:val="000000" w:themeColor="text1"/>
        </w:rPr>
        <w:t>Responses to rating if food items were considered high, low or not sure for protein content (question 3).</w:t>
      </w:r>
      <w:bookmarkEnd w:id="176"/>
      <w:r w:rsidRPr="00DA07EE">
        <w:rPr>
          <w:rFonts w:cstheme="minorHAnsi"/>
          <w:color w:val="000000" w:themeColor="text1"/>
        </w:rPr>
        <w:t xml:space="preserve"> </w:t>
      </w:r>
    </w:p>
    <w:p w14:paraId="57BEC4AF"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Green shading indicates a correct response.</w:t>
      </w:r>
    </w:p>
    <w:p w14:paraId="113FF5F6" w14:textId="44EC14C4" w:rsidR="004C12CF" w:rsidRPr="00CA4ABC" w:rsidRDefault="004C12CF" w:rsidP="004053D7">
      <w:pPr>
        <w:spacing w:line="360" w:lineRule="auto"/>
        <w:rPr>
          <w:rFonts w:cstheme="minorHAnsi"/>
          <w:color w:val="000000" w:themeColor="text1"/>
        </w:rPr>
      </w:pPr>
      <w:r w:rsidRPr="00CA4ABC">
        <w:rPr>
          <w:rFonts w:cstheme="minorHAnsi"/>
          <w:color w:val="000000" w:themeColor="text1"/>
        </w:rPr>
        <w:t>Calculation of if a food was classed as high protein was based on protein providing more than 20% of energy intake, per 100g of the food</w:t>
      </w:r>
      <w:r w:rsidR="00517AB7" w:rsidRPr="00CA4ABC">
        <w:rPr>
          <w:rFonts w:cstheme="minorHAnsi"/>
          <w:color w:val="000000" w:themeColor="text1"/>
        </w:rPr>
        <w:t xml:space="preserve">, based on European commission nutrition claims </w:t>
      </w:r>
      <w:r w:rsidR="00517AB7"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{"citationItems":[{"id":"ITEM-1","itemData":{"URL":"https://food.ec.europa.eu/safety/labelling-and-nutrition/nutrition-and-health-claims/nutrition-claims_en","accessed":{"date-parts":[["2022","9","12"]]},"id":"ITEM-1","issued":{"date-parts":[["0"]]},"title":"Nutrition claims","type":"webpage"},"uris":["http://www.mendeley.com/documents/?uuid=66fd08fd-f6ca-3e1d-9332-5e49a32835da"]}],"mendeley":{"formattedCitation":"(239)","plainTextFormattedCitation":"(239)","previouslyFormattedCitation":"(239)"},"properties":{"noteIndex":0},"schema":"https://github.com/citation-style-language/schema/raw/master/csl-citation.json"}</w:instrText>
      </w:r>
      <w:r w:rsidR="00517AB7" w:rsidRPr="00CA4ABC">
        <w:rPr>
          <w:rFonts w:cstheme="minorHAnsi"/>
          <w:color w:val="000000" w:themeColor="text1"/>
        </w:rPr>
        <w:fldChar w:fldCharType="separate"/>
      </w:r>
      <w:r w:rsidR="00FF0BCE" w:rsidRPr="00FF0BCE">
        <w:rPr>
          <w:rFonts w:cstheme="minorHAnsi"/>
          <w:noProof/>
          <w:color w:val="000000" w:themeColor="text1"/>
        </w:rPr>
        <w:t>(239)</w:t>
      </w:r>
      <w:r w:rsidR="00517AB7" w:rsidRPr="00CA4ABC">
        <w:rPr>
          <w:rFonts w:cstheme="minorHAnsi"/>
          <w:color w:val="000000" w:themeColor="text1"/>
        </w:rPr>
        <w:fldChar w:fldCharType="end"/>
      </w:r>
      <w:r w:rsidR="00517AB7" w:rsidRPr="00CA4ABC">
        <w:rPr>
          <w:rFonts w:cstheme="minorHAnsi"/>
          <w:color w:val="000000" w:themeColor="text1"/>
        </w:rPr>
        <w:t>.</w:t>
      </w:r>
    </w:p>
    <w:p w14:paraId="66C37056" w14:textId="6D10FF24" w:rsidR="004C12CF" w:rsidRPr="00CA4ABC" w:rsidRDefault="004C12CF" w:rsidP="00E8340C">
      <w:pPr>
        <w:pStyle w:val="Heading3"/>
        <w:spacing w:line="360" w:lineRule="auto"/>
        <w:rPr>
          <w:rFonts w:asciiTheme="minorHAnsi" w:hAnsiTheme="minorHAnsi" w:cstheme="minorHAnsi"/>
          <w:color w:val="000000" w:themeColor="text1"/>
        </w:rPr>
      </w:pPr>
      <w:bookmarkStart w:id="177" w:name="_Toc135384317"/>
      <w:r w:rsidRPr="00CA4ABC">
        <w:rPr>
          <w:rFonts w:asciiTheme="minorHAnsi" w:hAnsiTheme="minorHAnsi" w:cstheme="minorHAnsi"/>
          <w:color w:val="000000" w:themeColor="text1"/>
          <w:sz w:val="26"/>
          <w:szCs w:val="26"/>
        </w:rPr>
        <w:lastRenderedPageBreak/>
        <w:t xml:space="preserve">4.3.5 </w:t>
      </w:r>
      <w:r w:rsidRPr="00CA4ABC">
        <w:rPr>
          <w:rFonts w:asciiTheme="minorHAnsi" w:hAnsiTheme="minorHAnsi" w:cstheme="minorHAnsi"/>
          <w:color w:val="000000" w:themeColor="text1"/>
        </w:rPr>
        <w:t>Further knowledge questionnaire responses exploration</w:t>
      </w:r>
      <w:bookmarkEnd w:id="177"/>
    </w:p>
    <w:p w14:paraId="1A786EA8" w14:textId="4E055FD3" w:rsidR="00522F5E" w:rsidRDefault="00287780" w:rsidP="00522F5E">
      <w:pPr>
        <w:spacing w:line="360" w:lineRule="auto"/>
        <w:ind w:firstLine="720"/>
        <w:rPr>
          <w:rFonts w:cstheme="minorHAnsi"/>
          <w:color w:val="000000" w:themeColor="text1"/>
        </w:rPr>
      </w:pPr>
      <w:r w:rsidRPr="00CA4ABC">
        <w:rPr>
          <w:rFonts w:cstheme="minorHAnsi"/>
          <w:color w:val="000000" w:themeColor="text1"/>
        </w:rPr>
        <w:t xml:space="preserve">.  </w:t>
      </w:r>
      <w:r w:rsidRPr="00CA4ABC">
        <w:rPr>
          <w:rFonts w:cstheme="minorHAnsi"/>
          <w:color w:val="000000" w:themeColor="text1"/>
        </w:rPr>
        <w:fldChar w:fldCharType="begin"/>
      </w:r>
      <w:r w:rsidRPr="00CA4ABC">
        <w:rPr>
          <w:rFonts w:cstheme="minorHAnsi"/>
          <w:color w:val="000000" w:themeColor="text1"/>
        </w:rPr>
        <w:instrText xml:space="preserve"> REF _Ref122344049 \h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Table </w:t>
      </w:r>
      <w:r w:rsidRPr="00CA4ABC">
        <w:rPr>
          <w:rFonts w:cstheme="minorHAnsi"/>
          <w:noProof/>
          <w:color w:val="000000" w:themeColor="text1"/>
        </w:rPr>
        <w:t>14</w:t>
      </w:r>
      <w:r w:rsidRPr="00CA4ABC">
        <w:rPr>
          <w:rFonts w:cstheme="minorHAnsi"/>
          <w:color w:val="000000" w:themeColor="text1"/>
        </w:rPr>
        <w:fldChar w:fldCharType="end"/>
      </w:r>
      <w:r w:rsidRPr="00CA4ABC">
        <w:rPr>
          <w:rFonts w:cstheme="minorHAnsi"/>
          <w:color w:val="000000" w:themeColor="text1"/>
        </w:rPr>
        <w:t xml:space="preserve"> summarises the responses provided to the final three questions on the protein knowledge questionnaire (SheffProUK, part 3). </w:t>
      </w:r>
      <w:r w:rsidR="004C12CF" w:rsidRPr="00CA4ABC">
        <w:rPr>
          <w:rFonts w:cstheme="minorHAnsi"/>
          <w:color w:val="000000" w:themeColor="text1"/>
        </w:rPr>
        <w:t xml:space="preserve">Analyses of further dietary, lifestyle and views of individual protein intakes revealed that 45% of participants </w:t>
      </w:r>
      <w:r w:rsidR="002111C9" w:rsidRPr="00CA4ABC">
        <w:rPr>
          <w:rFonts w:cstheme="minorHAnsi"/>
          <w:color w:val="000000" w:themeColor="text1"/>
        </w:rPr>
        <w:t xml:space="preserve">reported </w:t>
      </w:r>
      <w:r w:rsidR="004C12CF" w:rsidRPr="00CA4ABC">
        <w:rPr>
          <w:rFonts w:cstheme="minorHAnsi"/>
          <w:color w:val="000000" w:themeColor="text1"/>
        </w:rPr>
        <w:t xml:space="preserve">eating “the right amount” of protein. </w:t>
      </w:r>
      <w:r w:rsidR="0084445D" w:rsidRPr="00CA4ABC">
        <w:rPr>
          <w:rFonts w:cstheme="minorHAnsi"/>
          <w:color w:val="000000" w:themeColor="text1"/>
        </w:rPr>
        <w:t>Most</w:t>
      </w:r>
      <w:r w:rsidR="004C12CF" w:rsidRPr="00CA4ABC">
        <w:rPr>
          <w:rFonts w:cstheme="minorHAnsi"/>
          <w:color w:val="000000" w:themeColor="text1"/>
        </w:rPr>
        <w:t xml:space="preserve"> participants (66%, n=202) </w:t>
      </w:r>
      <w:r w:rsidR="00465329" w:rsidRPr="00CA4ABC">
        <w:rPr>
          <w:rFonts w:cstheme="minorHAnsi"/>
          <w:color w:val="000000" w:themeColor="text1"/>
        </w:rPr>
        <w:t>ate</w:t>
      </w:r>
      <w:r w:rsidR="004C12CF" w:rsidRPr="00CA4ABC">
        <w:rPr>
          <w:rFonts w:cstheme="minorHAnsi"/>
          <w:color w:val="000000" w:themeColor="text1"/>
        </w:rPr>
        <w:t xml:space="preserve"> meat and fish. 9.8% and 6.9% of participants described themselves as vegetarians and vegans, respectively. 18% and 19% of participants stated that they engaged in resistance training twice, or more than twice a week, respectively, which </w:t>
      </w:r>
      <w:r w:rsidR="0084445D" w:rsidRPr="00CA4ABC">
        <w:rPr>
          <w:rFonts w:cstheme="minorHAnsi"/>
          <w:color w:val="000000" w:themeColor="text1"/>
        </w:rPr>
        <w:t>aligns</w:t>
      </w:r>
      <w:r w:rsidR="004C12CF" w:rsidRPr="00CA4ABC">
        <w:rPr>
          <w:rFonts w:cstheme="minorHAnsi"/>
          <w:color w:val="000000" w:themeColor="text1"/>
        </w:rPr>
        <w:t xml:space="preserve"> with minimum guidelines suggested by ACSM</w:t>
      </w:r>
      <w:r w:rsidR="002111C9" w:rsidRPr="00CA4ABC">
        <w:rPr>
          <w:rFonts w:cstheme="minorHAnsi"/>
          <w:color w:val="000000" w:themeColor="text1"/>
        </w:rPr>
        <w:t xml:space="preserve"> </w:t>
      </w:r>
      <w:r w:rsidR="002111C9"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{"citationItems":[{"id":"ITEM-1","itemData":{"DOI":"10.1249/MSS.0B013E3181915670","ISSN":"1530-0315","PMID":"19204579","abstract":"In order to stimulate further adaptation toward specific training goals, progressive resistance training (RT) protocols are necessary. The optimal characteristics of strength-specific programs include the use of concentric (CON), eccentric (ECC), and isometric muscle actions and the performance of bilateral and unilateral single- and multiple-joint exercises. In addition, it is recommended that strength programs sequence exercises to optimize the preservation of exercise intensity (large before small muscle group exercises, multiple-joint exercises before single-joint exercises, and higher-intensity before lower-intensity exercises). For novice (untrained individuals with no RT experience or who have not trained for several years) training, it is recommended that loads correspond to a repetition range of an 8-12 repetition maximum (RM). For intermediate (individuals with approximately 6 months of consistent RT experience) to advanced (individuals with years of RT experience) training, it is recommended that individuals use a wider loading range from 1 to 12 RM in a periodized fashion with eventual emphasis on heavy loading (1-6 RM) using 3- to 5-min rest periods between sets performed at a moderate contraction velocity (1-2 s CON; 1-2 s ECC). When training at a specific RM load, it is recommended that 2-10% increase in load be applied when the individual can perform the current workload for one to two repetitions over the desired number. The recommendation for training frequency is 2-3 d·wk-1 for novice training, 3-4 d·wk-1 for intermediate training, and 4-5 d·wk-1 for advanced training. Similar program designs are recommended for hypertrophy training with respect to exercise selection and frequency. For loading, it is recommended that loads corresponding to 1-12 RM be used in periodized fashion with emphasis on the 6-12 RM zone using 1- to 2-min rest periods between sets at a moderate velocity. Higher volume, multiple-set programs are recommended for maximizing hypertrophy. Progression in power training entails two general loading strategies: 1) strength training and 2) use of light loads (0-60% of 1 RM for lower body exercises; 30-60% of 1 RM for upper body exercises) performed at a fast contraction velocity with 3-5 min of rest between sets for multiple sets per exercise (three to five sets). It is also recommended that emphasis be placed on multiple-joint exercises especially those involving the total body. For local muscular endurance training, it …","container-title":"Medicine and science in sports and exercise","id":"ITEM-1","issue":"3","issued":{"date-parts":[["2009","3"]]},"page":"687-708","publisher":"Med Sci Sports Exerc","title":"American College of Sports Medicine position stand. Progression models in resistance training for healthy adults","type":"article-journal","volume":"41"},"uris":["http://www.mendeley.com/documents/?uuid=00fd1457-9b88-3c05-96da-f619168f3bed"]}],"mendeley":{"formattedCitation":"(240)","plainTextFormattedCitation":"(240)","previouslyFormattedCitation":"(240)"},"properties":{"noteIndex":0},"schema":"https://github.com/citation-style-language/schema/raw/master/csl-citation.json"}</w:instrText>
      </w:r>
      <w:r w:rsidR="002111C9" w:rsidRPr="00CA4ABC">
        <w:rPr>
          <w:rFonts w:cstheme="minorHAnsi"/>
          <w:color w:val="000000" w:themeColor="text1"/>
        </w:rPr>
        <w:fldChar w:fldCharType="separate"/>
      </w:r>
      <w:r w:rsidR="00FF0BCE" w:rsidRPr="00FF0BCE">
        <w:rPr>
          <w:rFonts w:cstheme="minorHAnsi"/>
          <w:noProof/>
          <w:color w:val="000000" w:themeColor="text1"/>
        </w:rPr>
        <w:t>(240)</w:t>
      </w:r>
      <w:r w:rsidR="002111C9" w:rsidRPr="00CA4ABC">
        <w:rPr>
          <w:rFonts w:cstheme="minorHAnsi"/>
          <w:color w:val="000000" w:themeColor="text1"/>
        </w:rPr>
        <w:fldChar w:fldCharType="end"/>
      </w:r>
      <w:r w:rsidR="004C12CF" w:rsidRPr="00CA4ABC">
        <w:rPr>
          <w:rFonts w:cstheme="minorHAnsi"/>
          <w:color w:val="000000" w:themeColor="text1"/>
        </w:rPr>
        <w:t xml:space="preserve">. On average, Individuals who said they “eat meat but not fish” had the highest protein intakes (1.17 g/kg BM/d), in comparison to vegans who had the lowest protein intake (0.82  g/kg BM/d). Protein intakes increased as </w:t>
      </w:r>
      <w:r w:rsidR="0084445D" w:rsidRPr="00CA4ABC">
        <w:rPr>
          <w:rFonts w:cstheme="minorHAnsi"/>
          <w:color w:val="000000" w:themeColor="text1"/>
        </w:rPr>
        <w:t xml:space="preserve">the </w:t>
      </w:r>
      <w:r w:rsidR="004C12CF" w:rsidRPr="00CA4ABC">
        <w:rPr>
          <w:rFonts w:cstheme="minorHAnsi"/>
          <w:color w:val="000000" w:themeColor="text1"/>
        </w:rPr>
        <w:t xml:space="preserve">frequency of resistance training engagement increased, apart from those who </w:t>
      </w:r>
      <w:r w:rsidRPr="00CA4ABC">
        <w:rPr>
          <w:rFonts w:cstheme="minorHAnsi"/>
          <w:color w:val="000000" w:themeColor="text1"/>
        </w:rPr>
        <w:t>report</w:t>
      </w:r>
      <w:r w:rsidR="004C12CF" w:rsidRPr="00CA4ABC">
        <w:rPr>
          <w:rFonts w:cstheme="minorHAnsi"/>
          <w:color w:val="000000" w:themeColor="text1"/>
        </w:rPr>
        <w:t>ed “never” performing resistance trainin</w:t>
      </w:r>
      <w:r w:rsidR="00522F5E" w:rsidRPr="00CA4ABC">
        <w:rPr>
          <w:rFonts w:cstheme="minorHAnsi"/>
          <w:color w:val="000000" w:themeColor="text1"/>
        </w:rPr>
        <w:t>g.</w:t>
      </w:r>
    </w:p>
    <w:p w14:paraId="095EC86F" w14:textId="77777777" w:rsidR="00F505FD" w:rsidRPr="00CA4ABC" w:rsidRDefault="00F505FD" w:rsidP="00522F5E">
      <w:pPr>
        <w:spacing w:line="360" w:lineRule="auto"/>
        <w:ind w:firstLine="720"/>
        <w:rPr>
          <w:rFonts w:cstheme="minorHAnsi"/>
          <w:color w:val="000000" w:themeColor="text1"/>
        </w:rPr>
      </w:pPr>
    </w:p>
    <w:tbl>
      <w:tblPr>
        <w:tblStyle w:val="TableGrid"/>
        <w:tblpPr w:leftFromText="180" w:rightFromText="180" w:vertAnchor="text" w:horzAnchor="margin" w:tblpXSpec="center" w:tblpY="78"/>
        <w:tblW w:w="11019" w:type="dxa"/>
        <w:tblLook w:val="04A0" w:firstRow="1" w:lastRow="0" w:firstColumn="1" w:lastColumn="0" w:noHBand="0" w:noVBand="1"/>
      </w:tblPr>
      <w:tblGrid>
        <w:gridCol w:w="2547"/>
        <w:gridCol w:w="2551"/>
        <w:gridCol w:w="2925"/>
        <w:gridCol w:w="2996"/>
      </w:tblGrid>
      <w:tr w:rsidR="0084445D" w:rsidRPr="00CA4ABC" w14:paraId="2DB3A648" w14:textId="77777777" w:rsidTr="0084445D">
        <w:trPr>
          <w:trHeight w:val="265"/>
        </w:trPr>
        <w:tc>
          <w:tcPr>
            <w:tcW w:w="2547" w:type="dxa"/>
          </w:tcPr>
          <w:p w14:paraId="200BDB81" w14:textId="77777777" w:rsidR="0084445D" w:rsidRPr="00CA4ABC" w:rsidRDefault="0084445D" w:rsidP="0084445D">
            <w:pPr>
              <w:jc w:val="center"/>
              <w:rPr>
                <w:rFonts w:cstheme="minorHAnsi"/>
                <w:b/>
                <w:bCs/>
                <w:color w:val="000000" w:themeColor="text1"/>
                <w:sz w:val="20"/>
                <w:szCs w:val="20"/>
              </w:rPr>
            </w:pPr>
            <w:bookmarkStart w:id="178" w:name="_Ref122344049"/>
            <w:bookmarkStart w:id="179" w:name="_Toc122956579"/>
            <w:r w:rsidRPr="00CA4ABC">
              <w:rPr>
                <w:rFonts w:cstheme="minorHAnsi"/>
                <w:b/>
                <w:bCs/>
                <w:color w:val="000000" w:themeColor="text1"/>
                <w:sz w:val="20"/>
                <w:szCs w:val="20"/>
              </w:rPr>
              <w:t>Response</w:t>
            </w:r>
          </w:p>
        </w:tc>
        <w:tc>
          <w:tcPr>
            <w:tcW w:w="2551" w:type="dxa"/>
          </w:tcPr>
          <w:p w14:paraId="01F0B77D" w14:textId="77777777" w:rsidR="0084445D" w:rsidRPr="00CA4ABC" w:rsidRDefault="0084445D" w:rsidP="0084445D">
            <w:pPr>
              <w:jc w:val="center"/>
              <w:rPr>
                <w:rFonts w:cstheme="minorHAnsi"/>
                <w:b/>
                <w:bCs/>
                <w:color w:val="000000" w:themeColor="text1"/>
                <w:sz w:val="20"/>
                <w:szCs w:val="20"/>
              </w:rPr>
            </w:pPr>
            <w:r w:rsidRPr="00CA4ABC">
              <w:rPr>
                <w:rFonts w:cstheme="minorHAnsi"/>
                <w:b/>
                <w:bCs/>
                <w:color w:val="000000" w:themeColor="text1"/>
                <w:sz w:val="20"/>
                <w:szCs w:val="20"/>
              </w:rPr>
              <w:t>Replies (%)</w:t>
            </w:r>
          </w:p>
        </w:tc>
        <w:tc>
          <w:tcPr>
            <w:tcW w:w="2925" w:type="dxa"/>
          </w:tcPr>
          <w:p w14:paraId="0ABBDECD" w14:textId="77777777" w:rsidR="0084445D" w:rsidRPr="00CA4ABC" w:rsidRDefault="0084445D" w:rsidP="0084445D">
            <w:pPr>
              <w:jc w:val="center"/>
              <w:rPr>
                <w:rFonts w:cstheme="minorHAnsi"/>
                <w:b/>
                <w:bCs/>
                <w:color w:val="000000" w:themeColor="text1"/>
                <w:sz w:val="20"/>
                <w:szCs w:val="20"/>
              </w:rPr>
            </w:pPr>
            <w:r w:rsidRPr="00CA4ABC">
              <w:rPr>
                <w:rFonts w:cstheme="minorHAnsi"/>
                <w:b/>
                <w:bCs/>
                <w:color w:val="000000" w:themeColor="text1"/>
                <w:sz w:val="20"/>
                <w:szCs w:val="20"/>
              </w:rPr>
              <w:t>Mean protein knowledge score (out of 24)</w:t>
            </w:r>
          </w:p>
        </w:tc>
        <w:tc>
          <w:tcPr>
            <w:tcW w:w="2996" w:type="dxa"/>
          </w:tcPr>
          <w:p w14:paraId="645F0E47" w14:textId="77777777" w:rsidR="0084445D" w:rsidRPr="00CA4ABC" w:rsidRDefault="0084445D" w:rsidP="0084445D">
            <w:pPr>
              <w:jc w:val="center"/>
              <w:rPr>
                <w:rFonts w:cstheme="minorHAnsi"/>
                <w:b/>
                <w:bCs/>
                <w:color w:val="000000" w:themeColor="text1"/>
                <w:sz w:val="20"/>
                <w:szCs w:val="20"/>
              </w:rPr>
            </w:pPr>
            <w:r w:rsidRPr="00CA4ABC">
              <w:rPr>
                <w:rFonts w:cstheme="minorHAnsi"/>
                <w:b/>
                <w:bCs/>
                <w:color w:val="000000" w:themeColor="text1"/>
                <w:sz w:val="20"/>
                <w:szCs w:val="20"/>
              </w:rPr>
              <w:t>Daily protein intake mean (SD)  (g/day / g/kg BM/d)</w:t>
            </w:r>
          </w:p>
        </w:tc>
      </w:tr>
      <w:tr w:rsidR="0084445D" w:rsidRPr="00CA4ABC" w14:paraId="50632EA8" w14:textId="77777777" w:rsidTr="0084445D">
        <w:trPr>
          <w:trHeight w:val="265"/>
        </w:trPr>
        <w:tc>
          <w:tcPr>
            <w:tcW w:w="11019" w:type="dxa"/>
            <w:gridSpan w:val="4"/>
          </w:tcPr>
          <w:p w14:paraId="5FFEE34F" w14:textId="77777777" w:rsidR="0084445D" w:rsidRPr="00CA4ABC" w:rsidRDefault="0084445D" w:rsidP="0084445D">
            <w:pPr>
              <w:jc w:val="center"/>
              <w:rPr>
                <w:rFonts w:cstheme="minorHAnsi"/>
                <w:b/>
                <w:bCs/>
                <w:color w:val="000000" w:themeColor="text1"/>
                <w:sz w:val="20"/>
                <w:szCs w:val="20"/>
              </w:rPr>
            </w:pPr>
            <w:r w:rsidRPr="00CA4ABC">
              <w:rPr>
                <w:rFonts w:cstheme="minorHAnsi"/>
                <w:b/>
                <w:bCs/>
                <w:color w:val="000000" w:themeColor="text1"/>
                <w:sz w:val="20"/>
                <w:szCs w:val="20"/>
              </w:rPr>
              <w:t>Do you think you eat enough protein?</w:t>
            </w:r>
          </w:p>
        </w:tc>
      </w:tr>
      <w:tr w:rsidR="0084445D" w:rsidRPr="00CA4ABC" w14:paraId="61EFBBDF" w14:textId="77777777" w:rsidTr="0084445D">
        <w:trPr>
          <w:trHeight w:val="265"/>
        </w:trPr>
        <w:tc>
          <w:tcPr>
            <w:tcW w:w="2547" w:type="dxa"/>
          </w:tcPr>
          <w:p w14:paraId="0801BE86"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The right amount</w:t>
            </w:r>
          </w:p>
        </w:tc>
        <w:tc>
          <w:tcPr>
            <w:tcW w:w="2551" w:type="dxa"/>
          </w:tcPr>
          <w:p w14:paraId="45F6C5D7"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138 (45.1)</w:t>
            </w:r>
          </w:p>
        </w:tc>
        <w:tc>
          <w:tcPr>
            <w:tcW w:w="2925" w:type="dxa"/>
          </w:tcPr>
          <w:p w14:paraId="2710948F"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16.30</w:t>
            </w:r>
          </w:p>
        </w:tc>
        <w:tc>
          <w:tcPr>
            <w:tcW w:w="2996" w:type="dxa"/>
          </w:tcPr>
          <w:p w14:paraId="4220086B"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78.6 (36.8) / 1.20 (0.62)</w:t>
            </w:r>
          </w:p>
        </w:tc>
      </w:tr>
      <w:tr w:rsidR="0084445D" w:rsidRPr="00CA4ABC" w14:paraId="1FD48806" w14:textId="77777777" w:rsidTr="0084445D">
        <w:trPr>
          <w:trHeight w:val="265"/>
        </w:trPr>
        <w:tc>
          <w:tcPr>
            <w:tcW w:w="2547" w:type="dxa"/>
          </w:tcPr>
          <w:p w14:paraId="45075365"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Not quite enough</w:t>
            </w:r>
          </w:p>
        </w:tc>
        <w:tc>
          <w:tcPr>
            <w:tcW w:w="2551" w:type="dxa"/>
          </w:tcPr>
          <w:p w14:paraId="45172D6C"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112 (36.6)</w:t>
            </w:r>
          </w:p>
        </w:tc>
        <w:tc>
          <w:tcPr>
            <w:tcW w:w="2925" w:type="dxa"/>
          </w:tcPr>
          <w:p w14:paraId="25365902"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15.73</w:t>
            </w:r>
          </w:p>
        </w:tc>
        <w:tc>
          <w:tcPr>
            <w:tcW w:w="2996" w:type="dxa"/>
          </w:tcPr>
          <w:p w14:paraId="3101743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68.9 (33.1) / 1.04 (0.51)</w:t>
            </w:r>
          </w:p>
        </w:tc>
      </w:tr>
      <w:tr w:rsidR="0084445D" w:rsidRPr="00CA4ABC" w14:paraId="49C15A45" w14:textId="77777777" w:rsidTr="0084445D">
        <w:trPr>
          <w:trHeight w:val="265"/>
        </w:trPr>
        <w:tc>
          <w:tcPr>
            <w:tcW w:w="2547" w:type="dxa"/>
          </w:tcPr>
          <w:p w14:paraId="37731570"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A bit too much</w:t>
            </w:r>
          </w:p>
        </w:tc>
        <w:tc>
          <w:tcPr>
            <w:tcW w:w="2551" w:type="dxa"/>
          </w:tcPr>
          <w:p w14:paraId="550A398F"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26 (8.5)</w:t>
            </w:r>
          </w:p>
        </w:tc>
        <w:tc>
          <w:tcPr>
            <w:tcW w:w="2925" w:type="dxa"/>
          </w:tcPr>
          <w:p w14:paraId="044F14EB"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15.54</w:t>
            </w:r>
          </w:p>
        </w:tc>
        <w:tc>
          <w:tcPr>
            <w:tcW w:w="2996" w:type="dxa"/>
          </w:tcPr>
          <w:p w14:paraId="68E2396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86.85 (51.4) / 1.17 (0.65)</w:t>
            </w:r>
          </w:p>
        </w:tc>
      </w:tr>
      <w:tr w:rsidR="0084445D" w:rsidRPr="00CA4ABC" w14:paraId="3D24C137" w14:textId="77777777" w:rsidTr="0084445D">
        <w:trPr>
          <w:trHeight w:val="265"/>
        </w:trPr>
        <w:tc>
          <w:tcPr>
            <w:tcW w:w="2547" w:type="dxa"/>
          </w:tcPr>
          <w:p w14:paraId="19B0DCD7"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Not sure</w:t>
            </w:r>
          </w:p>
        </w:tc>
        <w:tc>
          <w:tcPr>
            <w:tcW w:w="2551" w:type="dxa"/>
          </w:tcPr>
          <w:p w14:paraId="3114DA6E"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30 (9.8)</w:t>
            </w:r>
          </w:p>
        </w:tc>
        <w:tc>
          <w:tcPr>
            <w:tcW w:w="2925" w:type="dxa"/>
          </w:tcPr>
          <w:p w14:paraId="080C7BE4"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14.23</w:t>
            </w:r>
          </w:p>
        </w:tc>
        <w:tc>
          <w:tcPr>
            <w:tcW w:w="2996" w:type="dxa"/>
          </w:tcPr>
          <w:p w14:paraId="61F989B5"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59.2 (23.4) / 0.87 (0.35)</w:t>
            </w:r>
          </w:p>
        </w:tc>
      </w:tr>
      <w:tr w:rsidR="0084445D" w:rsidRPr="00CA4ABC" w14:paraId="376CE464" w14:textId="77777777" w:rsidTr="0084445D">
        <w:trPr>
          <w:trHeight w:val="265"/>
        </w:trPr>
        <w:tc>
          <w:tcPr>
            <w:tcW w:w="11019" w:type="dxa"/>
            <w:gridSpan w:val="4"/>
          </w:tcPr>
          <w:p w14:paraId="46153A5D" w14:textId="77777777" w:rsidR="0084445D" w:rsidRPr="00CA4ABC" w:rsidRDefault="0084445D" w:rsidP="0084445D">
            <w:pPr>
              <w:jc w:val="center"/>
              <w:rPr>
                <w:rFonts w:cstheme="minorHAnsi"/>
                <w:b/>
                <w:bCs/>
                <w:color w:val="000000" w:themeColor="text1"/>
                <w:sz w:val="20"/>
                <w:szCs w:val="20"/>
              </w:rPr>
            </w:pPr>
            <w:r w:rsidRPr="00CA4ABC">
              <w:rPr>
                <w:rFonts w:cstheme="minorHAnsi"/>
                <w:b/>
                <w:bCs/>
                <w:color w:val="000000" w:themeColor="text1"/>
                <w:sz w:val="20"/>
                <w:szCs w:val="20"/>
              </w:rPr>
              <w:t>How would you describe your dietary habits?</w:t>
            </w:r>
          </w:p>
        </w:tc>
      </w:tr>
      <w:tr w:rsidR="0084445D" w:rsidRPr="00CA4ABC" w14:paraId="1BE95C30" w14:textId="77777777" w:rsidTr="0084445D">
        <w:trPr>
          <w:trHeight w:val="265"/>
        </w:trPr>
        <w:tc>
          <w:tcPr>
            <w:tcW w:w="2547" w:type="dxa"/>
            <w:vAlign w:val="bottom"/>
          </w:tcPr>
          <w:p w14:paraId="6782ABAA"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I am a vegan</w:t>
            </w:r>
          </w:p>
        </w:tc>
        <w:tc>
          <w:tcPr>
            <w:tcW w:w="2551" w:type="dxa"/>
          </w:tcPr>
          <w:p w14:paraId="1B0082B6"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21 (6.9)</w:t>
            </w:r>
          </w:p>
        </w:tc>
        <w:tc>
          <w:tcPr>
            <w:tcW w:w="2925" w:type="dxa"/>
          </w:tcPr>
          <w:p w14:paraId="7DA32D72"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15.62</w:t>
            </w:r>
          </w:p>
        </w:tc>
        <w:tc>
          <w:tcPr>
            <w:tcW w:w="2996" w:type="dxa"/>
          </w:tcPr>
          <w:p w14:paraId="78136A7E"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52.52 (21.12) / 0.82 (0.32)</w:t>
            </w:r>
          </w:p>
        </w:tc>
      </w:tr>
      <w:tr w:rsidR="0084445D" w:rsidRPr="00CA4ABC" w14:paraId="24DAC48D" w14:textId="77777777" w:rsidTr="0084445D">
        <w:trPr>
          <w:trHeight w:val="265"/>
        </w:trPr>
        <w:tc>
          <w:tcPr>
            <w:tcW w:w="2547" w:type="dxa"/>
            <w:vAlign w:val="bottom"/>
          </w:tcPr>
          <w:p w14:paraId="62824D04"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I am a vegetarian</w:t>
            </w:r>
          </w:p>
        </w:tc>
        <w:tc>
          <w:tcPr>
            <w:tcW w:w="2551" w:type="dxa"/>
          </w:tcPr>
          <w:p w14:paraId="3BD17968"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30 (9.8)</w:t>
            </w:r>
          </w:p>
        </w:tc>
        <w:tc>
          <w:tcPr>
            <w:tcW w:w="2925" w:type="dxa"/>
          </w:tcPr>
          <w:p w14:paraId="6E2B544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15.07</w:t>
            </w:r>
          </w:p>
        </w:tc>
        <w:tc>
          <w:tcPr>
            <w:tcW w:w="2996" w:type="dxa"/>
          </w:tcPr>
          <w:p w14:paraId="0F4D55A1"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56.55 (24.71) / 0.95 (0.45)</w:t>
            </w:r>
          </w:p>
        </w:tc>
      </w:tr>
      <w:tr w:rsidR="0084445D" w:rsidRPr="00CA4ABC" w14:paraId="10F9A81B" w14:textId="77777777" w:rsidTr="0084445D">
        <w:trPr>
          <w:trHeight w:val="265"/>
        </w:trPr>
        <w:tc>
          <w:tcPr>
            <w:tcW w:w="2547" w:type="dxa"/>
            <w:vAlign w:val="bottom"/>
          </w:tcPr>
          <w:p w14:paraId="77B31E80"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I eat meat and fish (I eat plant based foods n=56))</w:t>
            </w:r>
          </w:p>
        </w:tc>
        <w:tc>
          <w:tcPr>
            <w:tcW w:w="2551" w:type="dxa"/>
          </w:tcPr>
          <w:p w14:paraId="2DA60711"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202 (66)</w:t>
            </w:r>
          </w:p>
        </w:tc>
        <w:tc>
          <w:tcPr>
            <w:tcW w:w="2925" w:type="dxa"/>
          </w:tcPr>
          <w:p w14:paraId="5569E6AC"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15.94</w:t>
            </w:r>
          </w:p>
        </w:tc>
        <w:tc>
          <w:tcPr>
            <w:tcW w:w="2996" w:type="dxa"/>
          </w:tcPr>
          <w:p w14:paraId="5AC349F8"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79.15 (3767) / 1.17 (0.59)</w:t>
            </w:r>
          </w:p>
        </w:tc>
      </w:tr>
      <w:tr w:rsidR="0084445D" w:rsidRPr="00CA4ABC" w14:paraId="3C8DF759" w14:textId="77777777" w:rsidTr="0084445D">
        <w:trPr>
          <w:trHeight w:val="265"/>
        </w:trPr>
        <w:tc>
          <w:tcPr>
            <w:tcW w:w="2547" w:type="dxa"/>
            <w:vAlign w:val="bottom"/>
          </w:tcPr>
          <w:p w14:paraId="54B2D4B2"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I eat meat but not fish</w:t>
            </w:r>
          </w:p>
        </w:tc>
        <w:tc>
          <w:tcPr>
            <w:tcW w:w="2551" w:type="dxa"/>
          </w:tcPr>
          <w:p w14:paraId="6B96960A"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20 (6.6)</w:t>
            </w:r>
          </w:p>
        </w:tc>
        <w:tc>
          <w:tcPr>
            <w:tcW w:w="2925" w:type="dxa"/>
          </w:tcPr>
          <w:p w14:paraId="0B06F49F"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15.25</w:t>
            </w:r>
          </w:p>
        </w:tc>
        <w:tc>
          <w:tcPr>
            <w:tcW w:w="2996" w:type="dxa"/>
          </w:tcPr>
          <w:p w14:paraId="24E33C53"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86.64 (41.47) / 1.18 (0.76)</w:t>
            </w:r>
          </w:p>
        </w:tc>
      </w:tr>
      <w:tr w:rsidR="0084445D" w:rsidRPr="00CA4ABC" w14:paraId="0A52D44B" w14:textId="77777777" w:rsidTr="0084445D">
        <w:trPr>
          <w:trHeight w:val="265"/>
        </w:trPr>
        <w:tc>
          <w:tcPr>
            <w:tcW w:w="2547" w:type="dxa"/>
            <w:vAlign w:val="bottom"/>
          </w:tcPr>
          <w:p w14:paraId="2D56D7D7"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I eat fish but not meat (I eat plant based foods (n=9))</w:t>
            </w:r>
          </w:p>
        </w:tc>
        <w:tc>
          <w:tcPr>
            <w:tcW w:w="2551" w:type="dxa"/>
          </w:tcPr>
          <w:p w14:paraId="77A32A05"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25 (8.1)</w:t>
            </w:r>
          </w:p>
        </w:tc>
        <w:tc>
          <w:tcPr>
            <w:tcW w:w="2925" w:type="dxa"/>
          </w:tcPr>
          <w:p w14:paraId="498FF6A1"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16.08</w:t>
            </w:r>
          </w:p>
        </w:tc>
        <w:tc>
          <w:tcPr>
            <w:tcW w:w="2996" w:type="dxa"/>
          </w:tcPr>
          <w:p w14:paraId="32F55F3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62.25 (36.44) / 0.96 (0.54)</w:t>
            </w:r>
          </w:p>
        </w:tc>
      </w:tr>
      <w:tr w:rsidR="0084445D" w:rsidRPr="00CA4ABC" w14:paraId="6EA267E5" w14:textId="77777777" w:rsidTr="0084445D">
        <w:trPr>
          <w:trHeight w:val="141"/>
        </w:trPr>
        <w:tc>
          <w:tcPr>
            <w:tcW w:w="11019" w:type="dxa"/>
            <w:gridSpan w:val="4"/>
          </w:tcPr>
          <w:p w14:paraId="26A6F8C5" w14:textId="77777777" w:rsidR="0084445D" w:rsidRPr="00CA4ABC" w:rsidRDefault="0084445D" w:rsidP="0084445D">
            <w:pPr>
              <w:jc w:val="center"/>
              <w:rPr>
                <w:rFonts w:cstheme="minorHAnsi"/>
                <w:b/>
                <w:bCs/>
                <w:color w:val="000000" w:themeColor="text1"/>
                <w:sz w:val="20"/>
                <w:szCs w:val="20"/>
              </w:rPr>
            </w:pPr>
            <w:r w:rsidRPr="00CA4ABC">
              <w:rPr>
                <w:rFonts w:cstheme="minorHAnsi"/>
                <w:b/>
                <w:bCs/>
                <w:color w:val="000000" w:themeColor="text1"/>
                <w:sz w:val="20"/>
                <w:szCs w:val="20"/>
              </w:rPr>
              <w:t>How frequently do you purposely engage in strength-based resistance training during your free time?</w:t>
            </w:r>
          </w:p>
        </w:tc>
      </w:tr>
      <w:tr w:rsidR="0084445D" w:rsidRPr="00CA4ABC" w14:paraId="22C116DC" w14:textId="77777777" w:rsidTr="0084445D">
        <w:trPr>
          <w:trHeight w:val="265"/>
        </w:trPr>
        <w:tc>
          <w:tcPr>
            <w:tcW w:w="2547" w:type="dxa"/>
            <w:vAlign w:val="bottom"/>
          </w:tcPr>
          <w:p w14:paraId="67789D3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 xml:space="preserve">Never </w:t>
            </w:r>
          </w:p>
        </w:tc>
        <w:tc>
          <w:tcPr>
            <w:tcW w:w="2551" w:type="dxa"/>
          </w:tcPr>
          <w:p w14:paraId="1934763E"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60 (19.6)</w:t>
            </w:r>
          </w:p>
        </w:tc>
        <w:tc>
          <w:tcPr>
            <w:tcW w:w="2925" w:type="dxa"/>
          </w:tcPr>
          <w:p w14:paraId="0CA8D688"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15.73</w:t>
            </w:r>
          </w:p>
        </w:tc>
        <w:tc>
          <w:tcPr>
            <w:tcW w:w="2996" w:type="dxa"/>
          </w:tcPr>
          <w:p w14:paraId="443AE71D"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98.43 (62.0) / 1.60 (0.89)</w:t>
            </w:r>
          </w:p>
        </w:tc>
      </w:tr>
      <w:tr w:rsidR="0084445D" w:rsidRPr="00CA4ABC" w14:paraId="1836011A" w14:textId="77777777" w:rsidTr="0084445D">
        <w:trPr>
          <w:trHeight w:val="265"/>
        </w:trPr>
        <w:tc>
          <w:tcPr>
            <w:tcW w:w="2547" w:type="dxa"/>
            <w:vAlign w:val="bottom"/>
          </w:tcPr>
          <w:p w14:paraId="6496A8CC"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 xml:space="preserve">Occasionally </w:t>
            </w:r>
          </w:p>
        </w:tc>
        <w:tc>
          <w:tcPr>
            <w:tcW w:w="2551" w:type="dxa"/>
          </w:tcPr>
          <w:p w14:paraId="02D680C4"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85 (27.8)</w:t>
            </w:r>
          </w:p>
        </w:tc>
        <w:tc>
          <w:tcPr>
            <w:tcW w:w="2925" w:type="dxa"/>
          </w:tcPr>
          <w:p w14:paraId="7A168CD5"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15.38</w:t>
            </w:r>
          </w:p>
        </w:tc>
        <w:tc>
          <w:tcPr>
            <w:tcW w:w="2996" w:type="dxa"/>
          </w:tcPr>
          <w:p w14:paraId="4E25B8F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66.07 (32.6) / 0.99 (0.49)</w:t>
            </w:r>
          </w:p>
        </w:tc>
      </w:tr>
      <w:tr w:rsidR="0084445D" w:rsidRPr="00CA4ABC" w14:paraId="349620C1" w14:textId="77777777" w:rsidTr="0084445D">
        <w:trPr>
          <w:trHeight w:val="265"/>
        </w:trPr>
        <w:tc>
          <w:tcPr>
            <w:tcW w:w="2547" w:type="dxa"/>
            <w:vAlign w:val="bottom"/>
          </w:tcPr>
          <w:p w14:paraId="6AD4F15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 xml:space="preserve">Once a week </w:t>
            </w:r>
          </w:p>
        </w:tc>
        <w:tc>
          <w:tcPr>
            <w:tcW w:w="2551" w:type="dxa"/>
          </w:tcPr>
          <w:p w14:paraId="063BD84D"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38 (12.4)</w:t>
            </w:r>
          </w:p>
        </w:tc>
        <w:tc>
          <w:tcPr>
            <w:tcW w:w="2925" w:type="dxa"/>
          </w:tcPr>
          <w:p w14:paraId="40E5A3EA"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16.00</w:t>
            </w:r>
          </w:p>
        </w:tc>
        <w:tc>
          <w:tcPr>
            <w:tcW w:w="2996" w:type="dxa"/>
          </w:tcPr>
          <w:p w14:paraId="44CE2CB6"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76.48 (30.07) / 1.16 (0.54)</w:t>
            </w:r>
          </w:p>
        </w:tc>
      </w:tr>
      <w:tr w:rsidR="0084445D" w:rsidRPr="00CA4ABC" w14:paraId="0638E6BA" w14:textId="77777777" w:rsidTr="0084445D">
        <w:trPr>
          <w:trHeight w:val="265"/>
        </w:trPr>
        <w:tc>
          <w:tcPr>
            <w:tcW w:w="2547" w:type="dxa"/>
            <w:vAlign w:val="bottom"/>
          </w:tcPr>
          <w:p w14:paraId="7E734F65"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 xml:space="preserve">Twice a week </w:t>
            </w:r>
          </w:p>
        </w:tc>
        <w:tc>
          <w:tcPr>
            <w:tcW w:w="2551" w:type="dxa"/>
          </w:tcPr>
          <w:p w14:paraId="28B9DA3E"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55 (18)</w:t>
            </w:r>
          </w:p>
        </w:tc>
        <w:tc>
          <w:tcPr>
            <w:tcW w:w="2925" w:type="dxa"/>
          </w:tcPr>
          <w:p w14:paraId="7CF63C6F"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16.07</w:t>
            </w:r>
          </w:p>
        </w:tc>
        <w:tc>
          <w:tcPr>
            <w:tcW w:w="2996" w:type="dxa"/>
          </w:tcPr>
          <w:p w14:paraId="0D796C35"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68.09 (30.91) / 1.04 (0.47)</w:t>
            </w:r>
          </w:p>
        </w:tc>
      </w:tr>
      <w:tr w:rsidR="0084445D" w:rsidRPr="00CA4ABC" w14:paraId="3F1C3EB7" w14:textId="77777777" w:rsidTr="0084445D">
        <w:trPr>
          <w:trHeight w:val="265"/>
        </w:trPr>
        <w:tc>
          <w:tcPr>
            <w:tcW w:w="2547" w:type="dxa"/>
            <w:vAlign w:val="bottom"/>
          </w:tcPr>
          <w:p w14:paraId="4FF82D42"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 xml:space="preserve">More than 2 times a week </w:t>
            </w:r>
          </w:p>
        </w:tc>
        <w:tc>
          <w:tcPr>
            <w:tcW w:w="2551" w:type="dxa"/>
          </w:tcPr>
          <w:p w14:paraId="7EED25F3"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58 (19)</w:t>
            </w:r>
          </w:p>
        </w:tc>
        <w:tc>
          <w:tcPr>
            <w:tcW w:w="2925" w:type="dxa"/>
          </w:tcPr>
          <w:p w14:paraId="6AD5C779"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16.26</w:t>
            </w:r>
          </w:p>
        </w:tc>
        <w:tc>
          <w:tcPr>
            <w:tcW w:w="2996" w:type="dxa"/>
          </w:tcPr>
          <w:p w14:paraId="265251E3"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102.69 (50.64) / 1.53 (0.78)</w:t>
            </w:r>
          </w:p>
        </w:tc>
      </w:tr>
      <w:tr w:rsidR="0084445D" w:rsidRPr="00CA4ABC" w14:paraId="0BC30BF0" w14:textId="77777777" w:rsidTr="0084445D">
        <w:trPr>
          <w:trHeight w:val="265"/>
        </w:trPr>
        <w:tc>
          <w:tcPr>
            <w:tcW w:w="2547" w:type="dxa"/>
            <w:vAlign w:val="bottom"/>
          </w:tcPr>
          <w:p w14:paraId="399ED6BC"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 xml:space="preserve">I am unsure what this is </w:t>
            </w:r>
          </w:p>
        </w:tc>
        <w:tc>
          <w:tcPr>
            <w:tcW w:w="2551" w:type="dxa"/>
          </w:tcPr>
          <w:p w14:paraId="1DA0C57D"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10 (3.3)</w:t>
            </w:r>
          </w:p>
        </w:tc>
        <w:tc>
          <w:tcPr>
            <w:tcW w:w="2925" w:type="dxa"/>
          </w:tcPr>
          <w:p w14:paraId="3BC5020F"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15.70</w:t>
            </w:r>
          </w:p>
        </w:tc>
        <w:tc>
          <w:tcPr>
            <w:tcW w:w="2996" w:type="dxa"/>
          </w:tcPr>
          <w:p w14:paraId="0FECD564" w14:textId="77777777" w:rsidR="0084445D" w:rsidRPr="00CA4ABC" w:rsidRDefault="0084445D" w:rsidP="0084445D">
            <w:pPr>
              <w:rPr>
                <w:rFonts w:cstheme="minorHAnsi"/>
                <w:color w:val="000000" w:themeColor="text1"/>
                <w:sz w:val="20"/>
                <w:szCs w:val="20"/>
              </w:rPr>
            </w:pPr>
            <w:r w:rsidRPr="00CA4ABC">
              <w:rPr>
                <w:rFonts w:cstheme="minorHAnsi"/>
                <w:color w:val="000000" w:themeColor="text1"/>
                <w:sz w:val="20"/>
                <w:szCs w:val="20"/>
              </w:rPr>
              <w:t>65.53 (24.80) / 1.05 (0.52)</w:t>
            </w:r>
          </w:p>
        </w:tc>
      </w:tr>
    </w:tbl>
    <w:bookmarkEnd w:id="178"/>
    <w:p w14:paraId="1939F3E2" w14:textId="2DCA3AFE" w:rsidR="00522F5E" w:rsidRPr="00F505FD" w:rsidRDefault="00A13A55" w:rsidP="00A13A55">
      <w:pPr>
        <w:pStyle w:val="Caption"/>
        <w:rPr>
          <w:rFonts w:cstheme="minorHAnsi"/>
          <w:i w:val="0"/>
          <w:iCs w:val="0"/>
          <w:color w:val="000000" w:themeColor="text1"/>
          <w:sz w:val="24"/>
          <w:szCs w:val="24"/>
        </w:rPr>
      </w:pPr>
      <w:r w:rsidRPr="00A13A55">
        <w:rPr>
          <w:i w:val="0"/>
          <w:iCs w:val="0"/>
          <w:color w:val="000000" w:themeColor="text1"/>
          <w:sz w:val="24"/>
          <w:szCs w:val="24"/>
        </w:rPr>
        <w:t xml:space="preserve">Table </w:t>
      </w:r>
      <w:r w:rsidRPr="00A13A55">
        <w:rPr>
          <w:i w:val="0"/>
          <w:iCs w:val="0"/>
          <w:color w:val="000000" w:themeColor="text1"/>
          <w:sz w:val="24"/>
          <w:szCs w:val="24"/>
        </w:rPr>
        <w:fldChar w:fldCharType="begin"/>
      </w:r>
      <w:r w:rsidRPr="00A13A55">
        <w:rPr>
          <w:i w:val="0"/>
          <w:iCs w:val="0"/>
          <w:color w:val="000000" w:themeColor="text1"/>
          <w:sz w:val="24"/>
          <w:szCs w:val="24"/>
        </w:rPr>
        <w:instrText xml:space="preserve"> SEQ Table \* ARABIC </w:instrText>
      </w:r>
      <w:r w:rsidRPr="00A13A55">
        <w:rPr>
          <w:i w:val="0"/>
          <w:iCs w:val="0"/>
          <w:color w:val="000000" w:themeColor="text1"/>
          <w:sz w:val="24"/>
          <w:szCs w:val="24"/>
        </w:rPr>
        <w:fldChar w:fldCharType="separate"/>
      </w:r>
      <w:r>
        <w:rPr>
          <w:i w:val="0"/>
          <w:iCs w:val="0"/>
          <w:noProof/>
          <w:color w:val="000000" w:themeColor="text1"/>
          <w:sz w:val="24"/>
          <w:szCs w:val="24"/>
        </w:rPr>
        <w:t>14</w:t>
      </w:r>
      <w:r w:rsidRPr="00A13A55">
        <w:rPr>
          <w:i w:val="0"/>
          <w:iCs w:val="0"/>
          <w:color w:val="000000" w:themeColor="text1"/>
          <w:sz w:val="24"/>
          <w:szCs w:val="24"/>
        </w:rPr>
        <w:fldChar w:fldCharType="end"/>
      </w:r>
      <w:r w:rsidR="00F505FD" w:rsidRPr="00F505FD">
        <w:rPr>
          <w:rFonts w:cstheme="minorHAnsi"/>
          <w:i w:val="0"/>
          <w:iCs w:val="0"/>
          <w:color w:val="000000" w:themeColor="text1"/>
          <w:sz w:val="24"/>
          <w:szCs w:val="24"/>
        </w:rPr>
        <w:t>. Self-reported</w:t>
      </w:r>
      <w:r w:rsidR="00522F5E" w:rsidRPr="00F505FD">
        <w:rPr>
          <w:rFonts w:cstheme="minorHAnsi"/>
          <w:i w:val="0"/>
          <w:iCs w:val="0"/>
          <w:color w:val="000000" w:themeColor="text1"/>
          <w:sz w:val="24"/>
          <w:szCs w:val="24"/>
        </w:rPr>
        <w:t xml:space="preserve"> assessment of protein intake, dietary habits and resistance exercise engagement in the SheffProUK population.</w:t>
      </w:r>
      <w:bookmarkEnd w:id="179"/>
      <w:r w:rsidR="00522F5E" w:rsidRPr="00F505FD">
        <w:rPr>
          <w:rFonts w:cstheme="minorHAnsi"/>
          <w:i w:val="0"/>
          <w:iCs w:val="0"/>
          <w:color w:val="000000" w:themeColor="text1"/>
          <w:sz w:val="24"/>
          <w:szCs w:val="24"/>
        </w:rPr>
        <w:t xml:space="preserve"> </w:t>
      </w:r>
    </w:p>
    <w:p w14:paraId="72B97AA4" w14:textId="5D517EC0" w:rsidR="00522F5E" w:rsidRPr="00CA4ABC" w:rsidRDefault="00522F5E" w:rsidP="009064FC">
      <w:pPr>
        <w:spacing w:line="360" w:lineRule="auto"/>
        <w:rPr>
          <w:rFonts w:cstheme="minorHAnsi"/>
          <w:color w:val="000000" w:themeColor="text1"/>
        </w:rPr>
        <w:sectPr w:rsidR="00522F5E" w:rsidRPr="00CA4ABC" w:rsidSect="00755CCD">
          <w:pgSz w:w="11900" w:h="16840"/>
          <w:pgMar w:top="1440" w:right="1440" w:bottom="1440" w:left="1440" w:header="708" w:footer="708" w:gutter="0"/>
          <w:cols w:space="708"/>
          <w:docGrid w:linePitch="360"/>
        </w:sectPr>
      </w:pPr>
    </w:p>
    <w:p w14:paraId="63EA585F" w14:textId="3584CE47" w:rsidR="004C12CF" w:rsidRPr="00CA4ABC" w:rsidRDefault="004C12CF" w:rsidP="00E8340C">
      <w:pPr>
        <w:pStyle w:val="Heading3"/>
        <w:spacing w:line="360" w:lineRule="auto"/>
        <w:rPr>
          <w:rFonts w:asciiTheme="minorHAnsi" w:hAnsiTheme="minorHAnsi" w:cstheme="minorHAnsi"/>
          <w:color w:val="000000" w:themeColor="text1"/>
        </w:rPr>
      </w:pPr>
      <w:bookmarkStart w:id="180" w:name="_Toc135384318"/>
      <w:r w:rsidRPr="00CA4ABC">
        <w:rPr>
          <w:rFonts w:asciiTheme="minorHAnsi" w:hAnsiTheme="minorHAnsi" w:cstheme="minorHAnsi"/>
          <w:color w:val="000000" w:themeColor="text1"/>
        </w:rPr>
        <w:lastRenderedPageBreak/>
        <w:t>4.3.6 Correlation analysis for protein knowledge scores and protein intakes.</w:t>
      </w:r>
      <w:bookmarkEnd w:id="180"/>
    </w:p>
    <w:p w14:paraId="734D4350" w14:textId="7F36FE4A" w:rsidR="004536A1" w:rsidRPr="00CA4ABC" w:rsidRDefault="004C12CF" w:rsidP="00522F5E">
      <w:pPr>
        <w:spacing w:line="360" w:lineRule="auto"/>
        <w:ind w:firstLine="720"/>
        <w:rPr>
          <w:rFonts w:cstheme="minorHAnsi"/>
          <w:color w:val="000000" w:themeColor="text1"/>
        </w:rPr>
      </w:pPr>
      <w:r w:rsidRPr="00CA4ABC">
        <w:rPr>
          <w:rFonts w:cstheme="minorHAnsi"/>
          <w:color w:val="000000" w:themeColor="text1"/>
        </w:rPr>
        <w:t xml:space="preserve">Spearman’s Rho correlation analysis found a significant relationship between protein intakes and knowledge scores. This was present regardless of sex. When the data was split by age, however, no relationship between these factors was displayed in the younger cohort, but this was </w:t>
      </w:r>
      <w:r w:rsidR="00AB59A1" w:rsidRPr="00CA4ABC">
        <w:rPr>
          <w:rFonts w:cstheme="minorHAnsi"/>
          <w:color w:val="000000" w:themeColor="text1"/>
        </w:rPr>
        <w:t>observed</w:t>
      </w:r>
      <w:r w:rsidR="0002044C">
        <w:rPr>
          <w:rFonts w:cstheme="minorHAnsi"/>
          <w:color w:val="000000" w:themeColor="text1"/>
        </w:rPr>
        <w:t xml:space="preserve"> </w:t>
      </w:r>
      <w:r w:rsidRPr="00CA4ABC">
        <w:rPr>
          <w:rFonts w:cstheme="minorHAnsi"/>
          <w:color w:val="000000" w:themeColor="text1"/>
        </w:rPr>
        <w:t>in the older adults (aged 55 years or older)</w:t>
      </w:r>
      <w:r w:rsidR="004536A1" w:rsidRPr="00CA4ABC">
        <w:rPr>
          <w:rFonts w:cstheme="minorHAnsi"/>
          <w:color w:val="000000" w:themeColor="text1"/>
        </w:rPr>
        <w:t xml:space="preserve"> (</w:t>
      </w:r>
      <w:r w:rsidR="004536A1" w:rsidRPr="00CA4ABC">
        <w:rPr>
          <w:rFonts w:cstheme="minorHAnsi"/>
          <w:color w:val="000000" w:themeColor="text1"/>
        </w:rPr>
        <w:fldChar w:fldCharType="begin"/>
      </w:r>
      <w:r w:rsidR="004536A1" w:rsidRPr="00CA4ABC">
        <w:rPr>
          <w:rFonts w:cstheme="minorHAnsi"/>
          <w:color w:val="000000" w:themeColor="text1"/>
        </w:rPr>
        <w:instrText xml:space="preserve"> REF _Ref124502128 \h  \* MERGEFORMAT </w:instrText>
      </w:r>
      <w:r w:rsidR="004536A1" w:rsidRPr="00CA4ABC">
        <w:rPr>
          <w:rFonts w:cstheme="minorHAnsi"/>
          <w:color w:val="000000" w:themeColor="text1"/>
        </w:rPr>
      </w:r>
      <w:r w:rsidR="004536A1" w:rsidRPr="00CA4ABC">
        <w:rPr>
          <w:rFonts w:cstheme="minorHAnsi"/>
          <w:color w:val="000000" w:themeColor="text1"/>
        </w:rPr>
        <w:fldChar w:fldCharType="separate"/>
      </w:r>
      <w:r w:rsidR="004536A1" w:rsidRPr="00CA4ABC">
        <w:rPr>
          <w:rFonts w:cstheme="minorHAnsi"/>
          <w:color w:val="000000" w:themeColor="text1"/>
        </w:rPr>
        <w:t xml:space="preserve">Table </w:t>
      </w:r>
      <w:r w:rsidR="004536A1" w:rsidRPr="00CA4ABC">
        <w:rPr>
          <w:rFonts w:cstheme="minorHAnsi"/>
          <w:noProof/>
          <w:color w:val="000000" w:themeColor="text1"/>
        </w:rPr>
        <w:t>15</w:t>
      </w:r>
      <w:r w:rsidR="004536A1" w:rsidRPr="00CA4ABC">
        <w:rPr>
          <w:rFonts w:cstheme="minorHAnsi"/>
          <w:color w:val="000000" w:themeColor="text1"/>
        </w:rPr>
        <w:fldChar w:fldCharType="end"/>
      </w:r>
      <w:r w:rsidR="004536A1" w:rsidRPr="00CA4ABC">
        <w:rPr>
          <w:rFonts w:cstheme="minorHAnsi"/>
          <w:color w:val="000000" w:themeColor="text1"/>
        </w:rPr>
        <w:t>.)</w:t>
      </w:r>
    </w:p>
    <w:tbl>
      <w:tblPr>
        <w:tblStyle w:val="TableGrid"/>
        <w:tblW w:w="0" w:type="auto"/>
        <w:tblLook w:val="04A0" w:firstRow="1" w:lastRow="0" w:firstColumn="1" w:lastColumn="0" w:noHBand="0" w:noVBand="1"/>
      </w:tblPr>
      <w:tblGrid>
        <w:gridCol w:w="3003"/>
        <w:gridCol w:w="3003"/>
        <w:gridCol w:w="3004"/>
      </w:tblGrid>
      <w:tr w:rsidR="00AD26AD" w:rsidRPr="00CA4ABC" w14:paraId="0747EE1A" w14:textId="77777777" w:rsidTr="00AD26AD">
        <w:tc>
          <w:tcPr>
            <w:tcW w:w="3003" w:type="dxa"/>
          </w:tcPr>
          <w:p w14:paraId="69A5F1CC" w14:textId="25D6EE8E" w:rsidR="00AD26AD" w:rsidRPr="00CA4ABC" w:rsidRDefault="00AD26AD" w:rsidP="00522F5E">
            <w:pPr>
              <w:jc w:val="center"/>
              <w:rPr>
                <w:rFonts w:cstheme="minorHAnsi"/>
                <w:b/>
                <w:bCs/>
                <w:color w:val="000000" w:themeColor="text1"/>
                <w:sz w:val="20"/>
                <w:szCs w:val="20"/>
              </w:rPr>
            </w:pPr>
            <w:r w:rsidRPr="00CA4ABC">
              <w:rPr>
                <w:rFonts w:cstheme="minorHAnsi"/>
                <w:b/>
                <w:bCs/>
                <w:color w:val="000000" w:themeColor="text1"/>
                <w:sz w:val="20"/>
                <w:szCs w:val="20"/>
              </w:rPr>
              <w:t>Participants</w:t>
            </w:r>
          </w:p>
        </w:tc>
        <w:tc>
          <w:tcPr>
            <w:tcW w:w="3003" w:type="dxa"/>
          </w:tcPr>
          <w:p w14:paraId="1E3A0B29" w14:textId="0C83FE9C" w:rsidR="00AD26AD" w:rsidRPr="00CA4ABC" w:rsidRDefault="004536A1" w:rsidP="00522F5E">
            <w:pPr>
              <w:jc w:val="center"/>
              <w:rPr>
                <w:rFonts w:cstheme="minorHAnsi"/>
                <w:b/>
                <w:bCs/>
                <w:color w:val="000000" w:themeColor="text1"/>
                <w:sz w:val="20"/>
                <w:szCs w:val="20"/>
              </w:rPr>
            </w:pPr>
            <w:r w:rsidRPr="00CA4ABC">
              <w:rPr>
                <w:rFonts w:cstheme="minorHAnsi"/>
                <w:b/>
                <w:bCs/>
                <w:color w:val="000000" w:themeColor="text1"/>
                <w:sz w:val="20"/>
                <w:szCs w:val="20"/>
              </w:rPr>
              <w:t>Spearman’s Rho</w:t>
            </w:r>
          </w:p>
        </w:tc>
        <w:tc>
          <w:tcPr>
            <w:tcW w:w="3004" w:type="dxa"/>
          </w:tcPr>
          <w:p w14:paraId="33CAD486" w14:textId="44E0D4B2" w:rsidR="00AD26AD" w:rsidRPr="00CA4ABC" w:rsidRDefault="00522F5E" w:rsidP="00522F5E">
            <w:pPr>
              <w:jc w:val="center"/>
              <w:rPr>
                <w:rFonts w:cstheme="minorHAnsi"/>
                <w:b/>
                <w:bCs/>
                <w:color w:val="000000" w:themeColor="text1"/>
                <w:sz w:val="20"/>
                <w:szCs w:val="20"/>
              </w:rPr>
            </w:pPr>
            <w:r w:rsidRPr="00CA4ABC">
              <w:rPr>
                <w:rFonts w:cstheme="minorHAnsi"/>
                <w:b/>
                <w:bCs/>
                <w:color w:val="000000" w:themeColor="text1"/>
                <w:sz w:val="20"/>
                <w:szCs w:val="20"/>
              </w:rPr>
              <w:t>p</w:t>
            </w:r>
            <w:r w:rsidR="004536A1" w:rsidRPr="00CA4ABC">
              <w:rPr>
                <w:rFonts w:cstheme="minorHAnsi"/>
                <w:b/>
                <w:bCs/>
                <w:color w:val="000000" w:themeColor="text1"/>
                <w:sz w:val="20"/>
                <w:szCs w:val="20"/>
              </w:rPr>
              <w:t xml:space="preserve"> value</w:t>
            </w:r>
          </w:p>
        </w:tc>
      </w:tr>
      <w:tr w:rsidR="00AD26AD" w:rsidRPr="00CA4ABC" w14:paraId="08B8ED41" w14:textId="77777777" w:rsidTr="00AD26AD">
        <w:tc>
          <w:tcPr>
            <w:tcW w:w="3003" w:type="dxa"/>
          </w:tcPr>
          <w:p w14:paraId="6D86119E" w14:textId="78548C24" w:rsidR="00AD26AD" w:rsidRPr="00CA4ABC" w:rsidRDefault="004536A1" w:rsidP="00522F5E">
            <w:pPr>
              <w:rPr>
                <w:rFonts w:cstheme="minorHAnsi"/>
                <w:b/>
                <w:bCs/>
                <w:color w:val="000000" w:themeColor="text1"/>
                <w:sz w:val="20"/>
                <w:szCs w:val="20"/>
              </w:rPr>
            </w:pPr>
            <w:r w:rsidRPr="00CA4ABC">
              <w:rPr>
                <w:rFonts w:cstheme="minorHAnsi"/>
                <w:b/>
                <w:bCs/>
                <w:color w:val="000000" w:themeColor="text1"/>
                <w:sz w:val="20"/>
                <w:szCs w:val="20"/>
              </w:rPr>
              <w:t>All (n=308)</w:t>
            </w:r>
          </w:p>
        </w:tc>
        <w:tc>
          <w:tcPr>
            <w:tcW w:w="3003" w:type="dxa"/>
          </w:tcPr>
          <w:p w14:paraId="4B5EC0C0" w14:textId="5F609F4A"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0.260</w:t>
            </w:r>
          </w:p>
        </w:tc>
        <w:tc>
          <w:tcPr>
            <w:tcW w:w="3004" w:type="dxa"/>
          </w:tcPr>
          <w:p w14:paraId="0D156463" w14:textId="18CBC722"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p&lt;0.05*</w:t>
            </w:r>
          </w:p>
        </w:tc>
      </w:tr>
      <w:tr w:rsidR="00AD26AD" w:rsidRPr="00CA4ABC" w14:paraId="158B11E3" w14:textId="77777777" w:rsidTr="00AD26AD">
        <w:tc>
          <w:tcPr>
            <w:tcW w:w="3003" w:type="dxa"/>
          </w:tcPr>
          <w:p w14:paraId="39728E70" w14:textId="65B294EF" w:rsidR="00AD26AD" w:rsidRPr="00CA4ABC" w:rsidRDefault="004536A1" w:rsidP="00522F5E">
            <w:pPr>
              <w:rPr>
                <w:rFonts w:cstheme="minorHAnsi"/>
                <w:b/>
                <w:bCs/>
                <w:color w:val="000000" w:themeColor="text1"/>
                <w:sz w:val="20"/>
                <w:szCs w:val="20"/>
              </w:rPr>
            </w:pPr>
            <w:r w:rsidRPr="00CA4ABC">
              <w:rPr>
                <w:rFonts w:cstheme="minorHAnsi"/>
                <w:b/>
                <w:bCs/>
                <w:color w:val="000000" w:themeColor="text1"/>
                <w:sz w:val="20"/>
                <w:szCs w:val="20"/>
              </w:rPr>
              <w:t>Male (n=65)</w:t>
            </w:r>
          </w:p>
        </w:tc>
        <w:tc>
          <w:tcPr>
            <w:tcW w:w="3003" w:type="dxa"/>
          </w:tcPr>
          <w:p w14:paraId="7ACF1E86" w14:textId="4A23C3EA"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0.315</w:t>
            </w:r>
          </w:p>
        </w:tc>
        <w:tc>
          <w:tcPr>
            <w:tcW w:w="3004" w:type="dxa"/>
          </w:tcPr>
          <w:p w14:paraId="76D2F196" w14:textId="51E8A1AB"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0.01*</w:t>
            </w:r>
          </w:p>
        </w:tc>
      </w:tr>
      <w:tr w:rsidR="00AD26AD" w:rsidRPr="00CA4ABC" w14:paraId="2EECEF68" w14:textId="77777777" w:rsidTr="00AD26AD">
        <w:tc>
          <w:tcPr>
            <w:tcW w:w="3003" w:type="dxa"/>
          </w:tcPr>
          <w:p w14:paraId="1339F7D3" w14:textId="74E7B078" w:rsidR="00AD26AD" w:rsidRPr="00CA4ABC" w:rsidRDefault="004536A1" w:rsidP="00522F5E">
            <w:pPr>
              <w:rPr>
                <w:rFonts w:cstheme="minorHAnsi"/>
                <w:b/>
                <w:bCs/>
                <w:color w:val="000000" w:themeColor="text1"/>
                <w:sz w:val="20"/>
                <w:szCs w:val="20"/>
              </w:rPr>
            </w:pPr>
            <w:r w:rsidRPr="00CA4ABC">
              <w:rPr>
                <w:rFonts w:cstheme="minorHAnsi"/>
                <w:b/>
                <w:bCs/>
                <w:color w:val="000000" w:themeColor="text1"/>
                <w:sz w:val="20"/>
                <w:szCs w:val="20"/>
              </w:rPr>
              <w:t>Female (n=217)</w:t>
            </w:r>
          </w:p>
        </w:tc>
        <w:tc>
          <w:tcPr>
            <w:tcW w:w="3003" w:type="dxa"/>
          </w:tcPr>
          <w:p w14:paraId="31E522A2" w14:textId="6A2AA97D"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0.202</w:t>
            </w:r>
          </w:p>
        </w:tc>
        <w:tc>
          <w:tcPr>
            <w:tcW w:w="3004" w:type="dxa"/>
          </w:tcPr>
          <w:p w14:paraId="3E6E778B" w14:textId="648F0319"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0.03*</w:t>
            </w:r>
          </w:p>
        </w:tc>
      </w:tr>
      <w:tr w:rsidR="00AD26AD" w:rsidRPr="00CA4ABC" w14:paraId="40448CCC" w14:textId="77777777" w:rsidTr="00AD26AD">
        <w:tc>
          <w:tcPr>
            <w:tcW w:w="3003" w:type="dxa"/>
          </w:tcPr>
          <w:p w14:paraId="52A92F70" w14:textId="2CF1B5B2" w:rsidR="00AD26AD" w:rsidRPr="00CA4ABC" w:rsidRDefault="004536A1" w:rsidP="00522F5E">
            <w:pPr>
              <w:rPr>
                <w:rFonts w:cstheme="minorHAnsi"/>
                <w:b/>
                <w:bCs/>
                <w:color w:val="000000" w:themeColor="text1"/>
                <w:sz w:val="20"/>
                <w:szCs w:val="20"/>
              </w:rPr>
            </w:pPr>
            <w:r w:rsidRPr="00CA4ABC">
              <w:rPr>
                <w:rFonts w:cstheme="minorHAnsi"/>
                <w:b/>
                <w:bCs/>
                <w:color w:val="000000" w:themeColor="text1"/>
                <w:sz w:val="20"/>
                <w:szCs w:val="20"/>
              </w:rPr>
              <w:t>Age &lt;55 years (n=184)</w:t>
            </w:r>
          </w:p>
        </w:tc>
        <w:tc>
          <w:tcPr>
            <w:tcW w:w="3003" w:type="dxa"/>
          </w:tcPr>
          <w:p w14:paraId="3F8DC08B" w14:textId="7960BAC0"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0.178</w:t>
            </w:r>
          </w:p>
        </w:tc>
        <w:tc>
          <w:tcPr>
            <w:tcW w:w="3004" w:type="dxa"/>
          </w:tcPr>
          <w:p w14:paraId="3C205AB4" w14:textId="5EF8D566" w:rsidR="00AD26AD"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0.016</w:t>
            </w:r>
          </w:p>
        </w:tc>
      </w:tr>
      <w:tr w:rsidR="004536A1" w:rsidRPr="00CA4ABC" w14:paraId="00A58DA5" w14:textId="77777777" w:rsidTr="00AD26AD">
        <w:tc>
          <w:tcPr>
            <w:tcW w:w="3003" w:type="dxa"/>
          </w:tcPr>
          <w:p w14:paraId="37867998" w14:textId="1806DAC7" w:rsidR="004536A1" w:rsidRPr="00CA4ABC" w:rsidRDefault="004536A1" w:rsidP="00522F5E">
            <w:pPr>
              <w:rPr>
                <w:rFonts w:cstheme="minorHAnsi"/>
                <w:b/>
                <w:bCs/>
                <w:color w:val="000000" w:themeColor="text1"/>
                <w:sz w:val="20"/>
                <w:szCs w:val="20"/>
              </w:rPr>
            </w:pPr>
            <w:r w:rsidRPr="00CA4ABC">
              <w:rPr>
                <w:rFonts w:cstheme="minorHAnsi"/>
                <w:b/>
                <w:bCs/>
                <w:color w:val="000000" w:themeColor="text1"/>
                <w:sz w:val="20"/>
                <w:szCs w:val="20"/>
              </w:rPr>
              <w:t xml:space="preserve">Age </w:t>
            </w:r>
            <w:r w:rsidRPr="00CA4ABC">
              <w:rPr>
                <w:rFonts w:cstheme="minorHAnsi"/>
                <w:b/>
                <w:bCs/>
                <w:color w:val="000000" w:themeColor="text1"/>
                <w:sz w:val="20"/>
                <w:szCs w:val="20"/>
                <w:shd w:val="clear" w:color="auto" w:fill="FFFFFF"/>
              </w:rPr>
              <w:t>≥55 years (n=123)</w:t>
            </w:r>
          </w:p>
        </w:tc>
        <w:tc>
          <w:tcPr>
            <w:tcW w:w="3003" w:type="dxa"/>
          </w:tcPr>
          <w:p w14:paraId="3CF382E0" w14:textId="668F86E9" w:rsidR="004536A1"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0.235</w:t>
            </w:r>
          </w:p>
        </w:tc>
        <w:tc>
          <w:tcPr>
            <w:tcW w:w="3004" w:type="dxa"/>
          </w:tcPr>
          <w:p w14:paraId="64F0B03A" w14:textId="0B1F9B20" w:rsidR="004536A1" w:rsidRPr="00CA4ABC" w:rsidRDefault="004536A1" w:rsidP="00522F5E">
            <w:pPr>
              <w:rPr>
                <w:rFonts w:cstheme="minorHAnsi"/>
                <w:color w:val="000000" w:themeColor="text1"/>
                <w:sz w:val="20"/>
                <w:szCs w:val="20"/>
              </w:rPr>
            </w:pPr>
            <w:r w:rsidRPr="00CA4ABC">
              <w:rPr>
                <w:rFonts w:cstheme="minorHAnsi"/>
                <w:color w:val="000000" w:themeColor="text1"/>
                <w:sz w:val="20"/>
                <w:szCs w:val="20"/>
              </w:rPr>
              <w:t>0.009*</w:t>
            </w:r>
          </w:p>
        </w:tc>
      </w:tr>
    </w:tbl>
    <w:p w14:paraId="67DF12EF" w14:textId="714927D2" w:rsidR="004536A1" w:rsidRPr="00A13A55" w:rsidRDefault="00A13A55" w:rsidP="00A13A55">
      <w:pPr>
        <w:pStyle w:val="Caption"/>
        <w:rPr>
          <w:rFonts w:cstheme="minorHAnsi"/>
          <w:i w:val="0"/>
          <w:iCs w:val="0"/>
          <w:color w:val="000000" w:themeColor="text1"/>
          <w:sz w:val="24"/>
          <w:szCs w:val="24"/>
        </w:rPr>
      </w:pPr>
      <w:r w:rsidRPr="00A13A55">
        <w:rPr>
          <w:i w:val="0"/>
          <w:iCs w:val="0"/>
          <w:color w:val="000000" w:themeColor="text1"/>
          <w:sz w:val="24"/>
          <w:szCs w:val="24"/>
        </w:rPr>
        <w:t xml:space="preserve">Table </w:t>
      </w:r>
      <w:r w:rsidRPr="00A13A55">
        <w:rPr>
          <w:i w:val="0"/>
          <w:iCs w:val="0"/>
          <w:color w:val="000000" w:themeColor="text1"/>
          <w:sz w:val="24"/>
          <w:szCs w:val="24"/>
        </w:rPr>
        <w:fldChar w:fldCharType="begin"/>
      </w:r>
      <w:r w:rsidRPr="00A13A55">
        <w:rPr>
          <w:i w:val="0"/>
          <w:iCs w:val="0"/>
          <w:color w:val="000000" w:themeColor="text1"/>
          <w:sz w:val="24"/>
          <w:szCs w:val="24"/>
        </w:rPr>
        <w:instrText xml:space="preserve"> SEQ Table \* ARABIC </w:instrText>
      </w:r>
      <w:r w:rsidRPr="00A13A55">
        <w:rPr>
          <w:i w:val="0"/>
          <w:iCs w:val="0"/>
          <w:color w:val="000000" w:themeColor="text1"/>
          <w:sz w:val="24"/>
          <w:szCs w:val="24"/>
        </w:rPr>
        <w:fldChar w:fldCharType="separate"/>
      </w:r>
      <w:r w:rsidRPr="00A13A55">
        <w:rPr>
          <w:i w:val="0"/>
          <w:iCs w:val="0"/>
          <w:noProof/>
          <w:color w:val="000000" w:themeColor="text1"/>
          <w:sz w:val="24"/>
          <w:szCs w:val="24"/>
        </w:rPr>
        <w:t>15</w:t>
      </w:r>
      <w:r w:rsidRPr="00A13A55">
        <w:rPr>
          <w:i w:val="0"/>
          <w:iCs w:val="0"/>
          <w:color w:val="000000" w:themeColor="text1"/>
          <w:sz w:val="24"/>
          <w:szCs w:val="24"/>
        </w:rPr>
        <w:fldChar w:fldCharType="end"/>
      </w:r>
      <w:r w:rsidR="009064FC" w:rsidRPr="00A13A55">
        <w:rPr>
          <w:rFonts w:cstheme="minorHAnsi"/>
          <w:i w:val="0"/>
          <w:iCs w:val="0"/>
          <w:color w:val="000000" w:themeColor="text1"/>
          <w:sz w:val="24"/>
          <w:szCs w:val="24"/>
        </w:rPr>
        <w:t>.</w:t>
      </w:r>
      <w:r w:rsidR="004536A1" w:rsidRPr="00A13A55">
        <w:rPr>
          <w:rFonts w:cstheme="minorHAnsi"/>
          <w:i w:val="0"/>
          <w:iCs w:val="0"/>
          <w:color w:val="000000" w:themeColor="text1"/>
          <w:sz w:val="24"/>
          <w:szCs w:val="24"/>
        </w:rPr>
        <w:t xml:space="preserve"> Correlation between protein intakes (g/kg BM/d) and protein knowledge score out of 24. </w:t>
      </w:r>
    </w:p>
    <w:p w14:paraId="57D15AEB" w14:textId="5DB1D328" w:rsidR="004C12CF" w:rsidRPr="00CA4ABC" w:rsidRDefault="004C12CF" w:rsidP="004053D7">
      <w:pPr>
        <w:pStyle w:val="Heading3"/>
        <w:spacing w:line="360" w:lineRule="auto"/>
        <w:rPr>
          <w:rFonts w:asciiTheme="minorHAnsi" w:hAnsiTheme="minorHAnsi" w:cstheme="minorHAnsi"/>
          <w:color w:val="000000" w:themeColor="text1"/>
        </w:rPr>
      </w:pPr>
      <w:bookmarkStart w:id="181" w:name="_Toc135384319"/>
      <w:r w:rsidRPr="00CA4ABC">
        <w:rPr>
          <w:rFonts w:asciiTheme="minorHAnsi" w:hAnsiTheme="minorHAnsi" w:cstheme="minorHAnsi"/>
          <w:color w:val="000000" w:themeColor="text1"/>
        </w:rPr>
        <w:t>4.3.5 Regression analysis</w:t>
      </w:r>
      <w:bookmarkEnd w:id="181"/>
    </w:p>
    <w:p w14:paraId="1599C649" w14:textId="0C8B14B5" w:rsidR="004C12CF" w:rsidRPr="00CA4ABC" w:rsidRDefault="004C12CF" w:rsidP="00E8340C">
      <w:pPr>
        <w:spacing w:line="360" w:lineRule="auto"/>
        <w:ind w:firstLine="720"/>
        <w:rPr>
          <w:rFonts w:cstheme="minorHAnsi"/>
          <w:color w:val="000000" w:themeColor="text1"/>
        </w:rPr>
      </w:pPr>
      <w:r w:rsidRPr="00CA4ABC">
        <w:rPr>
          <w:rFonts w:cstheme="minorHAnsi"/>
          <w:color w:val="000000" w:themeColor="text1"/>
        </w:rPr>
        <w:t>The model summary</w:t>
      </w:r>
      <w:r w:rsidR="000D7DDB" w:rsidRPr="00CA4ABC">
        <w:rPr>
          <w:rFonts w:cstheme="minorHAnsi"/>
          <w:color w:val="000000" w:themeColor="text1"/>
        </w:rPr>
        <w:t xml:space="preserve"> </w:t>
      </w:r>
      <w:r w:rsidRPr="00CA4ABC">
        <w:rPr>
          <w:rFonts w:cstheme="minorHAnsi"/>
          <w:color w:val="000000" w:themeColor="text1"/>
        </w:rPr>
        <w:t>of the regression analysis</w:t>
      </w:r>
      <w:r w:rsidR="000D7DDB" w:rsidRPr="00CA4ABC">
        <w:rPr>
          <w:rFonts w:cstheme="minorHAnsi"/>
          <w:color w:val="000000" w:themeColor="text1"/>
        </w:rPr>
        <w:t>, based on the six exploratory variables entered (section</w:t>
      </w:r>
      <w:r w:rsidR="00276091" w:rsidRPr="00CA4ABC">
        <w:rPr>
          <w:rFonts w:cstheme="minorHAnsi"/>
          <w:color w:val="000000" w:themeColor="text1"/>
        </w:rPr>
        <w:t xml:space="preserve"> 3.4.10.2)</w:t>
      </w:r>
      <w:r w:rsidR="000D7DDB" w:rsidRPr="00CA4ABC">
        <w:rPr>
          <w:rFonts w:cstheme="minorHAnsi"/>
          <w:color w:val="000000" w:themeColor="text1"/>
        </w:rPr>
        <w:t>,</w:t>
      </w:r>
      <w:r w:rsidRPr="00CA4ABC">
        <w:rPr>
          <w:rFonts w:cstheme="minorHAnsi"/>
          <w:color w:val="000000" w:themeColor="text1"/>
        </w:rPr>
        <w:t xml:space="preserve"> was: R=0.452 R</w:t>
      </w:r>
      <w:r w:rsidRPr="00CA4ABC">
        <w:rPr>
          <w:rFonts w:cstheme="minorHAnsi"/>
          <w:color w:val="000000" w:themeColor="text1"/>
          <w:vertAlign w:val="superscript"/>
        </w:rPr>
        <w:t>2</w:t>
      </w:r>
      <w:r w:rsidRPr="00CA4ABC">
        <w:rPr>
          <w:rFonts w:cstheme="minorHAnsi"/>
          <w:color w:val="000000" w:themeColor="text1"/>
        </w:rPr>
        <w:t xml:space="preserve">= 0.205, suggesting this accounts for approximately 20% of the data. </w:t>
      </w:r>
      <w:r w:rsidRPr="00CA4ABC">
        <w:rPr>
          <w:rFonts w:cstheme="minorHAnsi"/>
          <w:color w:val="000000" w:themeColor="text1"/>
        </w:rPr>
        <w:fldChar w:fldCharType="begin"/>
      </w:r>
      <w:r w:rsidRPr="00CA4ABC">
        <w:rPr>
          <w:rFonts w:cstheme="minorHAnsi"/>
          <w:color w:val="000000" w:themeColor="text1"/>
        </w:rPr>
        <w:instrText xml:space="preserve"> REF _Ref122342488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15</w:t>
      </w:r>
      <w:r w:rsidRPr="00CA4ABC">
        <w:rPr>
          <w:rFonts w:cstheme="minorHAnsi"/>
          <w:color w:val="000000" w:themeColor="text1"/>
        </w:rPr>
        <w:fldChar w:fldCharType="end"/>
      </w:r>
      <w:r w:rsidRPr="00CA4ABC">
        <w:rPr>
          <w:rFonts w:cstheme="minorHAnsi"/>
          <w:color w:val="000000" w:themeColor="text1"/>
        </w:rPr>
        <w:t xml:space="preserve"> summarises the relationship between the exploratory variables tested in the model and the dependent variable (protein intakes, g/kg BM/d.)</w:t>
      </w:r>
    </w:p>
    <w:tbl>
      <w:tblPr>
        <w:tblStyle w:val="TableGrid"/>
        <w:tblW w:w="0" w:type="auto"/>
        <w:tblLook w:val="04A0" w:firstRow="1" w:lastRow="0" w:firstColumn="1" w:lastColumn="0" w:noHBand="0" w:noVBand="1"/>
      </w:tblPr>
      <w:tblGrid>
        <w:gridCol w:w="1696"/>
        <w:gridCol w:w="1253"/>
        <w:gridCol w:w="1567"/>
        <w:gridCol w:w="1556"/>
        <w:gridCol w:w="1477"/>
        <w:gridCol w:w="1461"/>
      </w:tblGrid>
      <w:tr w:rsidR="004053D7" w:rsidRPr="00CA4ABC" w14:paraId="594D8CAE" w14:textId="77777777" w:rsidTr="00522F5E">
        <w:tc>
          <w:tcPr>
            <w:tcW w:w="1696" w:type="dxa"/>
          </w:tcPr>
          <w:p w14:paraId="47589AFD" w14:textId="77777777" w:rsidR="004C12CF" w:rsidRPr="00CA4ABC" w:rsidRDefault="004C12CF" w:rsidP="00522F5E">
            <w:pPr>
              <w:jc w:val="center"/>
              <w:rPr>
                <w:rFonts w:cstheme="minorHAnsi"/>
                <w:b/>
                <w:bCs/>
                <w:color w:val="000000" w:themeColor="text1"/>
                <w:sz w:val="20"/>
                <w:szCs w:val="20"/>
              </w:rPr>
            </w:pPr>
          </w:p>
        </w:tc>
        <w:tc>
          <w:tcPr>
            <w:tcW w:w="1253" w:type="dxa"/>
          </w:tcPr>
          <w:p w14:paraId="2D3EA5CA" w14:textId="77777777" w:rsidR="004C12CF" w:rsidRPr="00CA4ABC" w:rsidRDefault="004C12CF" w:rsidP="00522F5E">
            <w:pPr>
              <w:jc w:val="center"/>
              <w:rPr>
                <w:rFonts w:cstheme="minorHAnsi"/>
                <w:b/>
                <w:bCs/>
                <w:color w:val="000000" w:themeColor="text1"/>
                <w:sz w:val="20"/>
                <w:szCs w:val="20"/>
              </w:rPr>
            </w:pPr>
            <w:r w:rsidRPr="00CA4ABC">
              <w:rPr>
                <w:rFonts w:cstheme="minorHAnsi"/>
                <w:b/>
                <w:bCs/>
                <w:color w:val="000000" w:themeColor="text1"/>
                <w:sz w:val="20"/>
                <w:szCs w:val="20"/>
              </w:rPr>
              <w:t>B</w:t>
            </w:r>
          </w:p>
        </w:tc>
        <w:tc>
          <w:tcPr>
            <w:tcW w:w="1567" w:type="dxa"/>
          </w:tcPr>
          <w:p w14:paraId="576B13F8" w14:textId="77777777" w:rsidR="004C12CF" w:rsidRPr="00CA4ABC" w:rsidRDefault="004C12CF" w:rsidP="00522F5E">
            <w:pPr>
              <w:jc w:val="center"/>
              <w:rPr>
                <w:rFonts w:cstheme="minorHAnsi"/>
                <w:b/>
                <w:bCs/>
                <w:color w:val="000000" w:themeColor="text1"/>
                <w:sz w:val="20"/>
                <w:szCs w:val="20"/>
              </w:rPr>
            </w:pPr>
            <w:r w:rsidRPr="00CA4ABC">
              <w:rPr>
                <w:rFonts w:cstheme="minorHAnsi"/>
                <w:b/>
                <w:bCs/>
                <w:color w:val="000000" w:themeColor="text1"/>
                <w:sz w:val="20"/>
                <w:szCs w:val="20"/>
              </w:rPr>
              <w:t>Std Error</w:t>
            </w:r>
          </w:p>
        </w:tc>
        <w:tc>
          <w:tcPr>
            <w:tcW w:w="1556" w:type="dxa"/>
          </w:tcPr>
          <w:p w14:paraId="41E9E5EA" w14:textId="77777777" w:rsidR="004C12CF" w:rsidRPr="00CA4ABC" w:rsidRDefault="004C12CF" w:rsidP="00522F5E">
            <w:pPr>
              <w:jc w:val="center"/>
              <w:rPr>
                <w:rFonts w:cstheme="minorHAnsi"/>
                <w:b/>
                <w:bCs/>
                <w:color w:val="000000" w:themeColor="text1"/>
                <w:sz w:val="20"/>
                <w:szCs w:val="20"/>
              </w:rPr>
            </w:pPr>
            <w:r w:rsidRPr="00CA4ABC">
              <w:rPr>
                <w:rFonts w:cstheme="minorHAnsi"/>
                <w:b/>
                <w:bCs/>
                <w:color w:val="000000" w:themeColor="text1"/>
                <w:sz w:val="20"/>
                <w:szCs w:val="20"/>
              </w:rPr>
              <w:t>Beta</w:t>
            </w:r>
          </w:p>
        </w:tc>
        <w:tc>
          <w:tcPr>
            <w:tcW w:w="1477" w:type="dxa"/>
          </w:tcPr>
          <w:p w14:paraId="45260D29" w14:textId="77777777" w:rsidR="004C12CF" w:rsidRPr="00CA4ABC" w:rsidRDefault="004C12CF" w:rsidP="00522F5E">
            <w:pPr>
              <w:jc w:val="center"/>
              <w:rPr>
                <w:rFonts w:cstheme="minorHAnsi"/>
                <w:b/>
                <w:bCs/>
                <w:color w:val="000000" w:themeColor="text1"/>
                <w:sz w:val="20"/>
                <w:szCs w:val="20"/>
              </w:rPr>
            </w:pPr>
            <w:r w:rsidRPr="00CA4ABC">
              <w:rPr>
                <w:rFonts w:cstheme="minorHAnsi"/>
                <w:b/>
                <w:bCs/>
                <w:color w:val="000000" w:themeColor="text1"/>
                <w:sz w:val="20"/>
                <w:szCs w:val="20"/>
              </w:rPr>
              <w:t>t</w:t>
            </w:r>
          </w:p>
        </w:tc>
        <w:tc>
          <w:tcPr>
            <w:tcW w:w="1461" w:type="dxa"/>
          </w:tcPr>
          <w:p w14:paraId="5FD3BEDA" w14:textId="6CEE75CA" w:rsidR="004C12CF" w:rsidRPr="00CA4ABC" w:rsidRDefault="0058692E" w:rsidP="00522F5E">
            <w:pPr>
              <w:jc w:val="center"/>
              <w:rPr>
                <w:rFonts w:cstheme="minorHAnsi"/>
                <w:b/>
                <w:bCs/>
                <w:color w:val="000000" w:themeColor="text1"/>
                <w:sz w:val="20"/>
                <w:szCs w:val="20"/>
              </w:rPr>
            </w:pPr>
            <w:r w:rsidRPr="00CA4ABC">
              <w:rPr>
                <w:rFonts w:cstheme="minorHAnsi"/>
                <w:b/>
                <w:bCs/>
                <w:color w:val="000000" w:themeColor="text1"/>
                <w:sz w:val="20"/>
                <w:szCs w:val="20"/>
              </w:rPr>
              <w:t>p value</w:t>
            </w:r>
          </w:p>
        </w:tc>
      </w:tr>
      <w:tr w:rsidR="004053D7" w:rsidRPr="00CA4ABC" w14:paraId="7253A257" w14:textId="77777777" w:rsidTr="00522F5E">
        <w:tc>
          <w:tcPr>
            <w:tcW w:w="1696" w:type="dxa"/>
          </w:tcPr>
          <w:p w14:paraId="0F1AE719" w14:textId="77777777" w:rsidR="004C12CF" w:rsidRPr="00CA4ABC" w:rsidRDefault="004C12CF" w:rsidP="00522F5E">
            <w:pPr>
              <w:rPr>
                <w:rFonts w:cstheme="minorHAnsi"/>
                <w:b/>
                <w:bCs/>
                <w:color w:val="000000" w:themeColor="text1"/>
                <w:sz w:val="20"/>
                <w:szCs w:val="20"/>
              </w:rPr>
            </w:pPr>
            <w:r w:rsidRPr="00CA4ABC">
              <w:rPr>
                <w:rFonts w:cstheme="minorHAnsi"/>
                <w:b/>
                <w:bCs/>
                <w:color w:val="000000" w:themeColor="text1"/>
                <w:sz w:val="20"/>
                <w:szCs w:val="20"/>
              </w:rPr>
              <w:t>Protein knowledge score</w:t>
            </w:r>
          </w:p>
        </w:tc>
        <w:tc>
          <w:tcPr>
            <w:tcW w:w="1253" w:type="dxa"/>
          </w:tcPr>
          <w:p w14:paraId="1620758A"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0.018</w:t>
            </w:r>
          </w:p>
        </w:tc>
        <w:tc>
          <w:tcPr>
            <w:tcW w:w="1567" w:type="dxa"/>
          </w:tcPr>
          <w:p w14:paraId="7649DF3C"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0.011</w:t>
            </w:r>
          </w:p>
        </w:tc>
        <w:tc>
          <w:tcPr>
            <w:tcW w:w="1556" w:type="dxa"/>
          </w:tcPr>
          <w:p w14:paraId="0B05F22B"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0.085</w:t>
            </w:r>
          </w:p>
        </w:tc>
        <w:tc>
          <w:tcPr>
            <w:tcW w:w="1477" w:type="dxa"/>
          </w:tcPr>
          <w:p w14:paraId="7E28085A"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1.616</w:t>
            </w:r>
          </w:p>
        </w:tc>
        <w:tc>
          <w:tcPr>
            <w:tcW w:w="1461" w:type="dxa"/>
          </w:tcPr>
          <w:p w14:paraId="60D54F64"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0.107</w:t>
            </w:r>
          </w:p>
        </w:tc>
      </w:tr>
      <w:tr w:rsidR="004053D7" w:rsidRPr="00CA4ABC" w14:paraId="0FFE2EE9" w14:textId="77777777" w:rsidTr="00522F5E">
        <w:tc>
          <w:tcPr>
            <w:tcW w:w="1696" w:type="dxa"/>
          </w:tcPr>
          <w:p w14:paraId="0D87DCD8" w14:textId="77777777" w:rsidR="004C12CF" w:rsidRPr="00CA4ABC" w:rsidRDefault="004C12CF" w:rsidP="00522F5E">
            <w:pPr>
              <w:rPr>
                <w:rFonts w:cstheme="minorHAnsi"/>
                <w:b/>
                <w:bCs/>
                <w:color w:val="000000" w:themeColor="text1"/>
                <w:sz w:val="20"/>
                <w:szCs w:val="20"/>
              </w:rPr>
            </w:pPr>
            <w:r w:rsidRPr="00CA4ABC">
              <w:rPr>
                <w:rFonts w:cstheme="minorHAnsi"/>
                <w:b/>
                <w:bCs/>
                <w:color w:val="000000" w:themeColor="text1"/>
                <w:sz w:val="20"/>
                <w:szCs w:val="20"/>
              </w:rPr>
              <w:t>Gender</w:t>
            </w:r>
          </w:p>
        </w:tc>
        <w:tc>
          <w:tcPr>
            <w:tcW w:w="1253" w:type="dxa"/>
          </w:tcPr>
          <w:p w14:paraId="302FFA0D"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-0.030</w:t>
            </w:r>
          </w:p>
        </w:tc>
        <w:tc>
          <w:tcPr>
            <w:tcW w:w="1567" w:type="dxa"/>
          </w:tcPr>
          <w:p w14:paraId="3B988550"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0.051</w:t>
            </w:r>
          </w:p>
        </w:tc>
        <w:tc>
          <w:tcPr>
            <w:tcW w:w="1556" w:type="dxa"/>
          </w:tcPr>
          <w:p w14:paraId="653F1791"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-0.031</w:t>
            </w:r>
          </w:p>
        </w:tc>
        <w:tc>
          <w:tcPr>
            <w:tcW w:w="1477" w:type="dxa"/>
          </w:tcPr>
          <w:p w14:paraId="4077F6C8"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-0.589</w:t>
            </w:r>
          </w:p>
        </w:tc>
        <w:tc>
          <w:tcPr>
            <w:tcW w:w="1461" w:type="dxa"/>
          </w:tcPr>
          <w:p w14:paraId="55434014"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0.556</w:t>
            </w:r>
          </w:p>
        </w:tc>
      </w:tr>
      <w:tr w:rsidR="004053D7" w:rsidRPr="00CA4ABC" w14:paraId="46D9223E" w14:textId="77777777" w:rsidTr="00522F5E">
        <w:tc>
          <w:tcPr>
            <w:tcW w:w="1696" w:type="dxa"/>
          </w:tcPr>
          <w:p w14:paraId="255A6CD9" w14:textId="77777777" w:rsidR="004C12CF" w:rsidRPr="00CA4ABC" w:rsidRDefault="004C12CF" w:rsidP="00522F5E">
            <w:pPr>
              <w:rPr>
                <w:rFonts w:cstheme="minorHAnsi"/>
                <w:b/>
                <w:bCs/>
                <w:color w:val="000000" w:themeColor="text1"/>
                <w:sz w:val="20"/>
                <w:szCs w:val="20"/>
              </w:rPr>
            </w:pPr>
            <w:r w:rsidRPr="00CA4ABC">
              <w:rPr>
                <w:rFonts w:cstheme="minorHAnsi"/>
                <w:b/>
                <w:bCs/>
                <w:color w:val="000000" w:themeColor="text1"/>
                <w:sz w:val="20"/>
                <w:szCs w:val="20"/>
              </w:rPr>
              <w:t>Age (years)</w:t>
            </w:r>
          </w:p>
        </w:tc>
        <w:tc>
          <w:tcPr>
            <w:tcW w:w="1253" w:type="dxa"/>
          </w:tcPr>
          <w:p w14:paraId="190E9042"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-0.005</w:t>
            </w:r>
          </w:p>
        </w:tc>
        <w:tc>
          <w:tcPr>
            <w:tcW w:w="1567" w:type="dxa"/>
          </w:tcPr>
          <w:p w14:paraId="5EC0FC22"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0.002</w:t>
            </w:r>
          </w:p>
        </w:tc>
        <w:tc>
          <w:tcPr>
            <w:tcW w:w="1556" w:type="dxa"/>
          </w:tcPr>
          <w:p w14:paraId="2C957B1F"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-0.168</w:t>
            </w:r>
          </w:p>
        </w:tc>
        <w:tc>
          <w:tcPr>
            <w:tcW w:w="1477" w:type="dxa"/>
          </w:tcPr>
          <w:p w14:paraId="7DA114C6"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-3.035</w:t>
            </w:r>
          </w:p>
        </w:tc>
        <w:tc>
          <w:tcPr>
            <w:tcW w:w="1461" w:type="dxa"/>
          </w:tcPr>
          <w:p w14:paraId="27A6D8D5"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0.003*</w:t>
            </w:r>
          </w:p>
        </w:tc>
      </w:tr>
      <w:tr w:rsidR="004053D7" w:rsidRPr="00CA4ABC" w14:paraId="399B4EAF" w14:textId="77777777" w:rsidTr="00522F5E">
        <w:tc>
          <w:tcPr>
            <w:tcW w:w="1696" w:type="dxa"/>
          </w:tcPr>
          <w:p w14:paraId="13038D93" w14:textId="77777777" w:rsidR="004C12CF" w:rsidRPr="00CA4ABC" w:rsidRDefault="004C12CF" w:rsidP="00522F5E">
            <w:pPr>
              <w:rPr>
                <w:rFonts w:cstheme="minorHAnsi"/>
                <w:b/>
                <w:bCs/>
                <w:color w:val="000000" w:themeColor="text1"/>
                <w:sz w:val="20"/>
                <w:szCs w:val="20"/>
              </w:rPr>
            </w:pPr>
            <w:r w:rsidRPr="00CA4ABC">
              <w:rPr>
                <w:rFonts w:cstheme="minorHAnsi"/>
                <w:b/>
                <w:bCs/>
                <w:color w:val="000000" w:themeColor="text1"/>
                <w:sz w:val="20"/>
                <w:szCs w:val="20"/>
              </w:rPr>
              <w:t>BMI</w:t>
            </w:r>
          </w:p>
        </w:tc>
        <w:tc>
          <w:tcPr>
            <w:tcW w:w="1253" w:type="dxa"/>
          </w:tcPr>
          <w:p w14:paraId="0A5B0D35"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-0.031</w:t>
            </w:r>
          </w:p>
        </w:tc>
        <w:tc>
          <w:tcPr>
            <w:tcW w:w="1567" w:type="dxa"/>
          </w:tcPr>
          <w:p w14:paraId="621664B2"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0.005</w:t>
            </w:r>
          </w:p>
        </w:tc>
        <w:tc>
          <w:tcPr>
            <w:tcW w:w="1556" w:type="dxa"/>
          </w:tcPr>
          <w:p w14:paraId="1021F495"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-0.305</w:t>
            </w:r>
          </w:p>
        </w:tc>
        <w:tc>
          <w:tcPr>
            <w:tcW w:w="1477" w:type="dxa"/>
          </w:tcPr>
          <w:p w14:paraId="01B0AB89"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-5.732</w:t>
            </w:r>
          </w:p>
        </w:tc>
        <w:tc>
          <w:tcPr>
            <w:tcW w:w="1461" w:type="dxa"/>
          </w:tcPr>
          <w:p w14:paraId="71B14B1B"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&lt;0.05*</w:t>
            </w:r>
          </w:p>
        </w:tc>
      </w:tr>
      <w:tr w:rsidR="004053D7" w:rsidRPr="00CA4ABC" w14:paraId="6F4A8A74" w14:textId="77777777" w:rsidTr="00522F5E">
        <w:tc>
          <w:tcPr>
            <w:tcW w:w="1696" w:type="dxa"/>
          </w:tcPr>
          <w:p w14:paraId="16267481" w14:textId="77777777" w:rsidR="004C12CF" w:rsidRPr="00CA4ABC" w:rsidRDefault="004C12CF" w:rsidP="00522F5E">
            <w:pPr>
              <w:rPr>
                <w:rFonts w:cstheme="minorHAnsi"/>
                <w:b/>
                <w:bCs/>
                <w:color w:val="000000" w:themeColor="text1"/>
                <w:sz w:val="20"/>
                <w:szCs w:val="20"/>
              </w:rPr>
            </w:pPr>
            <w:r w:rsidRPr="00CA4ABC">
              <w:rPr>
                <w:rFonts w:cstheme="minorHAnsi"/>
                <w:b/>
                <w:bCs/>
                <w:color w:val="000000" w:themeColor="text1"/>
                <w:sz w:val="20"/>
                <w:szCs w:val="20"/>
              </w:rPr>
              <w:t>PAL</w:t>
            </w:r>
          </w:p>
        </w:tc>
        <w:tc>
          <w:tcPr>
            <w:tcW w:w="1253" w:type="dxa"/>
          </w:tcPr>
          <w:p w14:paraId="5C50460A"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0.525</w:t>
            </w:r>
          </w:p>
        </w:tc>
        <w:tc>
          <w:tcPr>
            <w:tcW w:w="1567" w:type="dxa"/>
          </w:tcPr>
          <w:p w14:paraId="0E9BCAEC"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0.173</w:t>
            </w:r>
          </w:p>
        </w:tc>
        <w:tc>
          <w:tcPr>
            <w:tcW w:w="1556" w:type="dxa"/>
          </w:tcPr>
          <w:p w14:paraId="09C478AF"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0.161</w:t>
            </w:r>
          </w:p>
        </w:tc>
        <w:tc>
          <w:tcPr>
            <w:tcW w:w="1477" w:type="dxa"/>
          </w:tcPr>
          <w:p w14:paraId="515686D9"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3.028</w:t>
            </w:r>
          </w:p>
        </w:tc>
        <w:tc>
          <w:tcPr>
            <w:tcW w:w="1461" w:type="dxa"/>
          </w:tcPr>
          <w:p w14:paraId="7F80124A"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0.003*</w:t>
            </w:r>
          </w:p>
        </w:tc>
      </w:tr>
      <w:tr w:rsidR="004053D7" w:rsidRPr="00CA4ABC" w14:paraId="4AC2327E" w14:textId="77777777" w:rsidTr="00522F5E">
        <w:tc>
          <w:tcPr>
            <w:tcW w:w="1696" w:type="dxa"/>
          </w:tcPr>
          <w:p w14:paraId="19AE81CC" w14:textId="77777777" w:rsidR="004C12CF" w:rsidRPr="00CA4ABC" w:rsidRDefault="004C12CF" w:rsidP="00522F5E">
            <w:pPr>
              <w:rPr>
                <w:rFonts w:cstheme="minorHAnsi"/>
                <w:b/>
                <w:bCs/>
                <w:color w:val="000000" w:themeColor="text1"/>
                <w:sz w:val="20"/>
                <w:szCs w:val="20"/>
              </w:rPr>
            </w:pPr>
            <w:r w:rsidRPr="00CA4ABC">
              <w:rPr>
                <w:rFonts w:cstheme="minorHAnsi"/>
                <w:b/>
                <w:bCs/>
                <w:color w:val="000000" w:themeColor="text1"/>
                <w:sz w:val="20"/>
                <w:szCs w:val="20"/>
              </w:rPr>
              <w:t>Meat vs non-meat eater</w:t>
            </w:r>
          </w:p>
        </w:tc>
        <w:tc>
          <w:tcPr>
            <w:tcW w:w="1253" w:type="dxa"/>
          </w:tcPr>
          <w:p w14:paraId="56B63A1D"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0.373</w:t>
            </w:r>
          </w:p>
        </w:tc>
        <w:tc>
          <w:tcPr>
            <w:tcW w:w="1567" w:type="dxa"/>
          </w:tcPr>
          <w:p w14:paraId="27E03D8F"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0.082</w:t>
            </w:r>
          </w:p>
        </w:tc>
        <w:tc>
          <w:tcPr>
            <w:tcW w:w="1556" w:type="dxa"/>
          </w:tcPr>
          <w:p w14:paraId="60A65450"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0.250</w:t>
            </w:r>
          </w:p>
        </w:tc>
        <w:tc>
          <w:tcPr>
            <w:tcW w:w="1477" w:type="dxa"/>
          </w:tcPr>
          <w:p w14:paraId="67FD7832"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4.563</w:t>
            </w:r>
          </w:p>
        </w:tc>
        <w:tc>
          <w:tcPr>
            <w:tcW w:w="1461" w:type="dxa"/>
          </w:tcPr>
          <w:p w14:paraId="01F90F07" w14:textId="77777777" w:rsidR="004C12CF" w:rsidRPr="00CA4ABC" w:rsidRDefault="004C12CF" w:rsidP="00522F5E">
            <w:pPr>
              <w:rPr>
                <w:rFonts w:cstheme="minorHAnsi"/>
                <w:color w:val="000000" w:themeColor="text1"/>
                <w:sz w:val="20"/>
                <w:szCs w:val="20"/>
              </w:rPr>
            </w:pPr>
            <w:r w:rsidRPr="00CA4ABC">
              <w:rPr>
                <w:rFonts w:cstheme="minorHAnsi"/>
                <w:color w:val="000000" w:themeColor="text1"/>
                <w:sz w:val="20"/>
                <w:szCs w:val="20"/>
              </w:rPr>
              <w:t>&lt;0.05*</w:t>
            </w:r>
          </w:p>
        </w:tc>
      </w:tr>
    </w:tbl>
    <w:p w14:paraId="394F6993" w14:textId="3941959C" w:rsidR="004C12CF" w:rsidRPr="00CC1E23" w:rsidRDefault="004C12CF" w:rsidP="00E8340C">
      <w:pPr>
        <w:pStyle w:val="Caption"/>
        <w:spacing w:line="360" w:lineRule="auto"/>
        <w:rPr>
          <w:rFonts w:cstheme="minorHAnsi"/>
          <w:i w:val="0"/>
          <w:iCs w:val="0"/>
          <w:color w:val="000000" w:themeColor="text1"/>
          <w:sz w:val="24"/>
          <w:szCs w:val="24"/>
        </w:rPr>
      </w:pPr>
      <w:bookmarkStart w:id="182" w:name="_Ref122342488"/>
      <w:bookmarkStart w:id="183" w:name="_Toc122956580"/>
      <w:r w:rsidRPr="00CC1E23">
        <w:rPr>
          <w:rFonts w:cstheme="minorHAnsi"/>
          <w:i w:val="0"/>
          <w:iCs w:val="0"/>
          <w:color w:val="000000" w:themeColor="text1"/>
          <w:sz w:val="24"/>
          <w:szCs w:val="24"/>
        </w:rPr>
        <w:t xml:space="preserve">Table </w:t>
      </w:r>
      <w:r w:rsidRPr="00CC1E23">
        <w:rPr>
          <w:rFonts w:cstheme="minorHAnsi"/>
          <w:i w:val="0"/>
          <w:iCs w:val="0"/>
          <w:color w:val="000000" w:themeColor="text1"/>
          <w:sz w:val="24"/>
          <w:szCs w:val="24"/>
        </w:rPr>
        <w:fldChar w:fldCharType="begin"/>
      </w:r>
      <w:r w:rsidRPr="00CC1E23">
        <w:rPr>
          <w:rFonts w:cstheme="minorHAnsi"/>
          <w:i w:val="0"/>
          <w:iCs w:val="0"/>
          <w:color w:val="000000" w:themeColor="text1"/>
          <w:sz w:val="24"/>
          <w:szCs w:val="24"/>
        </w:rPr>
        <w:instrText xml:space="preserve"> SEQ Table \* ARABIC </w:instrText>
      </w:r>
      <w:r w:rsidRPr="00CC1E23">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16</w:t>
      </w:r>
      <w:r w:rsidRPr="00CC1E23">
        <w:rPr>
          <w:rFonts w:cstheme="minorHAnsi"/>
          <w:i w:val="0"/>
          <w:iCs w:val="0"/>
          <w:color w:val="000000" w:themeColor="text1"/>
          <w:sz w:val="24"/>
          <w:szCs w:val="24"/>
        </w:rPr>
        <w:fldChar w:fldCharType="end"/>
      </w:r>
      <w:bookmarkEnd w:id="182"/>
      <w:r w:rsidR="00CC1E23" w:rsidRPr="00CC1E23">
        <w:rPr>
          <w:rFonts w:cstheme="minorHAnsi"/>
          <w:i w:val="0"/>
          <w:iCs w:val="0"/>
          <w:color w:val="000000" w:themeColor="text1"/>
          <w:sz w:val="24"/>
          <w:szCs w:val="24"/>
        </w:rPr>
        <w:t>. R</w:t>
      </w:r>
      <w:r w:rsidRPr="00CC1E23">
        <w:rPr>
          <w:rFonts w:cstheme="minorHAnsi"/>
          <w:i w:val="0"/>
          <w:iCs w:val="0"/>
          <w:color w:val="000000" w:themeColor="text1"/>
          <w:sz w:val="24"/>
          <w:szCs w:val="24"/>
        </w:rPr>
        <w:t>egression analysis results for factors relating to protein intakes</w:t>
      </w:r>
      <w:r w:rsidR="00276091" w:rsidRPr="00CC1E23">
        <w:rPr>
          <w:rFonts w:cstheme="minorHAnsi"/>
          <w:i w:val="0"/>
          <w:iCs w:val="0"/>
          <w:color w:val="000000" w:themeColor="text1"/>
          <w:sz w:val="24"/>
          <w:szCs w:val="24"/>
        </w:rPr>
        <w:t xml:space="preserve"> (dependent variable) when six exploratory variabl</w:t>
      </w:r>
      <w:bookmarkEnd w:id="183"/>
      <w:r w:rsidR="00276091" w:rsidRPr="00CC1E23">
        <w:rPr>
          <w:rFonts w:cstheme="minorHAnsi"/>
          <w:i w:val="0"/>
          <w:iCs w:val="0"/>
          <w:color w:val="000000" w:themeColor="text1"/>
          <w:sz w:val="24"/>
          <w:szCs w:val="24"/>
        </w:rPr>
        <w:t>es were entered into the model.</w:t>
      </w:r>
    </w:p>
    <w:p w14:paraId="369211A2" w14:textId="21EF2A50" w:rsidR="004C12CF" w:rsidRPr="00CA4ABC" w:rsidRDefault="004C12CF" w:rsidP="004053D7">
      <w:pPr>
        <w:pStyle w:val="Heading2"/>
        <w:spacing w:line="360" w:lineRule="auto"/>
        <w:rPr>
          <w:rFonts w:asciiTheme="minorHAnsi" w:hAnsiTheme="minorHAnsi" w:cstheme="minorHAnsi"/>
          <w:b/>
          <w:bCs/>
          <w:color w:val="000000" w:themeColor="text1"/>
        </w:rPr>
      </w:pPr>
      <w:bookmarkStart w:id="184" w:name="_Toc135384320"/>
      <w:r w:rsidRPr="00CA4ABC">
        <w:rPr>
          <w:rFonts w:asciiTheme="minorHAnsi" w:hAnsiTheme="minorHAnsi" w:cstheme="minorHAnsi"/>
          <w:b/>
          <w:bCs/>
          <w:color w:val="000000" w:themeColor="text1"/>
        </w:rPr>
        <w:t xml:space="preserve">4.4 </w:t>
      </w:r>
      <w:r w:rsidRPr="00CA4ABC">
        <w:rPr>
          <w:rFonts w:asciiTheme="minorHAnsi" w:hAnsiTheme="minorHAnsi" w:cstheme="minorHAnsi"/>
          <w:b/>
          <w:bCs/>
          <w:color w:val="000000" w:themeColor="text1"/>
          <w:sz w:val="24"/>
          <w:szCs w:val="24"/>
        </w:rPr>
        <w:t>Discussion</w:t>
      </w:r>
      <w:bookmarkEnd w:id="184"/>
    </w:p>
    <w:p w14:paraId="1CBB368A" w14:textId="18922C89" w:rsidR="004C12CF" w:rsidRPr="00CA4ABC" w:rsidRDefault="004C12CF" w:rsidP="004053D7">
      <w:pPr>
        <w:pStyle w:val="Heading3"/>
        <w:spacing w:line="360" w:lineRule="auto"/>
        <w:rPr>
          <w:rFonts w:asciiTheme="minorHAnsi" w:hAnsiTheme="minorHAnsi" w:cstheme="minorHAnsi"/>
          <w:color w:val="000000" w:themeColor="text1"/>
        </w:rPr>
      </w:pPr>
      <w:bookmarkStart w:id="185" w:name="_Toc135384321"/>
      <w:r w:rsidRPr="00CA4ABC">
        <w:rPr>
          <w:rFonts w:asciiTheme="minorHAnsi" w:hAnsiTheme="minorHAnsi" w:cstheme="minorHAnsi"/>
          <w:color w:val="000000" w:themeColor="text1"/>
        </w:rPr>
        <w:t>4.4.1 Overall findings</w:t>
      </w:r>
      <w:bookmarkEnd w:id="185"/>
    </w:p>
    <w:p w14:paraId="552818EF" w14:textId="68CEAAF1" w:rsidR="004C12CF" w:rsidRPr="00CA4ABC" w:rsidRDefault="00E8340C" w:rsidP="00E8340C">
      <w:pPr>
        <w:spacing w:line="360" w:lineRule="auto"/>
        <w:ind w:firstLine="720"/>
        <w:rPr>
          <w:rFonts w:cstheme="minorHAnsi"/>
          <w:color w:val="000000" w:themeColor="text1"/>
        </w:rPr>
      </w:pPr>
      <w:r w:rsidRPr="00CA4ABC">
        <w:rPr>
          <w:rFonts w:cstheme="minorHAnsi"/>
          <w:color w:val="000000" w:themeColor="text1"/>
        </w:rPr>
        <w:t>The</w:t>
      </w:r>
      <w:r w:rsidR="004C12CF" w:rsidRPr="00CA4ABC">
        <w:rPr>
          <w:rFonts w:cstheme="minorHAnsi"/>
          <w:color w:val="000000" w:themeColor="text1"/>
        </w:rPr>
        <w:t xml:space="preserve"> regression analysis suggests that protein intake </w:t>
      </w:r>
      <w:r w:rsidR="00F71E73" w:rsidRPr="00CA4ABC">
        <w:rPr>
          <w:rFonts w:cstheme="minorHAnsi"/>
          <w:color w:val="000000" w:themeColor="text1"/>
        </w:rPr>
        <w:t>is</w:t>
      </w:r>
      <w:r w:rsidR="004C12CF" w:rsidRPr="00CA4ABC">
        <w:rPr>
          <w:rFonts w:cstheme="minorHAnsi"/>
          <w:color w:val="000000" w:themeColor="text1"/>
        </w:rPr>
        <w:t xml:space="preserve"> significantly influenced by age (0.003), BMI (P&lt;0.05), physical activity levels (p=0.003) and being a meat and/or fish eater compared to a non-meat eater (p&lt;0.05). It is worth highlighting</w:t>
      </w:r>
      <w:r w:rsidR="00F71E73" w:rsidRPr="00CA4ABC">
        <w:rPr>
          <w:rFonts w:cstheme="minorHAnsi"/>
          <w:color w:val="000000" w:themeColor="text1"/>
        </w:rPr>
        <w:t xml:space="preserve"> that </w:t>
      </w:r>
      <w:r w:rsidR="004C12CF" w:rsidRPr="00CA4ABC">
        <w:rPr>
          <w:rFonts w:cstheme="minorHAnsi"/>
          <w:color w:val="000000" w:themeColor="text1"/>
        </w:rPr>
        <w:t>these five factor</w:t>
      </w:r>
      <w:r w:rsidR="00FF2B6B" w:rsidRPr="00CA4ABC">
        <w:rPr>
          <w:rFonts w:cstheme="minorHAnsi"/>
          <w:color w:val="000000" w:themeColor="text1"/>
        </w:rPr>
        <w:t>s</w:t>
      </w:r>
      <w:r w:rsidR="004C12CF" w:rsidRPr="00CA4ABC">
        <w:rPr>
          <w:rFonts w:cstheme="minorHAnsi"/>
          <w:color w:val="000000" w:themeColor="text1"/>
        </w:rPr>
        <w:t xml:space="preserve"> only account for 20% of the </w:t>
      </w:r>
      <w:r w:rsidR="00272F50" w:rsidRPr="00CA4ABC">
        <w:rPr>
          <w:rFonts w:cstheme="minorHAnsi"/>
          <w:color w:val="000000" w:themeColor="text1"/>
        </w:rPr>
        <w:t>variance</w:t>
      </w:r>
      <w:r w:rsidR="004C12CF" w:rsidRPr="00CA4ABC">
        <w:rPr>
          <w:rFonts w:cstheme="minorHAnsi"/>
          <w:color w:val="000000" w:themeColor="text1"/>
        </w:rPr>
        <w:t xml:space="preserve">.  Whilst low, this is </w:t>
      </w:r>
      <w:r w:rsidR="00F71E73" w:rsidRPr="00CA4ABC">
        <w:rPr>
          <w:rFonts w:cstheme="minorHAnsi"/>
          <w:color w:val="000000" w:themeColor="text1"/>
        </w:rPr>
        <w:t>probable</w:t>
      </w:r>
      <w:r w:rsidR="004C12CF" w:rsidRPr="00CA4ABC">
        <w:rPr>
          <w:rFonts w:cstheme="minorHAnsi"/>
          <w:color w:val="000000" w:themeColor="text1"/>
        </w:rPr>
        <w:t xml:space="preserve"> for dietary intake as there are many components which influence the diet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{"citationItems":[{"id":"ITEM-1","itemData":{"DOI":"10.1017/S002966511600286X","ISSN":"0029-6651","PMID":"27903310","abstract":"Health nudge interventions to steer people into healthier lifestyles are increasingly applied by governments worldwide, and it is natural to look to such approaches to improve health by altering what people choose to eat. However, to produce policy recommendations that are likely to be effective, we need to be able to make valid predictions about the consequences of proposed interventions, and for this, we need a better understanding of the determinants of food choice. These determinants include dietary components (e.g. highly palatable foods and alcohol), but also diverse cultural and social pressures, cognitive-affective factors (perceived stress, health attitude, anxiety and depression), and familial, genetic and epigenetic influences on personality characteristics. In addition, our choices are influenced by an array of physiological mechanisms, including signals to the brain from the gastrointestinal tract and adipose tissue, which affect not only our hunger and satiety but also our motivation to eat particular nutrients, and the reward we experience from eating. Thus, to develop the evidence base necessary for effective policies, we need to build bridges across different levels of knowledge and understanding. This requires experimental models that can fill in the gaps in our understanding that are needed to inform policy, translational models that connect mechanistic understanding from laboratory studies to the real life human condition, and formal models that encapsulate scientific knowledge from diverse disciplines, and which embed understanding in a way that enables policy-relevant predictions to be made. Here we review recent developments in these areas.","author":[{"dropping-particle":"","family":"Leng","given":"Gareth","non-dropping-particle":"","parse-names":false,"suffix":""},{"dropping-particle":"","family":"Adan","given":"Roger A.H.","non-dropping-particle":"","parse-names":false,"suffix":""},{"dropping-particle":"","family":"Belot","given":"Michele","non-dropping-particle":"","parse-names":false,"suffix":""},{"dropping-particle":"","family":"Brunstrom","given":"Jeffrey M.","non-dropping-particle":"","parse-names":false,"suffix":""},{"dropping-particle":"","family":"Graaf","given":"Kees","non-dropping-particle":"De","parse-names":false,"suffix":""},{"dropping-particle":"","family":"Dickson","given":"Suzanne L.","non-dropping-particle":"","parse-names":false,"suffix":""},{"dropping-particle":"","family":"Hare","given":"Todd","non-dropping-particle":"","parse-names":false,"suffix":""},{"dropping-particle":"","family":"Maier","given":"Silvia","non-dropping-particle":"","parse-names":false,"suffix":""},{"dropping-particle":"","family":"Menzies","given":"John","non-dropping-particle":"","parse-names":false,"suffix":""},{"dropping-particle":"","family":"Preissl","given":"Hubert","non-dropping-particle":"","parse-names":false,"suffix":""},{"dropping-particle":"","family":"Reisch","given":"Lucia A.","non-dropping-particle":"","parse-names":false,"suffix":""},{"dropping-particle":"","family":"Rogers","given":"Peter J.","non-dropping-particle":"","parse-names":false,"suffix":""},{"dropping-particle":"","family":"Smeets","given":"Paul A.M.","non-dropping-particle":"","parse-names":false,"suffix":""}],"container-title":"Proceedings of the Nutrition Society","id":"ITEM-1","issue":"3","issued":{"date-parts":[["2017","8","1"]]},"page":"316-327","publisher":"Cambridge University Press","title":"The determinants of food choice","type":"article-journal","volume":"76"},"uris":["http://www.mendeley.com/documents/?uuid=a8d64c16-4459-3dd4-bbb1-651873c5d8dd"]}],"mendeley":{"formattedCitation":"(228)","plainTextFormattedCitation":"(228)","previouslyFormattedCitation":"(228)"},"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(228)</w:t>
      </w:r>
      <w:r w:rsidR="004C12CF" w:rsidRPr="00CA4ABC">
        <w:rPr>
          <w:rFonts w:cstheme="minorHAnsi"/>
          <w:color w:val="000000" w:themeColor="text1"/>
        </w:rPr>
        <w:fldChar w:fldCharType="end"/>
      </w:r>
      <w:r w:rsidR="004C12CF" w:rsidRPr="00CA4ABC">
        <w:rPr>
          <w:rFonts w:cstheme="minorHAnsi"/>
          <w:color w:val="000000" w:themeColor="text1"/>
        </w:rPr>
        <w:t>.</w:t>
      </w:r>
    </w:p>
    <w:p w14:paraId="7E5169A1" w14:textId="77777777" w:rsidR="004C12CF" w:rsidRPr="00CA4ABC" w:rsidRDefault="004C12CF" w:rsidP="004053D7">
      <w:pPr>
        <w:spacing w:line="360" w:lineRule="auto"/>
        <w:rPr>
          <w:rFonts w:cstheme="minorHAnsi"/>
          <w:color w:val="000000" w:themeColor="text1"/>
        </w:rPr>
      </w:pPr>
    </w:p>
    <w:p w14:paraId="144E3968" w14:textId="241A993A" w:rsidR="004C12CF" w:rsidRPr="00CA4ABC" w:rsidRDefault="004C12CF" w:rsidP="004053D7">
      <w:pPr>
        <w:spacing w:line="360" w:lineRule="auto"/>
        <w:rPr>
          <w:rFonts w:cstheme="minorHAnsi"/>
          <w:color w:val="000000" w:themeColor="text1"/>
        </w:rPr>
      </w:pPr>
      <w:r w:rsidRPr="00CA4ABC">
        <w:rPr>
          <w:rFonts w:cstheme="minorHAnsi"/>
          <w:color w:val="000000" w:themeColor="text1"/>
        </w:rPr>
        <w:t>Protein knowledge does not appear to significantly influence protein intakes for the whole cohort, based on the regression model (p=0.107). Further correlation analysis divided by age (</w:t>
      </w:r>
      <w:r w:rsidRPr="00CA4ABC">
        <w:rPr>
          <w:rFonts w:cstheme="minorHAnsi"/>
          <w:color w:val="000000" w:themeColor="text1"/>
          <w:shd w:val="clear" w:color="auto" w:fill="FFFFFF"/>
        </w:rPr>
        <w:t>≥</w:t>
      </w:r>
      <w:r w:rsidRPr="00CA4ABC">
        <w:rPr>
          <w:rFonts w:cstheme="minorHAnsi"/>
          <w:color w:val="000000" w:themeColor="text1"/>
        </w:rPr>
        <w:t xml:space="preserve">55 years and &lt; 55 years) suggests, however, that there is a correlation between protein intakes and knowledge in older adults that is not </w:t>
      </w:r>
      <w:r w:rsidR="00272F50" w:rsidRPr="00CA4ABC">
        <w:rPr>
          <w:rFonts w:cstheme="minorHAnsi"/>
          <w:color w:val="000000" w:themeColor="text1"/>
        </w:rPr>
        <w:t>evident</w:t>
      </w:r>
      <w:r w:rsidRPr="00CA4ABC">
        <w:rPr>
          <w:rFonts w:cstheme="minorHAnsi"/>
          <w:color w:val="000000" w:themeColor="text1"/>
        </w:rPr>
        <w:t xml:space="preserve"> in younger adults. This finding is supported by the validation of the GNKQ-R validation study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{"citationItems":[{"id":"ITEM-1","itemData":{"DOI":"10.1038/EJCN.2016.87","ISSN":"14765640","PMID":"27245211","abstract":"Background/Objectives:The General Nutrition Knowledge Questionnaire (GNKQ) was developed in the 1990s and has been widely used. Since then advances in understanding of associations between diet and disease have led to changes in dietary recommendations. This study reports the validity and reliability of an updated version of the GNKQ, bringing it into line with current nutritional advice.Methods/Subjects:Following a review of current recommendations, the revised version of the GNKQ (GNKQ-R) was created, consisting of 88 items and four sections. Reliability and validity of the GNKQ-R were determined in four validation studies: (1) reliability was examined using an online sample (n=266), (2) construct validity was assessed with 96 Dietetics students and 89 english students using the 'known-groups' method, (3) associations between nutrition knowledge and socio-demographic characteristics were examined using the previously described samples and (4) sensitivity to change was tested by measuring GNKQ-R scores pre- and post-exposure to online nutrition information in written (n=65) and video (n=41) formats.Results:The reliability was &gt;0.7 in all sections. Dietetics students scored significantly higher than english students. As predicted, GNKQ-R scores were significantly higher among females vs males, people with a degree vs without, and people with very good vs poor or good health status. They were lower in those older than 50 years vs younger adults. GNKQ-R scores were significantly greater after the nutrition interventions in both written and video formats.Conclusions:The GNKQ-R is a valid measure of nutrition knowledge that is consistent, reliable and sensitive to change.","author":[{"dropping-particle":"","family":"Kliemann","given":"N.","non-dropping-particle":"","parse-names":false,"suffix":""},{"dropping-particle":"","family":"Wardle","given":"J.","non-dropping-particle":"","parse-names":false,"suffix":""},{"dropping-particle":"","family":"Johnson","given":"F.","non-dropping-particle":"","parse-names":false,"suffix":""},{"dropping-particle":"","family":"Croker","given":"H.","non-dropping-particle":"","parse-names":false,"suffix":""}],"container-title":"European Journal of Clinical Nutrition","id":"ITEM-1","issue":"10","issued":{"date-parts":[["2016","10","1"]]},"page":"1174","publisher":"Nature Publishing Group","title":"Reliability and validity of a revised version of the General Nutrition Knowledge Questionnaire","type":"article-journal","volume":"70"},"uris":["http://www.mendeley.com/documents/?uuid=016c1615-d949-31e5-9124-3bf4f1409de3"]}],"mendeley":{"formattedCitation":"(196)","plainTextFormattedCitation":"(196)","previouslyFormattedCitation":"(196)"},"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(196)</w:t>
      </w:r>
      <w:r w:rsidRPr="00CA4ABC">
        <w:rPr>
          <w:rFonts w:cstheme="minorHAnsi"/>
          <w:color w:val="000000" w:themeColor="text1"/>
        </w:rPr>
        <w:fldChar w:fldCharType="end"/>
      </w:r>
      <w:r w:rsidR="00F14C17" w:rsidRPr="00CA4ABC">
        <w:rPr>
          <w:rFonts w:cstheme="minorHAnsi"/>
          <w:color w:val="000000" w:themeColor="text1"/>
        </w:rPr>
        <w:t xml:space="preserve">. When carrying out their validation tests, they also investigated </w:t>
      </w:r>
      <w:r w:rsidR="00F14C17" w:rsidRPr="00CA4ABC">
        <w:rPr>
          <w:rFonts w:cstheme="minorHAnsi"/>
          <w:color w:val="000000" w:themeColor="text1"/>
          <w:shd w:val="clear" w:color="auto" w:fill="FFFFFF"/>
        </w:rPr>
        <w:t>associations between nutrition knowledge and socio-demographic characteristics. The GNKQ-R survey contains 88 items, split into four sections (</w:t>
      </w:r>
      <w:r w:rsidR="00F14C17" w:rsidRPr="00CA4ABC">
        <w:rPr>
          <w:rFonts w:cstheme="minorHAnsi"/>
          <w:color w:val="000000" w:themeColor="text1"/>
        </w:rPr>
        <w:t>Section 1: Dietary recommendation; Section 2: food groups; Section 3: healthy food choices; Section 4: diet, disease and weight associations.)</w:t>
      </w:r>
      <w:r w:rsidR="00F14C17" w:rsidRPr="00CA4ABC">
        <w:rPr>
          <w:rFonts w:cstheme="minorHAnsi"/>
          <w:color w:val="000000" w:themeColor="text1"/>
          <w:shd w:val="clear" w:color="auto" w:fill="FFFFFF"/>
        </w:rPr>
        <w:t xml:space="preserve"> It was found </w:t>
      </w:r>
      <w:r w:rsidR="00AB59A1" w:rsidRPr="00CA4ABC">
        <w:rPr>
          <w:rFonts w:cstheme="minorHAnsi"/>
          <w:color w:val="000000" w:themeColor="text1"/>
          <w:shd w:val="clear" w:color="auto" w:fill="FFFFFF"/>
        </w:rPr>
        <w:t xml:space="preserve">that </w:t>
      </w:r>
      <w:r w:rsidRPr="00CA4ABC">
        <w:rPr>
          <w:rFonts w:cstheme="minorHAnsi"/>
          <w:color w:val="000000" w:themeColor="text1"/>
        </w:rPr>
        <w:t>older adults (&gt;50 years) had</w:t>
      </w:r>
      <w:r w:rsidR="002111C9" w:rsidRPr="00CA4ABC">
        <w:rPr>
          <w:rFonts w:cstheme="minorHAnsi"/>
          <w:color w:val="000000" w:themeColor="text1"/>
        </w:rPr>
        <w:t xml:space="preserve"> significantly lower scores for both</w:t>
      </w:r>
      <w:r w:rsidRPr="00CA4ABC">
        <w:rPr>
          <w:rFonts w:cstheme="minorHAnsi"/>
          <w:color w:val="000000" w:themeColor="text1"/>
        </w:rPr>
        <w:t xml:space="preserve"> overall (out of 88) and </w:t>
      </w:r>
      <w:r w:rsidR="00F14C17" w:rsidRPr="00CA4ABC">
        <w:rPr>
          <w:rFonts w:cstheme="minorHAnsi"/>
          <w:color w:val="000000" w:themeColor="text1"/>
        </w:rPr>
        <w:t>section 1 (out of 18)</w:t>
      </w:r>
      <w:r w:rsidRPr="00CA4ABC">
        <w:rPr>
          <w:rFonts w:cstheme="minorHAnsi"/>
          <w:color w:val="000000" w:themeColor="text1"/>
        </w:rPr>
        <w:t xml:space="preserve"> </w:t>
      </w:r>
      <w:r w:rsidR="002111C9" w:rsidRPr="00CA4ABC">
        <w:rPr>
          <w:rFonts w:cstheme="minorHAnsi"/>
          <w:color w:val="000000" w:themeColor="text1"/>
        </w:rPr>
        <w:t>in comparison to</w:t>
      </w:r>
      <w:r w:rsidRPr="00CA4ABC">
        <w:rPr>
          <w:rFonts w:cstheme="minorHAnsi"/>
          <w:color w:val="000000" w:themeColor="text1"/>
        </w:rPr>
        <w:t xml:space="preserve"> younger (18-35 years) and middle-aged (36-50) adults; and this represented a small effect size (0.1). Scores for overall/</w:t>
      </w:r>
      <w:r w:rsidR="00F14C17" w:rsidRPr="00CA4ABC">
        <w:rPr>
          <w:rFonts w:cstheme="minorHAnsi"/>
          <w:color w:val="000000" w:themeColor="text1"/>
        </w:rPr>
        <w:t>section 1</w:t>
      </w:r>
      <w:r w:rsidRPr="00CA4ABC">
        <w:rPr>
          <w:rFonts w:cstheme="minorHAnsi"/>
          <w:color w:val="000000" w:themeColor="text1"/>
        </w:rPr>
        <w:t xml:space="preserve"> for each age category were 66.7/13.9, 70.3/14.7 and 69.8/14.2, respectively. This evidence suggests that if education w</w:t>
      </w:r>
      <w:r w:rsidR="0084445D" w:rsidRPr="00CA4ABC">
        <w:rPr>
          <w:rFonts w:cstheme="minorHAnsi"/>
          <w:color w:val="000000" w:themeColor="text1"/>
        </w:rPr>
        <w:t>ere</w:t>
      </w:r>
      <w:r w:rsidRPr="00CA4ABC">
        <w:rPr>
          <w:rFonts w:cstheme="minorHAnsi"/>
          <w:color w:val="000000" w:themeColor="text1"/>
        </w:rPr>
        <w:t xml:space="preserve"> the approach </w:t>
      </w:r>
      <w:r w:rsidR="00AB59A1" w:rsidRPr="00CA4ABC">
        <w:rPr>
          <w:rFonts w:cstheme="minorHAnsi"/>
          <w:color w:val="000000" w:themeColor="text1"/>
        </w:rPr>
        <w:t xml:space="preserve">used </w:t>
      </w:r>
      <w:r w:rsidR="001B3645" w:rsidRPr="00CA4ABC">
        <w:rPr>
          <w:rFonts w:cstheme="minorHAnsi"/>
          <w:color w:val="000000" w:themeColor="text1"/>
        </w:rPr>
        <w:t>to</w:t>
      </w:r>
      <w:r w:rsidRPr="00CA4ABC">
        <w:rPr>
          <w:rFonts w:cstheme="minorHAnsi"/>
          <w:color w:val="000000" w:themeColor="text1"/>
        </w:rPr>
        <w:t xml:space="preserve"> address</w:t>
      </w:r>
      <w:r w:rsidR="001B3645" w:rsidRPr="00CA4ABC">
        <w:rPr>
          <w:rFonts w:cstheme="minorHAnsi"/>
          <w:color w:val="000000" w:themeColor="text1"/>
        </w:rPr>
        <w:t xml:space="preserve"> low</w:t>
      </w:r>
      <w:r w:rsidRPr="00CA4ABC">
        <w:rPr>
          <w:rFonts w:cstheme="minorHAnsi"/>
          <w:color w:val="000000" w:themeColor="text1"/>
        </w:rPr>
        <w:t xml:space="preserve"> protein intakes, this would be most required in older adults. </w:t>
      </w:r>
      <w:r w:rsidR="00AB59A1" w:rsidRPr="00CA4ABC">
        <w:rPr>
          <w:rFonts w:cstheme="minorHAnsi"/>
          <w:color w:val="000000" w:themeColor="text1"/>
        </w:rPr>
        <w:t>Additionally,</w:t>
      </w:r>
      <w:r w:rsidRPr="00CA4ABC">
        <w:rPr>
          <w:rFonts w:cstheme="minorHAnsi"/>
          <w:color w:val="000000" w:themeColor="text1"/>
        </w:rPr>
        <w:t xml:space="preserve"> </w:t>
      </w:r>
      <w:r w:rsidR="000A4551" w:rsidRPr="00CA4ABC">
        <w:rPr>
          <w:rFonts w:cstheme="minorHAnsi"/>
          <w:color w:val="000000" w:themeColor="text1"/>
        </w:rPr>
        <w:t>improving</w:t>
      </w:r>
      <w:r w:rsidRPr="00CA4ABC">
        <w:rPr>
          <w:rFonts w:cstheme="minorHAnsi"/>
          <w:color w:val="000000" w:themeColor="text1"/>
        </w:rPr>
        <w:t xml:space="preserve"> protein knowledge </w:t>
      </w:r>
      <w:r w:rsidR="00AB59A1" w:rsidRPr="00CA4ABC">
        <w:rPr>
          <w:rFonts w:cstheme="minorHAnsi"/>
          <w:color w:val="000000" w:themeColor="text1"/>
        </w:rPr>
        <w:t xml:space="preserve">may </w:t>
      </w:r>
      <w:r w:rsidRPr="00CA4ABC">
        <w:rPr>
          <w:rFonts w:cstheme="minorHAnsi"/>
          <w:color w:val="000000" w:themeColor="text1"/>
        </w:rPr>
        <w:t xml:space="preserve">not be as effective in the </w:t>
      </w:r>
      <w:r w:rsidR="00106C25" w:rsidRPr="00CA4ABC">
        <w:rPr>
          <w:rFonts w:cstheme="minorHAnsi"/>
          <w:color w:val="000000" w:themeColor="text1"/>
        </w:rPr>
        <w:t>middle-aged</w:t>
      </w:r>
      <w:r w:rsidRPr="00CA4ABC">
        <w:rPr>
          <w:rFonts w:cstheme="minorHAnsi"/>
          <w:color w:val="000000" w:themeColor="text1"/>
        </w:rPr>
        <w:t xml:space="preserve"> group category; which is the population of particular interest for this thesis</w:t>
      </w:r>
      <w:r w:rsidR="00AB59A1" w:rsidRPr="00CA4ABC">
        <w:rPr>
          <w:rFonts w:cstheme="minorHAnsi"/>
          <w:color w:val="000000" w:themeColor="text1"/>
        </w:rPr>
        <w:t>. Taking</w:t>
      </w:r>
      <w:r w:rsidRPr="00CA4ABC">
        <w:rPr>
          <w:rFonts w:cstheme="minorHAnsi"/>
          <w:color w:val="000000" w:themeColor="text1"/>
        </w:rPr>
        <w:t xml:space="preserve"> </w:t>
      </w:r>
      <w:r w:rsidR="00106C25" w:rsidRPr="00CA4ABC">
        <w:rPr>
          <w:rFonts w:cstheme="minorHAnsi"/>
          <w:color w:val="000000" w:themeColor="text1"/>
        </w:rPr>
        <w:t>an alternative approach</w:t>
      </w:r>
      <w:r w:rsidRPr="00CA4ABC">
        <w:rPr>
          <w:rFonts w:cstheme="minorHAnsi"/>
          <w:color w:val="000000" w:themeColor="text1"/>
        </w:rPr>
        <w:t xml:space="preserve"> to address insufficient protein </w:t>
      </w:r>
      <w:r w:rsidR="000A4551" w:rsidRPr="00CA4ABC">
        <w:rPr>
          <w:rFonts w:cstheme="minorHAnsi"/>
          <w:color w:val="000000" w:themeColor="text1"/>
        </w:rPr>
        <w:t>intake</w:t>
      </w:r>
      <w:r w:rsidRPr="00CA4ABC">
        <w:rPr>
          <w:rFonts w:cstheme="minorHAnsi"/>
          <w:color w:val="000000" w:themeColor="text1"/>
        </w:rPr>
        <w:t xml:space="preserve"> in this population may be necessary. </w:t>
      </w:r>
    </w:p>
    <w:p w14:paraId="17FCFE42" w14:textId="77777777" w:rsidR="004C12CF" w:rsidRPr="00CA4ABC" w:rsidRDefault="004C12CF" w:rsidP="004053D7">
      <w:pPr>
        <w:spacing w:line="360" w:lineRule="auto"/>
        <w:rPr>
          <w:rFonts w:cstheme="minorHAnsi"/>
          <w:color w:val="000000" w:themeColor="text1"/>
          <w:highlight w:val="green"/>
        </w:rPr>
      </w:pPr>
    </w:p>
    <w:p w14:paraId="5FB2FBA6" w14:textId="7F17E595" w:rsidR="004C12CF" w:rsidRPr="00CA4ABC" w:rsidRDefault="004C12CF" w:rsidP="004053D7">
      <w:pPr>
        <w:spacing w:line="360" w:lineRule="auto"/>
        <w:rPr>
          <w:rFonts w:cstheme="minorHAnsi"/>
          <w:color w:val="000000" w:themeColor="text1"/>
          <w:highlight w:val="green"/>
        </w:rPr>
      </w:pPr>
      <w:r w:rsidRPr="00CA4ABC">
        <w:rPr>
          <w:rFonts w:cstheme="minorHAnsi"/>
          <w:color w:val="000000" w:themeColor="text1"/>
        </w:rPr>
        <w:t>Further justification for why education may not be the best strategy as a muscle loss prevention tool is that awareness about what is good for their health is not always acted upon by individuals. A prime example of this is that guidelines around fruit and vegetable intakes in the UK are commonly known</w:t>
      </w:r>
      <w:r w:rsidR="000A4551" w:rsidRPr="00CA4ABC">
        <w:rPr>
          <w:rFonts w:cstheme="minorHAnsi"/>
          <w:color w:val="000000" w:themeColor="text1"/>
        </w:rPr>
        <w:t>. D</w:t>
      </w:r>
      <w:r w:rsidRPr="00CA4ABC">
        <w:rPr>
          <w:rFonts w:cstheme="minorHAnsi"/>
          <w:color w:val="000000" w:themeColor="text1"/>
        </w:rPr>
        <w:t xml:space="preserve">espite this, based on NDNS data, these guidelines are only met by 31% of adults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{"citationItems":[{"id":"ITEM-1","itemData":{"URL":"https://assets.publishing.service.gov.uk/government/uploads/system/uploads/attachment_data/file/699241/NDNS_results_years_7_and_8.pdf","author":[{"dropping-particle":"","family":"Public Health England","given":"","non-dropping-particle":"","parse-names":false,"suffix":""}],"container-title":"Public Health England","id":"ITEM-1","issued":{"date-parts":[["2018"]]},"page":"2-26","publisher-place":"London","title":"National Diet and Nutrition Survey. Results from years 7 and 8 (combined). London","type":"webpage"},"uris":["http://www.mendeley.com/documents/?uuid=681e32a2-4792-4d44-a653-df9cb4830044"]}],"mendeley":{"formattedCitation":"(241)","plainTextFormattedCitation":"(241)","previouslyFormattedCitation":"(241)"},"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(241)</w:t>
      </w:r>
      <w:r w:rsidRPr="00CA4ABC">
        <w:rPr>
          <w:rFonts w:cstheme="minorHAnsi"/>
          <w:color w:val="000000" w:themeColor="text1"/>
        </w:rPr>
        <w:fldChar w:fldCharType="end"/>
      </w:r>
      <w:r w:rsidRPr="00CA4ABC">
        <w:rPr>
          <w:rFonts w:cstheme="minorHAnsi"/>
          <w:color w:val="000000" w:themeColor="text1"/>
        </w:rPr>
        <w:t>. The survey conducted by Visser et al</w:t>
      </w:r>
      <w:r w:rsidR="00106C25"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{"citationItems":[{"id":"ITEM-1","itemData":{"DOI":"10.3390/NU13031006","ISSN":"20726643","PMID":"33804787","abstract":"The aim was to investigate the protein knowledge of community-dwelling older adults. A survey was conducted among 1825 adults aged ≥65 years and living in Finland, Netherlands, Poland, Spain and United Kingdom in 2017. Protein knowledge was measured with nine objective knowledge statements provided only to participants who indicated to know what the nutrient \"protein\" is (64.7% of sample). Demographic, socioeconomic and health determinants of poor protein knowledge were investigated using multiple logistic regression analyses. The sample was 49.6% female and 87.0% reported no walking difficulties. Participants scored best on the true statement \"You need protein in the diet for repairing bones and muscles\" (89.3% correct), and worst on the false statement \"One meal per day with a good protein source is sufficient\" (25.4% correct). Median knowledge score was 5.0 (scale 0–9) and poor knowledge was present in 49.4% of the sample. Males (Odds Ratio 1.57), those unable to walk for 5 min (2.66), not always making their own food decision (1.36) and having lower income (1.44) were more likely to have poor knowledge. Large differences were observed across countries. In conclusion, poor protein knowledge is present in about half of community-dwelling older adults. Communication strategies should be tailored to target the identified risk groups with poor knowledge.","author":[{"dropping-particle":"","family":"Visser","given":"Marjolein","non-dropping-particle":"","parse-names":false,"suffix":""},{"dropping-particle":"","family":"Hung","given":"Yung","non-dropping-particle":"","parse-names":false,"suffix":""},{"dropping-particle":"","family":"Verbeke","given":"Wim","non-dropping-particle":"","parse-names":false,"suffix":""}],"container-title":"Nutrients","id":"ITEM-1","issue":"3","issued":{"date-parts":[["2021","3","1"]]},"page":"1-11","publisher":"MDPI AG","title":"Protein knowledge of older adults and identification of subgroups with poor knowledge","type":"article-journal","volume":"13"},"uris":["http://www.mendeley.com/documents/?uuid=ef9c0050-76b5-3ff8-aa6a-b5cbaa060221"]}],"mendeley":{"formattedCitation":"(197)","plainTextFormattedCitation":"(197)","previouslyFormattedCitation":"(197)"},"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(197)</w:t>
      </w:r>
      <w:r w:rsidRPr="00CA4ABC">
        <w:rPr>
          <w:rFonts w:cstheme="minorHAnsi"/>
          <w:color w:val="000000" w:themeColor="text1"/>
        </w:rPr>
        <w:fldChar w:fldCharType="end"/>
      </w:r>
      <w:r w:rsidR="00106C25" w:rsidRPr="00CA4ABC">
        <w:rPr>
          <w:rFonts w:cstheme="minorHAnsi"/>
          <w:color w:val="000000" w:themeColor="text1"/>
        </w:rPr>
        <w:t>,</w:t>
      </w:r>
      <w:r w:rsidRPr="00CA4ABC">
        <w:rPr>
          <w:rFonts w:cstheme="minorHAnsi"/>
          <w:color w:val="000000" w:themeColor="text1"/>
        </w:rPr>
        <w:t xml:space="preserve"> which explored the knowledge of older adults, revealed that statements relating to the relationship between protein and health scored the best, once again suggest</w:t>
      </w:r>
      <w:r w:rsidR="00106C25" w:rsidRPr="00CA4ABC">
        <w:rPr>
          <w:rFonts w:cstheme="minorHAnsi"/>
          <w:color w:val="000000" w:themeColor="text1"/>
        </w:rPr>
        <w:t>ing</w:t>
      </w:r>
      <w:r w:rsidRPr="00CA4ABC">
        <w:rPr>
          <w:rFonts w:cstheme="minorHAnsi"/>
          <w:color w:val="000000" w:themeColor="text1"/>
        </w:rPr>
        <w:t xml:space="preserve"> that people have health awareness. However, protein intakes </w:t>
      </w:r>
      <w:r w:rsidR="00EA473B" w:rsidRPr="00CA4ABC">
        <w:rPr>
          <w:rFonts w:cstheme="minorHAnsi"/>
          <w:color w:val="000000" w:themeColor="text1"/>
        </w:rPr>
        <w:t xml:space="preserve">were not measured, so it is </w:t>
      </w:r>
      <w:r w:rsidR="00C240E5" w:rsidRPr="00CA4ABC">
        <w:rPr>
          <w:rFonts w:cstheme="minorHAnsi"/>
          <w:color w:val="000000" w:themeColor="text1"/>
        </w:rPr>
        <w:t>un</w:t>
      </w:r>
      <w:r w:rsidR="00EA473B" w:rsidRPr="00CA4ABC">
        <w:rPr>
          <w:rFonts w:cstheme="minorHAnsi"/>
          <w:color w:val="000000" w:themeColor="text1"/>
        </w:rPr>
        <w:t>clear if knowledge translated into intake</w:t>
      </w:r>
      <w:r w:rsidR="00106C25" w:rsidRPr="00CA4ABC">
        <w:rPr>
          <w:rFonts w:cstheme="minorHAnsi"/>
          <w:color w:val="000000" w:themeColor="text1"/>
        </w:rPr>
        <w:t>s</w:t>
      </w:r>
      <w:r w:rsidRPr="00CA4ABC">
        <w:rPr>
          <w:rFonts w:cstheme="minorHAnsi"/>
          <w:color w:val="000000" w:themeColor="text1"/>
        </w:rPr>
        <w:t>. Four of the nine statement</w:t>
      </w:r>
      <w:r w:rsidR="00106C25" w:rsidRPr="00CA4ABC">
        <w:rPr>
          <w:rFonts w:cstheme="minorHAnsi"/>
          <w:color w:val="000000" w:themeColor="text1"/>
        </w:rPr>
        <w:t>s</w:t>
      </w:r>
      <w:r w:rsidRPr="00CA4ABC">
        <w:rPr>
          <w:rFonts w:cstheme="minorHAnsi"/>
          <w:color w:val="000000" w:themeColor="text1"/>
        </w:rPr>
        <w:t xml:space="preserve"> in their true/false questionnaire </w:t>
      </w:r>
      <w:r w:rsidR="00F6623B">
        <w:rPr>
          <w:rFonts w:cstheme="minorHAnsi"/>
          <w:color w:val="000000" w:themeColor="text1"/>
        </w:rPr>
        <w:t>comprised</w:t>
      </w:r>
      <w:r w:rsidRPr="00CA4ABC">
        <w:rPr>
          <w:rFonts w:cstheme="minorHAnsi"/>
          <w:color w:val="000000" w:themeColor="text1"/>
        </w:rPr>
        <w:t xml:space="preserve"> question 8 (a-d) of the SheffProUK protein knowledge survey. Similarly to Visser’s findings, participants in this research also scored highly for correctly answering </w:t>
      </w:r>
      <w:r w:rsidR="00F6623B">
        <w:rPr>
          <w:rFonts w:cstheme="minorHAnsi"/>
          <w:color w:val="000000" w:themeColor="text1"/>
        </w:rPr>
        <w:t>health statements, and 86% of participants correctly identified</w:t>
      </w:r>
      <w:r w:rsidRPr="00CA4ABC">
        <w:rPr>
          <w:rFonts w:cstheme="minorHAnsi"/>
          <w:color w:val="000000" w:themeColor="text1"/>
        </w:rPr>
        <w:t xml:space="preserve"> the health condition connected to low protein intake (sarcopenia). Linked to this, the majority of the </w:t>
      </w:r>
      <w:r w:rsidRPr="00CA4ABC">
        <w:rPr>
          <w:rFonts w:cstheme="minorHAnsi"/>
          <w:color w:val="000000" w:themeColor="text1"/>
        </w:rPr>
        <w:lastRenderedPageBreak/>
        <w:t>participants (93%) agreed with the statement “You need protein in the diet for repairing bones and muscles” (89.3% in Visser et al</w:t>
      </w:r>
      <w:r w:rsidR="000A4551" w:rsidRPr="00CA4ABC">
        <w:rPr>
          <w:rFonts w:cstheme="minorHAnsi"/>
          <w:color w:val="000000" w:themeColor="text1"/>
        </w:rPr>
        <w:t>.</w:t>
      </w:r>
      <w:r w:rsidRPr="00CA4ABC">
        <w:rPr>
          <w:rFonts w:cstheme="minorHAnsi"/>
          <w:color w:val="000000" w:themeColor="text1"/>
        </w:rPr>
        <w:t xml:space="preserve"> paper). This evidence suggests that providing health-based education may be ineffective, as this knowledge </w:t>
      </w:r>
      <w:r w:rsidR="00F6623B">
        <w:rPr>
          <w:rFonts w:cstheme="minorHAnsi"/>
          <w:color w:val="000000" w:themeColor="text1"/>
        </w:rPr>
        <w:t>is</w:t>
      </w:r>
      <w:r w:rsidRPr="00CA4ABC">
        <w:rPr>
          <w:rFonts w:cstheme="minorHAnsi"/>
          <w:color w:val="000000" w:themeColor="text1"/>
        </w:rPr>
        <w:t xml:space="preserve"> already present. Only </w:t>
      </w:r>
      <w:r w:rsidR="000A4551" w:rsidRPr="00CA4ABC">
        <w:rPr>
          <w:rFonts w:cstheme="minorHAnsi"/>
          <w:color w:val="000000" w:themeColor="text1"/>
        </w:rPr>
        <w:t>twenty-two</w:t>
      </w:r>
      <w:r w:rsidRPr="00CA4ABC">
        <w:rPr>
          <w:rFonts w:cstheme="minorHAnsi"/>
          <w:color w:val="000000" w:themeColor="text1"/>
        </w:rPr>
        <w:t xml:space="preserve"> participants scored incorrectly on this, so making comparisons in protein intakes between the groups may but difficult, but (mean(SD)) protein intakes between those who responded correctly versus incorrectly were 1.11 (0.57) g/kg BM/d and 0.96 (0.53) g/kg BM/d, respectively. This supports the notion that the factors </w:t>
      </w:r>
      <w:r w:rsidR="00F6623B">
        <w:rPr>
          <w:rFonts w:cstheme="minorHAnsi"/>
          <w:color w:val="000000" w:themeColor="text1"/>
        </w:rPr>
        <w:t>influencing</w:t>
      </w:r>
      <w:r w:rsidRPr="00CA4ABC">
        <w:rPr>
          <w:rFonts w:cstheme="minorHAnsi"/>
          <w:color w:val="000000" w:themeColor="text1"/>
        </w:rPr>
        <w:t xml:space="preserve"> protein intakes are multifaceted </w:t>
      </w:r>
      <w:r w:rsidR="00EA473B" w:rsidRPr="00CA4ABC">
        <w:rPr>
          <w:rFonts w:cstheme="minorHAnsi"/>
          <w:color w:val="000000" w:themeColor="text1"/>
        </w:rPr>
        <w:t xml:space="preserve">and determined by more than knowledge, </w:t>
      </w:r>
      <w:r w:rsidRPr="00CA4ABC">
        <w:rPr>
          <w:rFonts w:cstheme="minorHAnsi"/>
          <w:color w:val="000000" w:themeColor="text1"/>
        </w:rPr>
        <w:t xml:space="preserve">as even those responding incorrectly appear to exceed UK recommendations. Likewise, 84% of SheffProUK respondents agreed with the statement: “You will experience loss in muscle mass if you do not consume enough protein”, suggesting that awareness around protein for muscle health is present. Of those that answered correctly (n=258), mean (SD) protein intakes were 1.14 (0.58) g/kg BM/d and 0.90 (0.50) in respondents answering incorrectly (n=49). </w:t>
      </w:r>
      <w:r w:rsidR="009466D7" w:rsidRPr="00CA4ABC">
        <w:rPr>
          <w:rFonts w:cstheme="minorHAnsi"/>
          <w:color w:val="000000" w:themeColor="text1"/>
        </w:rPr>
        <w:t>Although these intakes appear high, they are</w:t>
      </w:r>
      <w:r w:rsidR="000A4551" w:rsidRPr="00CA4ABC">
        <w:rPr>
          <w:rFonts w:cstheme="minorHAnsi"/>
          <w:color w:val="000000" w:themeColor="text1"/>
        </w:rPr>
        <w:t xml:space="preserve"> still</w:t>
      </w:r>
      <w:r w:rsidR="009466D7" w:rsidRPr="00CA4ABC">
        <w:rPr>
          <w:rFonts w:cstheme="minorHAnsi"/>
          <w:color w:val="000000" w:themeColor="text1"/>
        </w:rPr>
        <w:t xml:space="preserve"> below higher ESPEN recommendations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{"citationItems":[{"id":"ITEM-1","itemData":{"DOI":"10.1016/j.clnu.2014.04.007","ISSN":"15321983","abstract":"The aging process is associated with gradual and progressive loss of muscle mass along with lowered strength and physical endurance. This condition, sarcopenia, has been widely observed with aging in sedentary adults. Regular aerobic and resistance exercise programs have been shown to counteract most aspects of sarcopenia. In addition, good nutrition, especially adequate protein and energy intake, can help limit and treat age-related declines in muscle mass, strength, and functional abilities. Protein nutrition in combination with exercise is considered optimal for maintaining muscle function. With the goal of providing recommendations for health care professionals to help older adults sustain muscle strength and function into older age, the European Society for Clinical Nutrition and Metabolism (ESPEN) hosted a Workshop on Protein Requirements in the Elderly, held in Dubrovnik on November 24 and 25, 2013. Based on the evidence presented and discussed, the following recommendations are made (a) for healthy older people, the diet should provide at least 1.0-1.2g protein/kg body weight/day, (b) for older people who are malnourished or at risk of malnutrition because they have acute or chronic illness, the diet should provide 1.2-1.5g protein/kg body weight/day, with even higher intake for individuals with severe illness or injury, and (c) daily physical activity or exercise (resistance training, aerobic exercise) should be undertaken by all older people, for as long as possible.","author":[{"dropping-particle":"","family":"Deutz","given":"Nicolaas E.P.","non-dropping-particle":"","parse-names":false,"suffix":""},{"dropping-particle":"","family":"Bauer","given":"Jürgen M.","non-dropping-particle":"","parse-names":false,"suffix":""},{"dropping-particle":"","family":"Barazzoni","given":"Rocco","non-dropping-particle":"","parse-names":false,"suffix":""},{"dropping-particle":"","family":"Biolo","given":"Gianni","non-dropping-particle":"","parse-names":false,"suffix":""},{"dropping-particle":"","family":"Boirie","given":"Yves","non-dropping-particle":"","parse-names":false,"suffix":""},{"dropping-particle":"","family":"Bosy-Westphal","given":"Anja","non-dropping-particle":"","parse-names":false,"suffix":""},{"dropping-particle":"","family":"Cederholm","given":"Tommy","non-dropping-particle":"","parse-names":false,"suffix":""},{"dropping-particle":"","family":"Cruz-Jentoft","given":"Alfonso","non-dropping-particle":"","parse-names":false,"suffix":""},{"dropping-particle":"","family":"Krznariç","given":"Zeljko","non-dropping-particle":"","parse-names":false,"suffix":""},{"dropping-particle":"","family":"Nair","given":"K. Sreekumaran","non-dropping-particle":"","parse-names":false,"suffix":""},{"dropping-particle":"","family":"Singer","given":"Pierre","non-dropping-particle":"","parse-names":false,"suffix":""},{"dropping-particle":"","family":"Teta","given":"Daniel","non-dropping-particle":"","parse-names":false,"suffix":""},{"dropping-particle":"","family":"Tipton","given":"Kevin","non-dropping-particle":"","parse-names":false,"suffix":""},{"dropping-particle":"","family":"Calder","given":"Philip C.","non-dropping-particle":"","parse-names":false,"suffix":""}],"container-title":"Clinical Nutrition","id":"ITEM-1","issued":{"date-parts":[["2014"]]},"title":"Protein intake and exercise for optimal muscle function with aging: Recommendations from the ESPEN Expert Group","type":"article-journal"},"uris":["http://www.mendeley.com/documents/?uuid=73b791c1-3d5a-31ed-b150-70a06082da9b"]}],"mendeley":{"formattedCitation":"(88)","plainTextFormattedCitation":"(88)","previouslyFormattedCitation":"(88)"},"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(88)</w:t>
      </w:r>
      <w:r w:rsidRPr="00CA4ABC">
        <w:rPr>
          <w:rFonts w:cstheme="minorHAnsi"/>
          <w:color w:val="000000" w:themeColor="text1"/>
        </w:rPr>
        <w:fldChar w:fldCharType="end"/>
      </w:r>
      <w:r w:rsidRPr="00CA4ABC">
        <w:rPr>
          <w:rFonts w:cstheme="minorHAnsi"/>
          <w:color w:val="000000" w:themeColor="text1"/>
        </w:rPr>
        <w:t xml:space="preserve">, </w:t>
      </w:r>
      <w:r w:rsidR="009466D7" w:rsidRPr="00CA4ABC">
        <w:rPr>
          <w:rFonts w:cstheme="minorHAnsi"/>
          <w:color w:val="000000" w:themeColor="text1"/>
        </w:rPr>
        <w:t xml:space="preserve">so they could have clinical significance </w:t>
      </w:r>
      <w:r w:rsidR="000A4551" w:rsidRPr="00CA4ABC">
        <w:rPr>
          <w:rFonts w:cstheme="minorHAnsi"/>
          <w:color w:val="000000" w:themeColor="text1"/>
        </w:rPr>
        <w:t>for</w:t>
      </w:r>
      <w:r w:rsidR="009466D7" w:rsidRPr="00CA4ABC">
        <w:rPr>
          <w:rFonts w:cstheme="minorHAnsi"/>
          <w:color w:val="000000" w:themeColor="text1"/>
        </w:rPr>
        <w:t xml:space="preserve"> muscle loss. </w:t>
      </w:r>
      <w:r w:rsidRPr="00CA4ABC">
        <w:rPr>
          <w:rFonts w:cstheme="minorHAnsi"/>
          <w:color w:val="000000" w:themeColor="text1"/>
        </w:rPr>
        <w:t xml:space="preserve">Education resources may not be cost-effective if they are only helpful/necessary </w:t>
      </w:r>
      <w:r w:rsidR="009466D7" w:rsidRPr="00CA4ABC">
        <w:rPr>
          <w:rFonts w:cstheme="minorHAnsi"/>
          <w:color w:val="000000" w:themeColor="text1"/>
        </w:rPr>
        <w:t>for</w:t>
      </w:r>
      <w:r w:rsidRPr="00CA4ABC">
        <w:rPr>
          <w:rFonts w:cstheme="minorHAnsi"/>
          <w:color w:val="000000" w:themeColor="text1"/>
        </w:rPr>
        <w:t xml:space="preserve"> </w:t>
      </w:r>
      <w:r w:rsidR="009466D7" w:rsidRPr="00CA4ABC">
        <w:rPr>
          <w:rFonts w:cstheme="minorHAnsi"/>
          <w:color w:val="000000" w:themeColor="text1"/>
        </w:rPr>
        <w:t>a</w:t>
      </w:r>
      <w:r w:rsidRPr="00CA4ABC">
        <w:rPr>
          <w:rFonts w:cstheme="minorHAnsi"/>
          <w:color w:val="000000" w:themeColor="text1"/>
        </w:rPr>
        <w:t xml:space="preserve"> minority of the population. Notwithstanding, identifying low</w:t>
      </w:r>
      <w:r w:rsidR="009466D7" w:rsidRPr="00CA4ABC">
        <w:rPr>
          <w:rFonts w:cstheme="minorHAnsi"/>
          <w:color w:val="000000" w:themeColor="text1"/>
        </w:rPr>
        <w:t>-</w:t>
      </w:r>
      <w:r w:rsidRPr="00CA4ABC">
        <w:rPr>
          <w:rFonts w:cstheme="minorHAnsi"/>
          <w:color w:val="000000" w:themeColor="text1"/>
        </w:rPr>
        <w:t xml:space="preserve">knowledge individuals may be </w:t>
      </w:r>
      <w:r w:rsidR="00F6623B">
        <w:rPr>
          <w:rFonts w:cstheme="minorHAnsi"/>
          <w:color w:val="000000" w:themeColor="text1"/>
        </w:rPr>
        <w:t>needed</w:t>
      </w:r>
      <w:r w:rsidRPr="00CA4ABC">
        <w:rPr>
          <w:rFonts w:cstheme="minorHAnsi"/>
          <w:color w:val="000000" w:themeColor="text1"/>
        </w:rPr>
        <w:t xml:space="preserve"> if they are also likely to be lower protein consumers, and they could be targeted in future intervention trials. </w:t>
      </w:r>
      <w:r w:rsidR="00F6623B">
        <w:rPr>
          <w:rFonts w:cstheme="minorHAnsi"/>
          <w:color w:val="000000" w:themeColor="text1"/>
        </w:rPr>
        <w:t>A validated tool for this would be required to identify those with low knowledge</w:t>
      </w:r>
      <w:r w:rsidRPr="00CA4ABC">
        <w:rPr>
          <w:rFonts w:cstheme="minorHAnsi"/>
          <w:color w:val="000000" w:themeColor="text1"/>
        </w:rPr>
        <w:t>.</w:t>
      </w:r>
    </w:p>
    <w:p w14:paraId="706CE8B1" w14:textId="77777777" w:rsidR="004C12CF" w:rsidRPr="00CA4ABC" w:rsidRDefault="004C12CF" w:rsidP="004053D7">
      <w:pPr>
        <w:spacing w:line="360" w:lineRule="auto"/>
        <w:rPr>
          <w:rFonts w:cstheme="minorHAnsi"/>
          <w:color w:val="000000" w:themeColor="text1"/>
        </w:rPr>
      </w:pPr>
    </w:p>
    <w:p w14:paraId="1D27C2E4" w14:textId="7A59DCEC" w:rsidR="004C12CF" w:rsidRPr="00CA4ABC" w:rsidRDefault="002111C9" w:rsidP="004053D7">
      <w:pPr>
        <w:spacing w:line="360" w:lineRule="auto"/>
        <w:rPr>
          <w:rFonts w:cstheme="minorHAnsi"/>
          <w:color w:val="000000" w:themeColor="text1"/>
        </w:rPr>
      </w:pPr>
      <w:r w:rsidRPr="00CA4ABC">
        <w:rPr>
          <w:rFonts w:cstheme="minorHAnsi"/>
          <w:color w:val="000000" w:themeColor="text1"/>
        </w:rPr>
        <w:t xml:space="preserve">Based on evidence that </w:t>
      </w:r>
      <w:r w:rsidR="004C12CF" w:rsidRPr="00CA4ABC">
        <w:rPr>
          <w:rFonts w:cstheme="minorHAnsi"/>
          <w:color w:val="000000" w:themeColor="text1"/>
        </w:rPr>
        <w:t xml:space="preserve">education </w:t>
      </w:r>
      <w:r w:rsidRPr="00CA4ABC">
        <w:rPr>
          <w:rFonts w:cstheme="minorHAnsi"/>
          <w:color w:val="000000" w:themeColor="text1"/>
        </w:rPr>
        <w:t>would not be the best</w:t>
      </w:r>
      <w:r w:rsidR="004C12CF" w:rsidRPr="00CA4ABC">
        <w:rPr>
          <w:rFonts w:cstheme="minorHAnsi"/>
          <w:color w:val="000000" w:themeColor="text1"/>
        </w:rPr>
        <w:t xml:space="preserve"> strategy to address protein intake inadequacies, exploring alternative mea</w:t>
      </w:r>
      <w:r w:rsidR="003112F4" w:rsidRPr="00CA4ABC">
        <w:rPr>
          <w:rFonts w:cstheme="minorHAnsi"/>
          <w:color w:val="000000" w:themeColor="text1"/>
        </w:rPr>
        <w:t>ns</w:t>
      </w:r>
      <w:r w:rsidR="004C12CF" w:rsidRPr="00CA4ABC">
        <w:rPr>
          <w:rFonts w:cstheme="minorHAnsi"/>
          <w:color w:val="000000" w:themeColor="text1"/>
        </w:rPr>
        <w:t xml:space="preserve"> is warranted. </w:t>
      </w:r>
      <w:r w:rsidR="003112F4" w:rsidRPr="00CA4ABC">
        <w:rPr>
          <w:rFonts w:cstheme="minorHAnsi"/>
          <w:color w:val="000000" w:themeColor="text1"/>
        </w:rPr>
        <w:t>U</w:t>
      </w:r>
      <w:r w:rsidR="004C12CF" w:rsidRPr="00CA4ABC">
        <w:rPr>
          <w:rFonts w:cstheme="minorHAnsi"/>
          <w:color w:val="000000" w:themeColor="text1"/>
        </w:rPr>
        <w:t>nderstand</w:t>
      </w:r>
      <w:r w:rsidR="003112F4" w:rsidRPr="00CA4ABC">
        <w:rPr>
          <w:rFonts w:cstheme="minorHAnsi"/>
          <w:color w:val="000000" w:themeColor="text1"/>
        </w:rPr>
        <w:t>ing</w:t>
      </w:r>
      <w:r w:rsidR="004C12CF" w:rsidRPr="00CA4ABC">
        <w:rPr>
          <w:rFonts w:cstheme="minorHAnsi"/>
          <w:color w:val="000000" w:themeColor="text1"/>
        </w:rPr>
        <w:t xml:space="preserve"> determinants that influence protein intake and devis</w:t>
      </w:r>
      <w:r w:rsidR="003112F4" w:rsidRPr="00CA4ABC">
        <w:rPr>
          <w:rFonts w:cstheme="minorHAnsi"/>
          <w:color w:val="000000" w:themeColor="text1"/>
        </w:rPr>
        <w:t>ing</w:t>
      </w:r>
      <w:r w:rsidR="004C12CF" w:rsidRPr="00CA4ABC">
        <w:rPr>
          <w:rFonts w:cstheme="minorHAnsi"/>
          <w:color w:val="000000" w:themeColor="text1"/>
        </w:rPr>
        <w:t xml:space="preserve"> strategies</w:t>
      </w:r>
      <w:r w:rsidR="003112F4" w:rsidRPr="00CA4ABC">
        <w:rPr>
          <w:rFonts w:cstheme="minorHAnsi"/>
          <w:color w:val="000000" w:themeColor="text1"/>
        </w:rPr>
        <w:t xml:space="preserve"> that work in</w:t>
      </w:r>
      <w:r w:rsidR="004C12CF" w:rsidRPr="00CA4ABC">
        <w:rPr>
          <w:rFonts w:cstheme="minorHAnsi"/>
          <w:color w:val="000000" w:themeColor="text1"/>
        </w:rPr>
        <w:t xml:space="preserve"> accordance wi</w:t>
      </w:r>
      <w:r w:rsidR="003112F4" w:rsidRPr="00CA4ABC">
        <w:rPr>
          <w:rFonts w:cstheme="minorHAnsi"/>
          <w:color w:val="000000" w:themeColor="text1"/>
        </w:rPr>
        <w:t>th them is likely to be more effective</w:t>
      </w:r>
      <w:r w:rsidR="004C12CF" w:rsidRPr="00CA4ABC">
        <w:rPr>
          <w:rFonts w:cstheme="minorHAnsi"/>
          <w:color w:val="000000" w:themeColor="text1"/>
        </w:rPr>
        <w:t>.  The regression analysis revealed several components which were associated with lower protein intakes. Exploring these further will provide insights into solutions to increase protein in potentially at</w:t>
      </w:r>
      <w:r w:rsidR="009466D7" w:rsidRPr="00CA4ABC">
        <w:rPr>
          <w:rFonts w:cstheme="minorHAnsi"/>
          <w:color w:val="000000" w:themeColor="text1"/>
        </w:rPr>
        <w:t>-</w:t>
      </w:r>
      <w:r w:rsidR="004C12CF" w:rsidRPr="00CA4ABC">
        <w:rPr>
          <w:rFonts w:cstheme="minorHAnsi"/>
          <w:color w:val="000000" w:themeColor="text1"/>
        </w:rPr>
        <w:t>risk cohorts.</w:t>
      </w:r>
    </w:p>
    <w:p w14:paraId="196C7095" w14:textId="77777777" w:rsidR="004C12CF" w:rsidRPr="00CA4ABC" w:rsidRDefault="004C12CF" w:rsidP="004053D7">
      <w:pPr>
        <w:spacing w:line="360" w:lineRule="auto"/>
        <w:rPr>
          <w:rFonts w:cstheme="minorHAnsi"/>
          <w:color w:val="000000" w:themeColor="text1"/>
          <w:highlight w:val="green"/>
        </w:rPr>
      </w:pPr>
    </w:p>
    <w:p w14:paraId="7027D01B" w14:textId="1B9D587B" w:rsidR="004C12CF" w:rsidRPr="00CA4ABC" w:rsidRDefault="004C12CF" w:rsidP="004053D7">
      <w:pPr>
        <w:pStyle w:val="Heading3"/>
        <w:spacing w:line="360" w:lineRule="auto"/>
        <w:rPr>
          <w:rFonts w:asciiTheme="minorHAnsi" w:hAnsiTheme="minorHAnsi" w:cstheme="minorHAnsi"/>
          <w:color w:val="000000" w:themeColor="text1"/>
        </w:rPr>
      </w:pPr>
      <w:bookmarkStart w:id="186" w:name="_Toc135384322"/>
      <w:r w:rsidRPr="00CA4ABC">
        <w:rPr>
          <w:rFonts w:asciiTheme="minorHAnsi" w:hAnsiTheme="minorHAnsi" w:cstheme="minorHAnsi"/>
          <w:color w:val="000000" w:themeColor="text1"/>
        </w:rPr>
        <w:t>4.4.2 Age and protein intakes</w:t>
      </w:r>
      <w:bookmarkEnd w:id="186"/>
    </w:p>
    <w:p w14:paraId="2E72FB3B" w14:textId="2769DD52" w:rsidR="00614348" w:rsidRDefault="004C12CF" w:rsidP="00615283">
      <w:pPr>
        <w:spacing w:line="360" w:lineRule="auto"/>
        <w:ind w:firstLine="720"/>
        <w:rPr>
          <w:rFonts w:cstheme="minorHAnsi"/>
          <w:color w:val="000000" w:themeColor="text1"/>
        </w:rPr>
      </w:pPr>
      <w:r w:rsidRPr="00CA4ABC">
        <w:rPr>
          <w:rFonts w:cstheme="minorHAnsi"/>
          <w:color w:val="000000" w:themeColor="text1"/>
        </w:rPr>
        <w:t xml:space="preserve">Along with influencing protein knowledge scores, </w:t>
      </w:r>
      <w:r w:rsidR="00614348">
        <w:rPr>
          <w:rFonts w:cstheme="minorHAnsi"/>
          <w:color w:val="000000" w:themeColor="text1"/>
        </w:rPr>
        <w:t>a</w:t>
      </w:r>
      <w:r w:rsidRPr="00CA4ABC">
        <w:rPr>
          <w:rFonts w:cstheme="minorHAnsi"/>
          <w:color w:val="000000" w:themeColor="text1"/>
        </w:rPr>
        <w:t xml:space="preserve"> correlation between age and protein </w:t>
      </w:r>
      <w:r w:rsidR="00106C25" w:rsidRPr="00CA4ABC">
        <w:rPr>
          <w:rFonts w:cstheme="minorHAnsi"/>
          <w:color w:val="000000" w:themeColor="text1"/>
        </w:rPr>
        <w:t>intake</w:t>
      </w:r>
      <w:r w:rsidR="00614348">
        <w:rPr>
          <w:rFonts w:cstheme="minorHAnsi"/>
          <w:color w:val="000000" w:themeColor="text1"/>
        </w:rPr>
        <w:t>s emerged</w:t>
      </w:r>
      <w:r w:rsidRPr="00CA4ABC">
        <w:rPr>
          <w:rFonts w:cstheme="minorHAnsi"/>
          <w:color w:val="000000" w:themeColor="text1"/>
        </w:rPr>
        <w:t xml:space="preserve">. Similar findings </w:t>
      </w:r>
      <w:r w:rsidR="00614348">
        <w:rPr>
          <w:rFonts w:cstheme="minorHAnsi"/>
          <w:color w:val="000000" w:themeColor="text1"/>
        </w:rPr>
        <w:t xml:space="preserve">were </w:t>
      </w:r>
      <w:r w:rsidR="00EA473B" w:rsidRPr="00CA4ABC">
        <w:rPr>
          <w:rFonts w:cstheme="minorHAnsi"/>
          <w:color w:val="000000" w:themeColor="text1"/>
        </w:rPr>
        <w:t xml:space="preserve">reported </w:t>
      </w:r>
      <w:r w:rsidRPr="00CA4ABC">
        <w:rPr>
          <w:rFonts w:cstheme="minorHAnsi"/>
          <w:color w:val="000000" w:themeColor="text1"/>
        </w:rPr>
        <w:t>by Smeuninx et al</w:t>
      </w:r>
      <w:r w:rsidR="0080476E"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{"citationItems":[{"id":"ITEM-1","itemData":{"DOI":"10.3389/FNUT.2020.00025","ISSN":"2296861X","PMID":"32232047","abstract":"Objectives: Sub-optimal dietary protein consumption may partially underlie the age-related loss of muscle mass and function (sarcopenia). Specifically, dose, timing, source and distribution of dietary protein across the day might influence muscle anabolism in individuals from across the lifespan. Design: The present study aimed to assess daily and meal-specific protein intake, protein source and protein intake pattern in 40 young (23.8 ± 4.3 years), 40 middle-aged (51.6 ± 4.1 years), and 40 old (77.4 ± 7.4 years) individuals using 3-day weighed food diaries. Results: Old individuals consumed on average 83.4 ± 24.6 g of daily protein, which was significantly lower compared with young but not middle-aged individuals who consumed, respectively, 105.1 ± 43.0 g and 97.0 ± 31.1 g of daily protein (P = 0.013). No significant difference in daily protein intake was found with middle-aged individuals. Dietary protein intake pattern was uneven across meals for all groups (P &lt; 0.001 for all). Sources of protein consumption were similar between groups except at lunch where old individuals ingested lower quality proteins compared with middle aged and young individuals. Conclusion: Although total daily protein intake was sufficient in the majority of participants, per-meal protein intake and protein distribution contend the current knowledge regarding optimal protein intakes. Increasing protein intake, especially at breakfast and lunch, could mitigate age-related muscle loss.","author":[{"dropping-particle":"","family":"Smeuninx","given":"Benoit","non-dropping-particle":"","parse-names":false,"suffix":""},{"dropping-particle":"","family":"Greig","given":"Carolyn A.","non-dropping-particle":"","parse-names":false,"suffix":""},{"dropping-particle":"","family":"Breen","given":"Leigh","non-dropping-particle":"","parse-names":false,"suffix":""}],"container-title":"Frontiers in Nutrition","id":"ITEM-1","issued":{"date-parts":[["2020","3","16"]]},"page":"25","publisher":"Frontiers Media SA","title":"Amount, Source and Pattern of Dietary Protein Intake Across the Adult Lifespan: A Cross-Sectional Study","type":"article-journal","volume":"7"},"uris":["http://www.mendeley.com/documents/?uuid=9f522bb4-cec2-3d25-bb5e-6fbc1d8f7b66"]}],"mendeley":{"formattedCitation":"(242)","plainTextFormattedCitation":"(242)","previouslyFormattedCitation":"(242)"},"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(242)</w:t>
      </w:r>
      <w:r w:rsidRPr="00CA4ABC">
        <w:rPr>
          <w:rFonts w:cstheme="minorHAnsi"/>
          <w:color w:val="000000" w:themeColor="text1"/>
        </w:rPr>
        <w:fldChar w:fldCharType="end"/>
      </w:r>
      <w:r w:rsidR="00CC4210" w:rsidRPr="00CA4ABC">
        <w:rPr>
          <w:rFonts w:cstheme="minorHAnsi"/>
          <w:color w:val="000000" w:themeColor="text1"/>
        </w:rPr>
        <w:t xml:space="preserve"> </w:t>
      </w:r>
      <w:r w:rsidR="0080476E" w:rsidRPr="00CA4ABC">
        <w:rPr>
          <w:rFonts w:cstheme="minorHAnsi"/>
          <w:color w:val="000000" w:themeColor="text1"/>
        </w:rPr>
        <w:t>using</w:t>
      </w:r>
      <w:r w:rsidRPr="00CA4ABC">
        <w:rPr>
          <w:rFonts w:cstheme="minorHAnsi"/>
          <w:color w:val="000000" w:themeColor="text1"/>
        </w:rPr>
        <w:t xml:space="preserve"> cross-sectional analysis of </w:t>
      </w:r>
      <w:r w:rsidR="00F6623B">
        <w:rPr>
          <w:rFonts w:cstheme="minorHAnsi"/>
          <w:color w:val="000000" w:themeColor="text1"/>
        </w:rPr>
        <w:t>3-day</w:t>
      </w:r>
      <w:r w:rsidR="0080476E" w:rsidRPr="00CA4ABC">
        <w:rPr>
          <w:rFonts w:cstheme="minorHAnsi"/>
          <w:color w:val="000000" w:themeColor="text1"/>
        </w:rPr>
        <w:t xml:space="preserve"> food diaries to measure </w:t>
      </w:r>
      <w:r w:rsidRPr="00CA4ABC">
        <w:rPr>
          <w:rFonts w:cstheme="minorHAnsi"/>
          <w:color w:val="000000" w:themeColor="text1"/>
        </w:rPr>
        <w:t>daily and meal-specific protein intakes</w:t>
      </w:r>
      <w:r w:rsidR="0080476E" w:rsidRPr="00CA4ABC">
        <w:rPr>
          <w:rFonts w:cstheme="minorHAnsi"/>
          <w:color w:val="000000" w:themeColor="text1"/>
        </w:rPr>
        <w:t>,</w:t>
      </w:r>
      <w:r w:rsidR="00CC4210" w:rsidRPr="00CA4ABC">
        <w:rPr>
          <w:rFonts w:cstheme="minorHAnsi"/>
          <w:color w:val="000000" w:themeColor="text1"/>
        </w:rPr>
        <w:t xml:space="preserve"> revealed that </w:t>
      </w:r>
      <w:r w:rsidRPr="00CA4ABC">
        <w:rPr>
          <w:rFonts w:cstheme="minorHAnsi"/>
          <w:color w:val="000000" w:themeColor="text1"/>
          <w:shd w:val="clear" w:color="auto" w:fill="FFFFFF"/>
        </w:rPr>
        <w:t>older adults</w:t>
      </w:r>
      <w:r w:rsidR="00CC4210" w:rsidRPr="00CA4ABC">
        <w:rPr>
          <w:rFonts w:cstheme="minorHAnsi"/>
          <w:color w:val="000000" w:themeColor="text1"/>
          <w:shd w:val="clear" w:color="auto" w:fill="FFFFFF"/>
        </w:rPr>
        <w:t xml:space="preserve"> (n=40)</w:t>
      </w:r>
      <w:r w:rsidRPr="00CA4ABC">
        <w:rPr>
          <w:rFonts w:cstheme="minorHAnsi"/>
          <w:color w:val="000000" w:themeColor="text1"/>
          <w:shd w:val="clear" w:color="auto" w:fill="FFFFFF"/>
        </w:rPr>
        <w:t xml:space="preserve"> (average age: </w:t>
      </w:r>
      <w:r w:rsidRPr="00CA4ABC">
        <w:rPr>
          <w:rFonts w:cstheme="minorHAnsi"/>
          <w:color w:val="000000" w:themeColor="text1"/>
        </w:rPr>
        <w:t>77.4 ± 7.4 years)</w:t>
      </w:r>
      <w:r w:rsidRPr="00CA4ABC">
        <w:rPr>
          <w:rFonts w:cstheme="minorHAnsi"/>
          <w:color w:val="000000" w:themeColor="text1"/>
          <w:shd w:val="clear" w:color="auto" w:fill="FFFFFF"/>
        </w:rPr>
        <w:t xml:space="preserve"> consumed </w:t>
      </w:r>
      <w:r w:rsidRPr="00CA4ABC">
        <w:rPr>
          <w:rFonts w:cstheme="minorHAnsi"/>
          <w:color w:val="000000" w:themeColor="text1"/>
          <w:shd w:val="clear" w:color="auto" w:fill="FFFFFF"/>
        </w:rPr>
        <w:lastRenderedPageBreak/>
        <w:t xml:space="preserve">significantly lower amounts of protein </w:t>
      </w:r>
      <w:r w:rsidR="0080476E"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83.4 ± 24.6 g </w:t>
      </w:r>
      <w:r w:rsidR="004E7CDC" w:rsidRPr="00CA4ABC">
        <w:rPr>
          <w:rFonts w:cstheme="minorHAnsi"/>
          <w:color w:val="000000" w:themeColor="text1"/>
          <w:shd w:val="clear" w:color="auto" w:fill="FFFFFF"/>
        </w:rPr>
        <w:t>daily</w:t>
      </w:r>
      <w:r w:rsidR="0080476E"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compared with young</w:t>
      </w:r>
      <w:r w:rsidR="00CC4210"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t>(</w:t>
      </w:r>
      <w:r w:rsidRPr="00CA4ABC">
        <w:rPr>
          <w:rFonts w:cstheme="minorHAnsi"/>
          <w:color w:val="000000" w:themeColor="text1"/>
        </w:rPr>
        <w:t>23.8 ± 4.3 years</w:t>
      </w:r>
      <w:r w:rsidR="0080476E" w:rsidRPr="00CA4ABC">
        <w:rPr>
          <w:rFonts w:cstheme="minorHAnsi"/>
          <w:color w:val="000000" w:themeColor="text1"/>
        </w:rPr>
        <w:t>, n=40</w:t>
      </w:r>
      <w:r w:rsidRPr="00CA4ABC">
        <w:rPr>
          <w:rFonts w:cstheme="minorHAnsi"/>
          <w:color w:val="000000" w:themeColor="text1"/>
        </w:rPr>
        <w:t>)</w:t>
      </w:r>
      <w:r w:rsidRPr="00CA4ABC">
        <w:rPr>
          <w:rFonts w:cstheme="minorHAnsi"/>
          <w:color w:val="000000" w:themeColor="text1"/>
          <w:shd w:val="clear" w:color="auto" w:fill="FFFFFF"/>
        </w:rPr>
        <w:t xml:space="preserve"> but not middle-aged</w:t>
      </w:r>
      <w:r w:rsidR="00CC4210"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t>(</w:t>
      </w:r>
      <w:r w:rsidRPr="00CA4ABC">
        <w:rPr>
          <w:rFonts w:cstheme="minorHAnsi"/>
          <w:color w:val="000000" w:themeColor="text1"/>
        </w:rPr>
        <w:t>51.6 ± 4.1 years</w:t>
      </w:r>
      <w:r w:rsidR="0080476E" w:rsidRPr="00CA4ABC">
        <w:rPr>
          <w:rFonts w:cstheme="minorHAnsi"/>
          <w:color w:val="000000" w:themeColor="text1"/>
        </w:rPr>
        <w:t>, n=40</w:t>
      </w:r>
      <w:r w:rsidRPr="00CA4ABC">
        <w:rPr>
          <w:rFonts w:cstheme="minorHAnsi"/>
          <w:color w:val="000000" w:themeColor="text1"/>
        </w:rPr>
        <w:t>)</w:t>
      </w:r>
      <w:r w:rsidRPr="00CA4ABC">
        <w:rPr>
          <w:rFonts w:cstheme="minorHAnsi"/>
          <w:color w:val="000000" w:themeColor="text1"/>
          <w:shd w:val="clear" w:color="auto" w:fill="FFFFFF"/>
        </w:rPr>
        <w:t xml:space="preserve"> individuals who consumed 105.1 ± 43.0 g and 97.0 ± 31.1 g of daily protein</w:t>
      </w:r>
      <w:r w:rsidR="00CC4210" w:rsidRPr="00CA4ABC">
        <w:rPr>
          <w:rFonts w:cstheme="minorHAnsi"/>
          <w:color w:val="000000" w:themeColor="text1"/>
          <w:shd w:val="clear" w:color="auto" w:fill="FFFFFF"/>
        </w:rPr>
        <w:t xml:space="preserve">, </w:t>
      </w:r>
      <w:r w:rsidR="00724438" w:rsidRPr="00CA4ABC">
        <w:rPr>
          <w:rFonts w:cstheme="minorHAnsi"/>
          <w:color w:val="000000" w:themeColor="text1"/>
          <w:shd w:val="clear" w:color="auto" w:fill="FFFFFF"/>
        </w:rPr>
        <w:t>respectively</w:t>
      </w:r>
      <w:r w:rsidRPr="00CA4ABC">
        <w:rPr>
          <w:rFonts w:cstheme="minorHAnsi"/>
          <w:color w:val="000000" w:themeColor="text1"/>
        </w:rPr>
        <w:t>.</w:t>
      </w:r>
    </w:p>
    <w:p w14:paraId="0CE670DD" w14:textId="05D2CEA5" w:rsidR="00573C39" w:rsidRDefault="00614348" w:rsidP="00614348">
      <w:pPr>
        <w:spacing w:line="360" w:lineRule="auto"/>
        <w:rPr>
          <w:rFonts w:cstheme="minorHAnsi"/>
          <w:color w:val="000000" w:themeColor="text1"/>
        </w:rPr>
      </w:pPr>
      <w:r>
        <w:rPr>
          <w:rFonts w:cstheme="minorHAnsi"/>
          <w:color w:val="000000" w:themeColor="text1"/>
        </w:rPr>
        <w:t xml:space="preserve">This research is cross-sectional, however, so any differences observed in protein intakes may be secular rather than truly age-related. This means that it is not possible </w:t>
      </w:r>
      <w:r w:rsidR="00F63B10">
        <w:rPr>
          <w:rFonts w:cstheme="minorHAnsi"/>
          <w:color w:val="000000" w:themeColor="text1"/>
        </w:rPr>
        <w:t>to fully elucidate the impact of age on protein intake</w:t>
      </w:r>
      <w:r>
        <w:rPr>
          <w:rFonts w:cstheme="minorHAnsi"/>
          <w:color w:val="000000" w:themeColor="text1"/>
        </w:rPr>
        <w:t xml:space="preserve">. </w:t>
      </w:r>
      <w:r w:rsidR="00573C39">
        <w:rPr>
          <w:rFonts w:cstheme="minorHAnsi"/>
          <w:color w:val="000000" w:themeColor="text1"/>
        </w:rPr>
        <w:t xml:space="preserve">To </w:t>
      </w:r>
      <w:r>
        <w:rPr>
          <w:rFonts w:cstheme="minorHAnsi"/>
          <w:color w:val="000000" w:themeColor="text1"/>
        </w:rPr>
        <w:t xml:space="preserve">understand this better, longitudinal nutrition data should be used, whereby protein intakes in the same cohort are tracked over a long </w:t>
      </w:r>
      <w:r w:rsidR="00F63B10">
        <w:rPr>
          <w:rFonts w:cstheme="minorHAnsi"/>
          <w:color w:val="000000" w:themeColor="text1"/>
        </w:rPr>
        <w:t>period</w:t>
      </w:r>
      <w:r>
        <w:rPr>
          <w:rFonts w:cstheme="minorHAnsi"/>
          <w:color w:val="000000" w:themeColor="text1"/>
        </w:rPr>
        <w:t xml:space="preserve">. </w:t>
      </w:r>
      <w:r w:rsidR="00573C39">
        <w:rPr>
          <w:rFonts w:cstheme="minorHAnsi"/>
          <w:color w:val="000000" w:themeColor="text1"/>
        </w:rPr>
        <w:t xml:space="preserve">Even </w:t>
      </w:r>
      <w:r w:rsidR="00F63B10">
        <w:rPr>
          <w:rFonts w:cstheme="minorHAnsi"/>
          <w:color w:val="000000" w:themeColor="text1"/>
        </w:rPr>
        <w:t>rolling</w:t>
      </w:r>
      <w:r w:rsidR="00573C39">
        <w:rPr>
          <w:rFonts w:cstheme="minorHAnsi"/>
          <w:color w:val="000000" w:themeColor="text1"/>
        </w:rPr>
        <w:t xml:space="preserve"> data collection programmes such as the National Diet and Nutrition Survey</w:t>
      </w:r>
      <w:r w:rsidR="00F63B10">
        <w:rPr>
          <w:rFonts w:cstheme="minorHAnsi"/>
          <w:color w:val="000000" w:themeColor="text1"/>
        </w:rPr>
        <w:t xml:space="preserve"> </w:t>
      </w:r>
      <w:r w:rsidR="00F63B10">
        <w:rPr>
          <w:rFonts w:cstheme="minorHAnsi"/>
          <w:color w:val="000000" w:themeColor="text1"/>
        </w:rPr>
        <w:fldChar w:fldCharType="begin" w:fldLock="1"/>
      </w:r>
      <w:r w:rsidR="00821D82">
        <w:rPr>
          <w:rFonts w:cstheme="minorHAnsi"/>
          <w:color w:val="000000" w:themeColor="text1"/>
        </w:rPr>
        <w:instrText>ADDIN CSL_CITATION {"citationItems":[{"id":"ITEM-1","itemData":{"URL":"https://assets.publishing.service.gov.uk/government/uploads/system/uploads/attachment_data/file/699241/NDNS_results_years_7_and_8.pdf","author":[{"dropping-particle":"","family":"Public Health England","given":"","non-dropping-particle":"","parse-names":false,"suffix":""}],"container-title":"Public Health England","id":"ITEM-1","issued":{"date-parts":[["2018"]]},"page":"2-26","publisher-place":"London","title":"National Diet and Nutrition Survey. Results from years 7 and 8 (combined). London","type":"webpage"},"uris":["http://www.mendeley.com/documents/?uuid=681e32a2-4792-4d44-a653-df9cb4830044"]}],"mendeley":{"formattedCitation":"(241)","plainTextFormattedCitation":"(241)","previouslyFormattedCitation":"(241)"},"properties":{"noteIndex":0},"schema":"https://github.com/citation-style-language/schema/raw/master/csl-citation.json"}</w:instrText>
      </w:r>
      <w:r w:rsidR="00F63B10">
        <w:rPr>
          <w:rFonts w:cstheme="minorHAnsi"/>
          <w:color w:val="000000" w:themeColor="text1"/>
        </w:rPr>
        <w:fldChar w:fldCharType="separate"/>
      </w:r>
      <w:r w:rsidR="00FF0BCE" w:rsidRPr="00FF0BCE">
        <w:rPr>
          <w:rFonts w:cstheme="minorHAnsi"/>
          <w:noProof/>
          <w:color w:val="000000" w:themeColor="text1"/>
        </w:rPr>
        <w:t>(241)</w:t>
      </w:r>
      <w:r w:rsidR="00F63B10">
        <w:rPr>
          <w:rFonts w:cstheme="minorHAnsi"/>
          <w:color w:val="000000" w:themeColor="text1"/>
        </w:rPr>
        <w:fldChar w:fldCharType="end"/>
      </w:r>
      <w:r w:rsidR="00573C39">
        <w:rPr>
          <w:rFonts w:cstheme="minorHAnsi"/>
          <w:color w:val="000000" w:themeColor="text1"/>
        </w:rPr>
        <w:t xml:space="preserve"> are cross-sectional. </w:t>
      </w:r>
      <w:r w:rsidR="00F63B10">
        <w:rPr>
          <w:rFonts w:cstheme="minorHAnsi"/>
          <w:color w:val="000000" w:themeColor="text1"/>
        </w:rPr>
        <w:t>The</w:t>
      </w:r>
      <w:r w:rsidR="00573C39">
        <w:rPr>
          <w:rFonts w:cstheme="minorHAnsi"/>
          <w:color w:val="000000" w:themeColor="text1"/>
        </w:rPr>
        <w:t xml:space="preserve"> tracking of protein intakes in the same individuals to make comparisons </w:t>
      </w:r>
      <w:r w:rsidR="00F63B10">
        <w:rPr>
          <w:rFonts w:cstheme="minorHAnsi"/>
          <w:color w:val="000000" w:themeColor="text1"/>
        </w:rPr>
        <w:t>appears to be</w:t>
      </w:r>
      <w:r w:rsidR="00573C39">
        <w:rPr>
          <w:rFonts w:cstheme="minorHAnsi"/>
          <w:color w:val="000000" w:themeColor="text1"/>
        </w:rPr>
        <w:t xml:space="preserve"> lacking and</w:t>
      </w:r>
      <w:r w:rsidR="00F63B10">
        <w:rPr>
          <w:rFonts w:cstheme="minorHAnsi"/>
          <w:color w:val="000000" w:themeColor="text1"/>
        </w:rPr>
        <w:t xml:space="preserve"> as</w:t>
      </w:r>
      <w:r w:rsidR="00573C39">
        <w:rPr>
          <w:rFonts w:cstheme="minorHAnsi"/>
          <w:color w:val="000000" w:themeColor="text1"/>
        </w:rPr>
        <w:t xml:space="preserve"> such data would be of benefit to collect.</w:t>
      </w:r>
    </w:p>
    <w:p w14:paraId="42677CB1" w14:textId="2124E09D" w:rsidR="004C12CF" w:rsidRPr="00CA4ABC" w:rsidRDefault="00614348" w:rsidP="004721C1">
      <w:pPr>
        <w:spacing w:line="360" w:lineRule="auto"/>
        <w:rPr>
          <w:rFonts w:cstheme="minorHAnsi"/>
          <w:color w:val="000000" w:themeColor="text1"/>
        </w:rPr>
      </w:pPr>
      <w:r>
        <w:rPr>
          <w:rFonts w:cstheme="minorHAnsi"/>
          <w:color w:val="000000" w:themeColor="text1"/>
        </w:rPr>
        <w:t>Nevertheless, t</w:t>
      </w:r>
      <w:r w:rsidR="004C12CF" w:rsidRPr="00CA4ABC">
        <w:rPr>
          <w:rFonts w:cstheme="minorHAnsi"/>
          <w:color w:val="000000" w:themeColor="text1"/>
        </w:rPr>
        <w:t xml:space="preserve">argeting the older adult population to increase their protein intake may </w:t>
      </w:r>
      <w:r w:rsidR="00573C39">
        <w:rPr>
          <w:rFonts w:cstheme="minorHAnsi"/>
          <w:color w:val="000000" w:themeColor="text1"/>
        </w:rPr>
        <w:t xml:space="preserve">still </w:t>
      </w:r>
      <w:r w:rsidR="004C12CF" w:rsidRPr="00CA4ABC">
        <w:rPr>
          <w:rFonts w:cstheme="minorHAnsi"/>
          <w:color w:val="000000" w:themeColor="text1"/>
        </w:rPr>
        <w:t xml:space="preserve">be of benefit. </w:t>
      </w:r>
      <w:r w:rsidR="00F6623B">
        <w:rPr>
          <w:rFonts w:cstheme="minorHAnsi"/>
          <w:color w:val="000000" w:themeColor="text1"/>
        </w:rPr>
        <w:t>However, older adults are more likely to rely</w:t>
      </w:r>
      <w:r w:rsidR="004C12CF" w:rsidRPr="00CA4ABC">
        <w:rPr>
          <w:rFonts w:cstheme="minorHAnsi"/>
          <w:color w:val="000000" w:themeColor="text1"/>
        </w:rPr>
        <w:t xml:space="preserve"> on routines and </w:t>
      </w:r>
      <w:r w:rsidR="004C12CF" w:rsidRPr="00CA4ABC">
        <w:rPr>
          <w:rFonts w:cstheme="minorHAnsi"/>
          <w:color w:val="000000" w:themeColor="text1"/>
          <w:shd w:val="clear" w:color="auto" w:fill="FFFFFF"/>
        </w:rPr>
        <w:t xml:space="preserve">less likely to initiate behavioural changes </w:t>
      </w:r>
      <w:r w:rsidR="004C12CF"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{"citationItems":[{"id":"ITEM-1","itemData":{"author":[{"dropping-particle":"","family":"National Research Council (US) Committee on Aging Frontiers in Social\nPsychology","given":"Personality, and Adult Developmental Psychology","non-dropping-particle":"","parse-names":false,"suffix":""},{"dropping-particle":"","family":"Carstensen","given":"Laura L","non-dropping-particle":"","parse-names":false,"suffix":""},{"dropping-particle":"","family":"Hartel","given":"Christine R","non-dropping-particle":"","parse-names":false,"suffix":""}],"id":"ITEM-1","issued":{"date-parts":[["2006"]]},"publisher":"National Academies Press (US)","title":"Motivation and Behavioral Change","type":"article-journal"},"uris":["http://www.mendeley.com/documents/?uuid=462aebef-08dc-3d65-a31d-bd249d3329dc"]}],"mendeley":{"formattedCitation":"(243)","plainTextFormattedCitation":"(243)","previouslyFormattedCitation":"(243)"},"properties":{"noteIndex":0},"schema":"https://github.com/citation-style-language/schema/raw/master/csl-citation.json"}</w:instrText>
      </w:r>
      <w:r w:rsidR="004C12CF"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(243)</w:t>
      </w:r>
      <w:r w:rsidR="004C12CF" w:rsidRPr="00CA4ABC">
        <w:rPr>
          <w:rFonts w:cstheme="minorHAnsi"/>
          <w:color w:val="000000" w:themeColor="text1"/>
          <w:shd w:val="clear" w:color="auto" w:fill="FFFFFF"/>
        </w:rPr>
        <w:fldChar w:fldCharType="end"/>
      </w:r>
      <w:r w:rsidR="004C12CF" w:rsidRPr="00CA4ABC">
        <w:rPr>
          <w:rFonts w:cstheme="minorHAnsi"/>
          <w:color w:val="000000" w:themeColor="text1"/>
          <w:shd w:val="clear" w:color="auto" w:fill="FFFFFF"/>
        </w:rPr>
        <w:t xml:space="preserve">.  </w:t>
      </w:r>
      <w:r w:rsidR="004C12CF" w:rsidRPr="00CA4ABC">
        <w:rPr>
          <w:rFonts w:cstheme="minorHAnsi"/>
          <w:color w:val="000000" w:themeColor="text1"/>
        </w:rPr>
        <w:t>As such, if well-practi</w:t>
      </w:r>
      <w:r w:rsidR="004E7CDC" w:rsidRPr="00CA4ABC">
        <w:rPr>
          <w:rFonts w:cstheme="minorHAnsi"/>
          <w:color w:val="000000" w:themeColor="text1"/>
        </w:rPr>
        <w:t>s</w:t>
      </w:r>
      <w:r w:rsidR="004C12CF" w:rsidRPr="00CA4ABC">
        <w:rPr>
          <w:rFonts w:cstheme="minorHAnsi"/>
          <w:color w:val="000000" w:themeColor="text1"/>
        </w:rPr>
        <w:t xml:space="preserve">ed habits </w:t>
      </w:r>
      <w:r w:rsidR="00F6623B">
        <w:rPr>
          <w:rFonts w:cstheme="minorHAnsi"/>
          <w:color w:val="000000" w:themeColor="text1"/>
        </w:rPr>
        <w:t>linked</w:t>
      </w:r>
      <w:r w:rsidR="004C12CF" w:rsidRPr="00CA4ABC">
        <w:rPr>
          <w:rFonts w:cstheme="minorHAnsi"/>
          <w:color w:val="000000" w:themeColor="text1"/>
        </w:rPr>
        <w:t xml:space="preserve"> to protein intake are developed in middle</w:t>
      </w:r>
      <w:r w:rsidR="004E7CDC" w:rsidRPr="00CA4ABC">
        <w:rPr>
          <w:rFonts w:cstheme="minorHAnsi"/>
          <w:color w:val="000000" w:themeColor="text1"/>
        </w:rPr>
        <w:t xml:space="preserve"> </w:t>
      </w:r>
      <w:r w:rsidR="004C12CF" w:rsidRPr="00CA4ABC">
        <w:rPr>
          <w:rFonts w:cstheme="minorHAnsi"/>
          <w:color w:val="000000" w:themeColor="text1"/>
        </w:rPr>
        <w:t xml:space="preserve">age, these could be carried into later life. Moreover, </w:t>
      </w:r>
      <w:r w:rsidR="0080476E" w:rsidRPr="00CA4ABC">
        <w:rPr>
          <w:rFonts w:cstheme="minorHAnsi"/>
          <w:color w:val="000000" w:themeColor="text1"/>
        </w:rPr>
        <w:t>these</w:t>
      </w:r>
      <w:r w:rsidR="004C12CF" w:rsidRPr="00CA4ABC">
        <w:rPr>
          <w:rFonts w:cstheme="minorHAnsi"/>
          <w:color w:val="000000" w:themeColor="text1"/>
        </w:rPr>
        <w:t xml:space="preserve"> finding</w:t>
      </w:r>
      <w:r w:rsidR="001B3645" w:rsidRPr="00CA4ABC">
        <w:rPr>
          <w:rFonts w:cstheme="minorHAnsi"/>
          <w:color w:val="000000" w:themeColor="text1"/>
        </w:rPr>
        <w:t>s</w:t>
      </w:r>
      <w:r w:rsidR="004C12CF" w:rsidRPr="00CA4ABC">
        <w:rPr>
          <w:rFonts w:cstheme="minorHAnsi"/>
          <w:color w:val="000000" w:themeColor="text1"/>
        </w:rPr>
        <w:t xml:space="preserve"> suggest that</w:t>
      </w:r>
      <w:r w:rsidR="00724438" w:rsidRPr="00CA4ABC">
        <w:rPr>
          <w:rFonts w:cstheme="minorHAnsi"/>
          <w:color w:val="000000" w:themeColor="text1"/>
        </w:rPr>
        <w:t xml:space="preserve"> protein</w:t>
      </w:r>
      <w:r w:rsidR="004C12CF" w:rsidRPr="00CA4ABC">
        <w:rPr>
          <w:rFonts w:cstheme="minorHAnsi"/>
          <w:color w:val="000000" w:themeColor="text1"/>
        </w:rPr>
        <w:t xml:space="preserve"> intakes start to decline as early as middle-aged</w:t>
      </w:r>
      <w:r w:rsidR="00615283">
        <w:rPr>
          <w:rFonts w:cstheme="minorHAnsi"/>
          <w:color w:val="000000" w:themeColor="text1"/>
        </w:rPr>
        <w:t>, and addressing</w:t>
      </w:r>
      <w:r w:rsidR="004C12CF" w:rsidRPr="00CA4ABC">
        <w:rPr>
          <w:rFonts w:cstheme="minorHAnsi"/>
          <w:color w:val="000000" w:themeColor="text1"/>
        </w:rPr>
        <w:t xml:space="preserve"> this sooner rather than later could be </w:t>
      </w:r>
      <w:r w:rsidR="004E7CDC" w:rsidRPr="00CA4ABC">
        <w:rPr>
          <w:rFonts w:cstheme="minorHAnsi"/>
          <w:color w:val="000000" w:themeColor="text1"/>
        </w:rPr>
        <w:t>beneficial</w:t>
      </w:r>
      <w:r w:rsidR="004C12CF" w:rsidRPr="00CA4ABC">
        <w:rPr>
          <w:rFonts w:cstheme="minorHAnsi"/>
          <w:color w:val="000000" w:themeColor="text1"/>
        </w:rPr>
        <w:t xml:space="preserve">. Notwithstanding, </w:t>
      </w:r>
      <w:r w:rsidR="004E7CDC" w:rsidRPr="00CA4ABC">
        <w:rPr>
          <w:rFonts w:cstheme="minorHAnsi"/>
          <w:color w:val="000000" w:themeColor="text1"/>
        </w:rPr>
        <w:t>many factors</w:t>
      </w:r>
      <w:r w:rsidR="004C12CF" w:rsidRPr="00CA4ABC">
        <w:rPr>
          <w:rFonts w:cstheme="minorHAnsi"/>
          <w:color w:val="000000" w:themeColor="text1"/>
        </w:rPr>
        <w:t xml:space="preserve"> </w:t>
      </w:r>
      <w:r w:rsidR="007D0EBB" w:rsidRPr="00CA4ABC">
        <w:rPr>
          <w:rFonts w:cstheme="minorHAnsi"/>
          <w:color w:val="000000" w:themeColor="text1"/>
        </w:rPr>
        <w:t>determine</w:t>
      </w:r>
      <w:r w:rsidR="004C12CF" w:rsidRPr="00CA4ABC">
        <w:rPr>
          <w:rFonts w:cstheme="minorHAnsi"/>
          <w:color w:val="000000" w:themeColor="text1"/>
        </w:rPr>
        <w:t xml:space="preserve"> diet</w:t>
      </w:r>
      <w:r w:rsidR="007D0EBB" w:rsidRPr="00CA4ABC">
        <w:rPr>
          <w:rFonts w:cstheme="minorHAnsi"/>
          <w:color w:val="000000" w:themeColor="text1"/>
        </w:rPr>
        <w:t xml:space="preserve"> habits</w:t>
      </w:r>
      <w:r w:rsidR="004C12CF" w:rsidRPr="00CA4ABC">
        <w:rPr>
          <w:rFonts w:cstheme="minorHAnsi"/>
          <w:color w:val="000000" w:themeColor="text1"/>
        </w:rPr>
        <w:t xml:space="preserve">, as eluded to. </w:t>
      </w:r>
      <w:r w:rsidR="0080476E" w:rsidRPr="00CA4ABC">
        <w:rPr>
          <w:rFonts w:cstheme="minorHAnsi"/>
          <w:color w:val="000000" w:themeColor="text1"/>
        </w:rPr>
        <w:t>In older age</w:t>
      </w:r>
      <w:r w:rsidR="007D0EBB" w:rsidRPr="00CA4ABC">
        <w:rPr>
          <w:rFonts w:cstheme="minorHAnsi"/>
          <w:color w:val="000000" w:themeColor="text1"/>
        </w:rPr>
        <w:t>,</w:t>
      </w:r>
      <w:r w:rsidR="0080476E" w:rsidRPr="00CA4ABC">
        <w:rPr>
          <w:rFonts w:cstheme="minorHAnsi"/>
          <w:color w:val="000000" w:themeColor="text1"/>
        </w:rPr>
        <w:t xml:space="preserve"> </w:t>
      </w:r>
      <w:r w:rsidR="004C12CF" w:rsidRPr="00CA4ABC">
        <w:rPr>
          <w:rFonts w:cstheme="minorHAnsi"/>
          <w:color w:val="000000" w:themeColor="text1"/>
        </w:rPr>
        <w:t>additional circumstances</w:t>
      </w:r>
      <w:r w:rsidR="007D0EBB" w:rsidRPr="00CA4ABC">
        <w:rPr>
          <w:rFonts w:cstheme="minorHAnsi"/>
          <w:color w:val="000000" w:themeColor="text1"/>
        </w:rPr>
        <w:t xml:space="preserve"> can</w:t>
      </w:r>
      <w:r w:rsidR="0080476E" w:rsidRPr="00CA4ABC">
        <w:rPr>
          <w:rFonts w:cstheme="minorHAnsi"/>
          <w:color w:val="000000" w:themeColor="text1"/>
        </w:rPr>
        <w:t xml:space="preserve"> </w:t>
      </w:r>
      <w:r w:rsidR="007D0EBB" w:rsidRPr="00CA4ABC">
        <w:rPr>
          <w:rFonts w:cstheme="minorHAnsi"/>
          <w:color w:val="000000" w:themeColor="text1"/>
        </w:rPr>
        <w:t>influence</w:t>
      </w:r>
      <w:r w:rsidR="004C12CF" w:rsidRPr="00CA4ABC">
        <w:rPr>
          <w:rFonts w:cstheme="minorHAnsi"/>
          <w:color w:val="000000" w:themeColor="text1"/>
        </w:rPr>
        <w:t xml:space="preserve"> food </w:t>
      </w:r>
      <w:r w:rsidR="00952532" w:rsidRPr="00CA4ABC">
        <w:rPr>
          <w:rFonts w:cstheme="minorHAnsi"/>
          <w:color w:val="000000" w:themeColor="text1"/>
        </w:rPr>
        <w:t>intake</w:t>
      </w:r>
      <w:r w:rsidR="007D0EBB" w:rsidRPr="00CA4ABC">
        <w:rPr>
          <w:rFonts w:cstheme="minorHAnsi"/>
          <w:color w:val="000000" w:themeColor="text1"/>
        </w:rPr>
        <w:t>,</w:t>
      </w:r>
      <w:r w:rsidR="004C12CF" w:rsidRPr="00CA4ABC">
        <w:rPr>
          <w:rFonts w:cstheme="minorHAnsi"/>
          <w:color w:val="000000" w:themeColor="text1"/>
        </w:rPr>
        <w:t xml:space="preserve"> such as declining physical function, poor dentation and increase</w:t>
      </w:r>
      <w:r w:rsidR="00106C25" w:rsidRPr="00CA4ABC">
        <w:rPr>
          <w:rFonts w:cstheme="minorHAnsi"/>
          <w:color w:val="000000" w:themeColor="text1"/>
        </w:rPr>
        <w:t>d</w:t>
      </w:r>
      <w:r w:rsidR="004C12CF" w:rsidRPr="00CA4ABC">
        <w:rPr>
          <w:rFonts w:cstheme="minorHAnsi"/>
          <w:color w:val="000000" w:themeColor="text1"/>
        </w:rPr>
        <w:t xml:space="preserve"> social isolation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{"citationItems":[{"id":"ITEM-1","itemData":{"DOI":"10.3390/NU10040413","ISSN":"2072-6643","PMID":"29584644","abstract":"The United Kingdom, in common with many countries, has an ageing demographic. Changes accompanying ageing can influence food choice and dietary habits. This study explored older adults’ perceptions and practices related to dietary behaviour and the factors influencing their food choice in later life. Semi-structured focus-group discussions were conducted with 30 individuals (aged 63–90 years) in a UK city. An inductive thematic approach was adopted for data analysis, and 4 themes and 12 sub-themes emerged: age-related changes (lower appetite, food changes, declining physical function); food access (food cost, support with food, maintaining independence); on your own (cooking for one, eating alone, shopping for one); and relationship with food (food variety, eating what you want, dieting). These influenced participants’ food acquisition, food preparation and cooking, as well as eating habits. Living alone and its substantial influence, as well as associated social isolation and loneliness, were highlighted in many of the discussions. Given the possible implications for nutritional intake, further work is recommended in this area. Likewise, steps should be taken to improve food access, increase opportunities for commensal eating and, fundamentally, address social isolation and loneliness in the older population.","author":[{"dropping-particle":"","family":"Whitelock","given":"Emily","non-dropping-particle":"","parse-names":false,"suffix":""},{"dropping-particle":"","family":"Ensaff","given":"Hannah","non-dropping-particle":"","parse-names":false,"suffix":""}],"container-title":"Nutrients 2018, Vol. 10, Page 413","id":"ITEM-1","issue":"4","issued":{"date-parts":[["2018","3","27"]]},"page":"413","publisher":"Multidisciplinary Digital Publishing Institute","title":"On Your Own: Older Adults’ Food Choice and Dietary Habits","type":"article-journal","volume":"10"},"uris":["http://www.mendeley.com/documents/?uuid=347025ab-cb36-3df2-b11c-31df0dbb7cdd"]}],"mendeley":{"formattedCitation":"(244)","plainTextFormattedCitation":"(244)","previouslyFormattedCitation":"(244)"},"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(244)</w:t>
      </w:r>
      <w:r w:rsidR="004C12CF" w:rsidRPr="00CA4ABC">
        <w:rPr>
          <w:rFonts w:cstheme="minorHAnsi"/>
          <w:color w:val="000000" w:themeColor="text1"/>
        </w:rPr>
        <w:fldChar w:fldCharType="end"/>
      </w:r>
      <w:r w:rsidR="004C12CF" w:rsidRPr="00CA4ABC">
        <w:rPr>
          <w:rFonts w:cstheme="minorHAnsi"/>
          <w:color w:val="000000" w:themeColor="text1"/>
        </w:rPr>
        <w:t xml:space="preserve"> so consideration of these </w:t>
      </w:r>
      <w:r w:rsidR="00590319" w:rsidRPr="00CA4ABC">
        <w:rPr>
          <w:rFonts w:cstheme="minorHAnsi"/>
          <w:color w:val="000000" w:themeColor="text1"/>
        </w:rPr>
        <w:t>is</w:t>
      </w:r>
      <w:r w:rsidR="004C12CF" w:rsidRPr="00CA4ABC">
        <w:rPr>
          <w:rFonts w:cstheme="minorHAnsi"/>
          <w:color w:val="000000" w:themeColor="text1"/>
        </w:rPr>
        <w:t xml:space="preserve"> warranted. Supplementation could address some of these factors, particularly if the supplement w</w:t>
      </w:r>
      <w:r w:rsidR="007D0EBB" w:rsidRPr="00CA4ABC">
        <w:rPr>
          <w:rFonts w:cstheme="minorHAnsi"/>
          <w:color w:val="000000" w:themeColor="text1"/>
        </w:rPr>
        <w:t>as</w:t>
      </w:r>
      <w:r w:rsidR="004C12CF" w:rsidRPr="00CA4ABC">
        <w:rPr>
          <w:rFonts w:cstheme="minorHAnsi"/>
          <w:color w:val="000000" w:themeColor="text1"/>
        </w:rPr>
        <w:t xml:space="preserve"> carefully selected to be easy to take.</w:t>
      </w:r>
    </w:p>
    <w:p w14:paraId="172766E6" w14:textId="77777777" w:rsidR="004C12CF" w:rsidRPr="00CA4ABC" w:rsidRDefault="004C12CF" w:rsidP="004053D7">
      <w:pPr>
        <w:spacing w:line="360" w:lineRule="auto"/>
        <w:rPr>
          <w:rFonts w:cstheme="minorHAnsi"/>
          <w:color w:val="000000" w:themeColor="text1"/>
          <w:highlight w:val="green"/>
        </w:rPr>
      </w:pPr>
    </w:p>
    <w:p w14:paraId="5DA33BCD" w14:textId="5440AA66" w:rsidR="004C12CF" w:rsidRPr="00CA4ABC" w:rsidRDefault="004C12CF" w:rsidP="004053D7">
      <w:pPr>
        <w:pStyle w:val="Heading3"/>
        <w:spacing w:line="360" w:lineRule="auto"/>
        <w:rPr>
          <w:rFonts w:asciiTheme="minorHAnsi" w:hAnsiTheme="minorHAnsi" w:cstheme="minorHAnsi"/>
          <w:color w:val="000000" w:themeColor="text1"/>
        </w:rPr>
      </w:pPr>
      <w:bookmarkStart w:id="187" w:name="_Toc135384323"/>
      <w:r w:rsidRPr="00CA4ABC">
        <w:rPr>
          <w:rFonts w:asciiTheme="minorHAnsi" w:hAnsiTheme="minorHAnsi" w:cstheme="minorHAnsi"/>
          <w:color w:val="000000" w:themeColor="text1"/>
        </w:rPr>
        <w:t>4.4.3 BMI/Physical activity and protein intake</w:t>
      </w:r>
      <w:bookmarkEnd w:id="187"/>
    </w:p>
    <w:p w14:paraId="5A3A14CB" w14:textId="6229DDD2" w:rsidR="004C12CF" w:rsidRPr="00CA4ABC" w:rsidRDefault="0093345C" w:rsidP="00E8340C">
      <w:pPr>
        <w:spacing w:line="360" w:lineRule="auto"/>
        <w:ind w:firstLine="720"/>
        <w:rPr>
          <w:rFonts w:cstheme="minorHAnsi"/>
          <w:color w:val="000000" w:themeColor="text1"/>
          <w:highlight w:val="green"/>
        </w:rPr>
      </w:pPr>
      <w:r w:rsidRPr="00CA4ABC">
        <w:rPr>
          <w:rFonts w:cstheme="minorHAnsi"/>
          <w:color w:val="000000" w:themeColor="text1"/>
        </w:rPr>
        <w:t>A s</w:t>
      </w:r>
      <w:r w:rsidR="004C12CF" w:rsidRPr="00CA4ABC">
        <w:rPr>
          <w:rFonts w:cstheme="minorHAnsi"/>
          <w:color w:val="000000" w:themeColor="text1"/>
        </w:rPr>
        <w:t xml:space="preserve">edentary lifestyle </w:t>
      </w:r>
      <w:r w:rsidR="003112F4" w:rsidRPr="00CA4ABC">
        <w:rPr>
          <w:rFonts w:cstheme="minorHAnsi"/>
          <w:color w:val="000000" w:themeColor="text1"/>
        </w:rPr>
        <w:t>is</w:t>
      </w:r>
      <w:r w:rsidR="004C12CF" w:rsidRPr="00CA4ABC">
        <w:rPr>
          <w:rFonts w:cstheme="minorHAnsi"/>
          <w:color w:val="000000" w:themeColor="text1"/>
        </w:rPr>
        <w:t xml:space="preserve"> a risk factor for muscle loss</w:t>
      </w:r>
      <w:r w:rsidR="00C00CE0" w:rsidRPr="00CA4ABC">
        <w:rPr>
          <w:rFonts w:cstheme="minorHAnsi"/>
          <w:color w:val="000000" w:themeColor="text1"/>
        </w:rPr>
        <w:t xml:space="preserve"> </w:t>
      </w:r>
      <w:r w:rsidR="00C00CE0"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{"citationItems":[{"id":"ITEM-1","itemData":{"DOI":"10.3390/IJERPH17051708","ISSN":"16604601","PMID":"32151034","abstract":"The present study aimed to assess the association between sedentary behavior and sarcopenia among adults aged ≥65 years. Cross-sectional data from the Study on Global Ageing and Adult Health were analyzed. Sarcopenia was defined as having low skeletal muscle mass and either a slow gait speed or a weak handgrip strength. Self-reported sedentary behavior was assessed as a continuous variable (hours per day) and also as a categorical variable (0–&lt;4, 4–&lt;8, 8–&lt;11, ≥11 hours/day). Multivariable logistic regression was conducted to assess the association between sedentary behavior and sarcopenia. Analyses using the overall sample and country-wise samples were conducted. A total of 14,585 participants aged ≥65 years were included in the analysis. Their mean age was 72.6 (standard deviation, 11.5) years and 55% were females. Compared to sedentary behavior of 0–&lt;4 hours/day, ≥11hours/day was significantly associated with 2.14 (95% CI = 1.06– 4.33) times higher odds for sarcopenia. The country-wise analysis showed that overall, a one-hour increase in sedentary behavior per day was associated with 1.06 (95% CI = 1.04–1.10) times higher odds for sarcopenia, while the level of between-country heterogeneity was low (I2 = 12.9%). Public health and healthcare practitioners may wish to target reductions in sedentary behavior to aid in the prevention of sarcopenia in older adults.","author":[{"dropping-particle":"","family":"Smith","given":"Lee","non-dropping-particle":"","parse-names":false,"suffix":""},{"dropping-particle":"","family":"Tully","given":"Mark","non-dropping-particle":"","parse-names":false,"suffix":""},{"dropping-particle":"","family":"Jacob","given":"Louis","non-dropping-particle":"","parse-names":false,"suffix":""},{"dropping-particle":"","family":"Blackburn","given":"Nicole","non-dropping-particle":"","parse-names":false,"suffix":""},{"dropping-particle":"","family":"Adlakha","given":"Deepti","non-dropping-particle":"","parse-names":false,"suffix":""},{"dropping-particle":"","family":"Caserotti","given":"Paolo","non-dropping-particle":"","parse-names":false,"suffix":""},{"dropping-particle":"","family":"Soysal","given":"Pinar","non-dropping-particle":"","parse-names":false,"suffix":""},{"dropping-particle":"","family":"Veronese","given":"Nicola","non-dropping-particle":"","parse-names":false,"suffix":""},{"dropping-particle":"","family":"Sánchez","given":"Guillermo F.López","non-dropping-particle":"","parse-names":false,"suffix":""},{"dropping-particle":"","family":"Vancampfort","given":"Davy","non-dropping-particle":"","parse-names":false,"suffix":""},{"dropping-particle":"","family":"Koyanagi","given":"Ai","non-dropping-particle":"","parse-names":false,"suffix":""}],"container-title":"International Journal of Environmental Research and Public Health","id":"ITEM-1","issue":"5","issued":{"date-parts":[["2020","3","1"]]},"page":"1708","publisher":"Multidisciplinary Digital Publishing Institute  (MDPI)","title":"The Association Between Sedentary Behavior and Sarcopenia Among Adults Aged ≥65 Years in Low- and Middle-Income Countries","type":"article-journal","volume":"17"},"uris":["http://www.mendeley.com/documents/?uuid=c6af8d51-c7ca-342f-a57b-5a010b5c34df"]}],"mendeley":{"formattedCitation":"(245)","plainTextFormattedCitation":"(245)","previouslyFormattedCitation":"(245)"},"properties":{"noteIndex":0},"schema":"https://github.com/citation-style-language/schema/raw/master/csl-citation.json"}</w:instrText>
      </w:r>
      <w:r w:rsidR="00C00CE0" w:rsidRPr="00CA4ABC">
        <w:rPr>
          <w:rFonts w:cstheme="minorHAnsi"/>
          <w:color w:val="000000" w:themeColor="text1"/>
        </w:rPr>
        <w:fldChar w:fldCharType="separate"/>
      </w:r>
      <w:r w:rsidR="00FF0BCE" w:rsidRPr="00FF0BCE">
        <w:rPr>
          <w:rFonts w:cstheme="minorHAnsi"/>
          <w:noProof/>
          <w:color w:val="000000" w:themeColor="text1"/>
        </w:rPr>
        <w:t>(245)</w:t>
      </w:r>
      <w:r w:rsidR="00C00CE0" w:rsidRPr="00CA4ABC">
        <w:rPr>
          <w:rFonts w:cstheme="minorHAnsi"/>
          <w:color w:val="000000" w:themeColor="text1"/>
        </w:rPr>
        <w:fldChar w:fldCharType="end"/>
      </w:r>
      <w:r w:rsidR="004C12CF" w:rsidRPr="00CA4ABC">
        <w:rPr>
          <w:rFonts w:cstheme="minorHAnsi"/>
          <w:color w:val="000000" w:themeColor="text1"/>
        </w:rPr>
        <w:t xml:space="preserve">. This is particularly concerning when combined with the findings of this research </w:t>
      </w:r>
      <w:r w:rsidR="00D03297" w:rsidRPr="00CA4ABC">
        <w:rPr>
          <w:rFonts w:cstheme="minorHAnsi"/>
          <w:color w:val="000000" w:themeColor="text1"/>
        </w:rPr>
        <w:t>displaying</w:t>
      </w:r>
      <w:r w:rsidRPr="00CA4ABC">
        <w:rPr>
          <w:rFonts w:cstheme="minorHAnsi"/>
          <w:color w:val="000000" w:themeColor="text1"/>
        </w:rPr>
        <w:t xml:space="preserve"> an association</w:t>
      </w:r>
      <w:r w:rsidR="004C12CF" w:rsidRPr="00CA4ABC">
        <w:rPr>
          <w:rFonts w:cstheme="minorHAnsi"/>
          <w:color w:val="000000" w:themeColor="text1"/>
        </w:rPr>
        <w:t xml:space="preserve"> between those </w:t>
      </w:r>
      <w:r w:rsidR="00422654" w:rsidRPr="00CA4ABC">
        <w:rPr>
          <w:rFonts w:cstheme="minorHAnsi"/>
          <w:color w:val="000000" w:themeColor="text1"/>
        </w:rPr>
        <w:t>with</w:t>
      </w:r>
      <w:r w:rsidR="004C12CF" w:rsidRPr="00CA4ABC">
        <w:rPr>
          <w:rFonts w:cstheme="minorHAnsi"/>
          <w:color w:val="000000" w:themeColor="text1"/>
        </w:rPr>
        <w:t xml:space="preserve"> a lower PAL score and having lower protein intakes. Similar </w:t>
      </w:r>
      <w:r w:rsidR="00615283">
        <w:rPr>
          <w:rFonts w:cstheme="minorHAnsi"/>
          <w:color w:val="000000" w:themeColor="text1"/>
        </w:rPr>
        <w:t>results</w:t>
      </w:r>
      <w:r w:rsidR="004C12CF" w:rsidRPr="00CA4ABC">
        <w:rPr>
          <w:rFonts w:cstheme="minorHAnsi"/>
          <w:color w:val="000000" w:themeColor="text1"/>
        </w:rPr>
        <w:t xml:space="preserve"> have been documented by Aparicio-Ugarriza et al</w:t>
      </w:r>
      <w:r w:rsidR="00D87A59" w:rsidRPr="00CA4ABC">
        <w:rPr>
          <w:rFonts w:cstheme="minorHAnsi"/>
          <w:color w:val="000000" w:themeColor="text1"/>
        </w:rPr>
        <w:t>.</w:t>
      </w:r>
      <w:r w:rsidR="004C12CF" w:rsidRPr="00CA4ABC">
        <w:rPr>
          <w:rFonts w:cstheme="minorHAnsi"/>
          <w:color w:val="000000" w:themeColor="text1"/>
        </w:rPr>
        <w:t xml:space="preserve">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{"citationItems":[{"id":"ITEM-1","itemData":{"DOI":"10.1007/S00394-018-1696-Z","ISSN":"1436-6215","PMID":"29721678","abstract":"Purpose: The aim of this study was to assess the association between physical fitness (PF) and energy and nutrient intake in Spanish older adults. Methods: Three hundred and twenty-four participants (59.9% females, aged over 55 years) performed a battery of four validated PF tests and participants were divided into three: low, medium, and high PF. Dietary intake was assessed by two non-consecutive 24 h dietary recalls. Energy and nutrient intake was calculated using the ALIMENTA software. Energy expenditure (EE) was calculated using a validated questionnaire. Results: Median energy intake (EI) was 2135, 1999, and 2111 kcal/day in the low, medium, and high PF in males, respectively. In females, the median EI was 1576, 1564, and 1625 kcal/day in the low, medium, and high PF groups. There were significant and positive associations between participants in the high PF group and intake of phosphorous, selenium, vitamin B6, C, D, E, niacin, and folates (all p &lt; 0.05). However, subjects in the high PF group presented negative associations with thiamine and riboflavin intake (all p &lt; 0.05). A total of 8.3% of participants presented inadequate intake of 11 micronutrients. PF seems to affect total nutrient intake. Conclusions: Higher protein and fat intake was observed in the high PF group compared to the other PF groups in males, although participants in the high PF group had also higher EE. However, females presented different patterns. In both sexes participants in the high PF group showed a better micronutrient intake profile than the other PF groups. There is a need to develop combined nutritional and fitness programs.","author":[{"dropping-particle":"","family":"Aparicio-Ugarriza","given":"R.","non-dropping-particle":"","parse-names":false,"suffix":""},{"dropping-particle":"","family":"Luzardo-Socorro","given":"R.","non-dropping-particle":"","parse-names":false,"suffix":""},{"dropping-particle":"","family":"Palacios","given":"G.","non-dropping-particle":"","parse-names":false,"suffix":""},{"dropping-particle":"","family":"Bibiloni","given":"M. M.","non-dropping-particle":"","parse-names":false,"suffix":""},{"dropping-particle":"","family":"Argelich","given":"E.","non-dropping-particle":"","parse-names":false,"suffix":""},{"dropping-particle":"","family":"Tur","given":"J. A.","non-dropping-particle":"","parse-names":false,"suffix":""},{"dropping-particle":"","family":"González-Gross","given":"Marcela","non-dropping-particle":"","parse-names":false,"suffix":""}],"container-title":"European journal of nutrition","id":"ITEM-1","issue":"4","issued":{"date-parts":[["2019","6","1"]]},"page":"1579-1590","publisher":"Eur J Nutr","title":"What is the relationship between physical fitness level and macro- and micronutrient intake in Spanish older adults?","type":"article-journal","volume":"58"},"uris":["http://www.mendeley.com/documents/?uuid=9e3967bd-1a70-3559-8191-eb33ce9ae696"]}],"mendeley":{"formattedCitation":"(246)","plainTextFormattedCitation":"(246)","previouslyFormattedCitation":"(246)"},"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(246)</w:t>
      </w:r>
      <w:r w:rsidR="004C12CF" w:rsidRPr="00CA4ABC">
        <w:rPr>
          <w:rFonts w:cstheme="minorHAnsi"/>
          <w:color w:val="000000" w:themeColor="text1"/>
        </w:rPr>
        <w:fldChar w:fldCharType="end"/>
      </w:r>
      <w:r w:rsidR="004C12CF" w:rsidRPr="00CA4ABC">
        <w:rPr>
          <w:rFonts w:cstheme="minorHAnsi"/>
          <w:color w:val="000000" w:themeColor="text1"/>
        </w:rPr>
        <w:t>, who showed macronutrient intakes, including protein, were significantly higher (p&lt;0.05) in individuals who had higher physical fitness levels, as assessed by a multi-component battery</w:t>
      </w:r>
      <w:r w:rsidR="00D87A59" w:rsidRPr="00CA4ABC">
        <w:rPr>
          <w:rFonts w:cstheme="minorHAnsi"/>
          <w:color w:val="000000" w:themeColor="text1"/>
        </w:rPr>
        <w:t>, regardless of sex</w:t>
      </w:r>
      <w:r w:rsidR="004C12CF" w:rsidRPr="00CA4ABC">
        <w:rPr>
          <w:rFonts w:cstheme="minorHAnsi"/>
          <w:color w:val="000000" w:themeColor="text1"/>
        </w:rPr>
        <w:t xml:space="preserve">. Ten Haaf </w:t>
      </w:r>
      <w:r w:rsidR="004C12CF"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{"citationItems":[{"id":"ITEM-1","itemData":{"DOI":"10.1093/ajcn/nqy192 LK  - http://ze6dt7rj9y.search.serialssolutions.com?sid=EMBASE&amp;issn=19383207&amp;id=doi:10.1093%2Fajcn%2Fnqy192&amp;atitle=Effects+of+protein+supplementation+on+lean+body+mass%2C+muscle+strength%2C+and+physical+performance+in+nonfrail+community-dwelling+older+adults%3A+A+systematic+review+and+meta-analysis&amp;stitle=Am.+J.+Clin.+Nutr.&amp;title=American+Journal+of+Clinical+Nutrition&amp;volume=108&amp;issue=5&amp;spage=1043&amp;epage=1059&amp;aulast=Ten+Haaf&amp;aufirst=Dominique+S.M.&amp;auinit=D.S.M.&amp;aufull=Ten+Haaf","ISSN":"1938-3207","PMID":"30475963","abstract":"Background: Increasing protein intake has been suggested as an effective strategy to ameliorate age-related loss of muscle mass and strength. Current reviews assessing the effect of protein supplementation are strongly influenced by the inclusion of studies with frail older adults. Objectives: We assessed the effect of protein supplementation on lean body mass, muscle strength, and physical performance in exclusively nonfrail community-dwelling older adults. Moreover, we assessed the superior effects of protein supplementation during concomitant resistance exercise training on muscle characteristics. Design: A systematic literature search was conducted on PubMed, Embase, and Web of Science up to 15 May 2018. We included randomized controlled trials that assessed the effect of protein supplementation on lean body mass, muscle thigh cross-sectional area, muscle strength, gait speed, and chair-rise ability and performed random-effects meta-analyses. Results: Data from 36 studies with 1682 participants showed no significant effects of protein supplementation on changes in lean body mass [standardized mean difference (SMD): 0.11; 95% CI: −0.06, 0.28], handgrip strength (SMD: 0.58; 95% CI: −0.08, 1.24), lower extremity muscle strength (SMD: 0.03; 95% CI: −0.20, 0.27), gait speed (SMD: 0.41; 95% CI: −0.04, 0.85), or chair-rise ability (SMD: 0.10; 95%: CI −0.08, 0.28) compared with a control condition in nonfrail community-dwelling older adults. Moreover, no superior effects of protein supplementation were found during concomitant resistance exercise training on muscle characteristics. Conclusions: Protein supplementation in nonfrail community-dwelling older adults does not lead to increases in lean body mass, muscle cross-sectional area, muscle strength, or physical performance compared with control conditions; nor does it exert superior effects when added to resistance exercise training. Habitual protein intakes of most study participants were already sufficient, and protein interventions differed in terms of type of protein, amount, and timing. Future research should clarify what specific protein supplementation protocol is beneficial for nonfrail community-dwelling older adults with low habitual protein intake.","author":[{"dropping-particle":"","family":"D.S.M.","given":"Ten Haaf","non-dropping-particle":"","parse-names":false,"suffix":""},{"dropping-particle":"","family":"M.A.H.","given":"Nuijten","non-dropping-particle":"","parse-names":false,"suffix":""},{"dropping-particle":"","family":"M.F.H.","given":"Maessen","non-dropping-particle":"","parse-names":false,"suffix":""},{"dropping-particle":"","family":"A.M.H.","given":"Horstman","non-dropping-particle":"","parse-names":false,"suffix":""},{"dropping-particle":"","family":"T.M.H.","given":"Eijsvogels","non-dropping-particle":"","parse-names":false,"suffix":""},{"dropping-particle":"","family":"M.T.E.","given":"Hopman","non-dropping-particle":"","parse-names":false,"suffix":""},{"dropping-particle":"","family":"Haaf","given":"Dominique S M","non-dropping-particle":"Ten","parse-names":false,"suffix":""},{"dropping-particle":"","family":"Nuijten","given":"Malou A H","non-dropping-particle":"","parse-names":false,"suffix":""},{"dropping-particle":"","family":"Maessen","given":"Martijn F H","non-dropping-particle":"","parse-names":false,"suffix":""},{"dropping-particle":"","family":"Horstman","given":"Astrid M H","non-dropping-particle":"","parse-names":false,"suffix":""},{"dropping-particle":"","family":"Eijsvogels","given":"Thijs M H","non-dropping-particle":"","parse-names":false,"suffix":""},{"dropping-particle":"","family":"Hopman","given":"Maria T E","non-dropping-particle":"","parse-names":false,"suffix":""}],"container-title":"American Journal of Clinical Nutrition","id":"ITEM-1","issue":"5","issued":{"date-parts":[["2018"]]},"page":"1043-1059","title":"Effects of protein supplementation on lean body mass, muscle strength, and physical performance in nonfrail community-dwelling older adults: A systematic review and meta-analysis","type":"article-journal","volume":"108"},"uris":["http://www.mendeley.com/documents/?uuid=774aad97-504f-348e-936c-66a9f1af8813"]}],"mendeley":{"formattedCitation":"(96)","plainTextFormattedCitation":"(96)","previouslyFormattedCitation":"(96)"},"properties":{"noteIndex":0},"schema":"https://github.com/citation-style-language/schema/raw/master/csl-citation.json"}</w:instrText>
      </w:r>
      <w:r w:rsidR="004C12CF" w:rsidRPr="00CA4ABC">
        <w:rPr>
          <w:rFonts w:cstheme="minorHAnsi"/>
          <w:color w:val="000000" w:themeColor="text1"/>
        </w:rPr>
        <w:fldChar w:fldCharType="separate"/>
      </w:r>
      <w:r w:rsidR="00057AE3" w:rsidRPr="00057AE3">
        <w:rPr>
          <w:rFonts w:cstheme="minorHAnsi"/>
          <w:noProof/>
          <w:color w:val="000000" w:themeColor="text1"/>
        </w:rPr>
        <w:t>(96)</w:t>
      </w:r>
      <w:r w:rsidR="004C12CF" w:rsidRPr="00CA4ABC">
        <w:rPr>
          <w:rFonts w:cstheme="minorHAnsi"/>
          <w:color w:val="000000" w:themeColor="text1"/>
        </w:rPr>
        <w:fldChar w:fldCharType="end"/>
      </w:r>
      <w:r w:rsidR="004C12CF" w:rsidRPr="00CA4ABC">
        <w:rPr>
          <w:rFonts w:cstheme="minorHAnsi"/>
          <w:color w:val="000000" w:themeColor="text1"/>
        </w:rPr>
        <w:t xml:space="preserve"> ha</w:t>
      </w:r>
      <w:r w:rsidR="004E7CDC" w:rsidRPr="00CA4ABC">
        <w:rPr>
          <w:rFonts w:cstheme="minorHAnsi"/>
          <w:color w:val="000000" w:themeColor="text1"/>
        </w:rPr>
        <w:t>s</w:t>
      </w:r>
      <w:r w:rsidR="004C12CF" w:rsidRPr="00CA4ABC">
        <w:rPr>
          <w:rFonts w:cstheme="minorHAnsi"/>
          <w:color w:val="000000" w:themeColor="text1"/>
        </w:rPr>
        <w:t xml:space="preserve"> also shown that the c</w:t>
      </w:r>
      <w:r w:rsidR="004C12CF" w:rsidRPr="00CA4ABC">
        <w:rPr>
          <w:rFonts w:cstheme="minorHAnsi"/>
          <w:color w:val="000000" w:themeColor="text1"/>
          <w:shd w:val="clear" w:color="auto" w:fill="FFFFFF"/>
        </w:rPr>
        <w:t>ombination of physical activity (measured using a self-reported questionnaire) and total protein intake (assessed with two 24-hour recalls) were positively associated with higher Quality-Adjusted Life Years on a questionnaire (</w:t>
      </w:r>
      <w:r w:rsidR="004C12CF" w:rsidRPr="00CA4ABC">
        <w:rPr>
          <w:rStyle w:val="Emphasis"/>
          <w:rFonts w:cstheme="minorHAnsi"/>
          <w:color w:val="000000" w:themeColor="text1"/>
          <w:shd w:val="clear" w:color="auto" w:fill="FFFFFF"/>
        </w:rPr>
        <w:t>p</w:t>
      </w:r>
      <w:r w:rsidR="004C12CF" w:rsidRPr="00CA4ABC">
        <w:rPr>
          <w:rFonts w:cstheme="minorHAnsi"/>
          <w:color w:val="000000" w:themeColor="text1"/>
          <w:shd w:val="clear" w:color="auto" w:fill="FFFFFF"/>
        </w:rPr>
        <w:t xml:space="preserve"> = 0.049) for </w:t>
      </w:r>
      <w:r w:rsidR="00422654" w:rsidRPr="00CA4ABC">
        <w:rPr>
          <w:rFonts w:cstheme="minorHAnsi"/>
          <w:color w:val="000000" w:themeColor="text1"/>
          <w:shd w:val="clear" w:color="auto" w:fill="FFFFFF"/>
        </w:rPr>
        <w:lastRenderedPageBreak/>
        <w:t>community-dwelling</w:t>
      </w:r>
      <w:r w:rsidR="004C12CF" w:rsidRPr="00CA4ABC">
        <w:rPr>
          <w:rFonts w:cstheme="minorHAnsi"/>
          <w:color w:val="000000" w:themeColor="text1"/>
          <w:shd w:val="clear" w:color="auto" w:fill="FFFFFF"/>
        </w:rPr>
        <w:t xml:space="preserve"> older adults (age 81 ± 6 years), demonstrating the importance of both these factors on overall health outcomes.</w:t>
      </w:r>
    </w:p>
    <w:p w14:paraId="013C8A1D" w14:textId="77777777" w:rsidR="004C12CF" w:rsidRPr="00CA4ABC" w:rsidRDefault="004C12CF" w:rsidP="004053D7">
      <w:pPr>
        <w:spacing w:line="360" w:lineRule="auto"/>
        <w:rPr>
          <w:rFonts w:cstheme="minorHAnsi"/>
          <w:color w:val="000000" w:themeColor="text1"/>
          <w:highlight w:val="green"/>
        </w:rPr>
      </w:pPr>
    </w:p>
    <w:p w14:paraId="0A8B3043" w14:textId="454456AB"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This evidence flags another cohort, i.e. those who engage in limited physical activity, </w:t>
      </w:r>
      <w:r w:rsidR="00A361F7">
        <w:rPr>
          <w:rFonts w:cstheme="minorHAnsi"/>
          <w:color w:val="000000" w:themeColor="text1"/>
        </w:rPr>
        <w:t>which</w:t>
      </w:r>
      <w:r w:rsidRPr="00CA4ABC">
        <w:rPr>
          <w:rFonts w:cstheme="minorHAnsi"/>
          <w:color w:val="000000" w:themeColor="text1"/>
        </w:rPr>
        <w:t xml:space="preserve"> </w:t>
      </w:r>
      <w:r w:rsidR="00D87A59" w:rsidRPr="00CA4ABC">
        <w:rPr>
          <w:rFonts w:cstheme="minorHAnsi"/>
          <w:color w:val="000000" w:themeColor="text1"/>
        </w:rPr>
        <w:t>should be</w:t>
      </w:r>
      <w:r w:rsidRPr="00CA4ABC">
        <w:rPr>
          <w:rFonts w:cstheme="minorHAnsi"/>
          <w:color w:val="000000" w:themeColor="text1"/>
        </w:rPr>
        <w:t xml:space="preserve"> target</w:t>
      </w:r>
      <w:r w:rsidR="00D87A59" w:rsidRPr="00CA4ABC">
        <w:rPr>
          <w:rFonts w:cstheme="minorHAnsi"/>
          <w:color w:val="000000" w:themeColor="text1"/>
        </w:rPr>
        <w:t>ed</w:t>
      </w:r>
      <w:r w:rsidRPr="00CA4ABC">
        <w:rPr>
          <w:rFonts w:cstheme="minorHAnsi"/>
          <w:color w:val="000000" w:themeColor="text1"/>
        </w:rPr>
        <w:t xml:space="preserve"> for muscle loss intervention trials, particularly for multicomponent interventions</w:t>
      </w:r>
      <w:r w:rsidR="00D87A59" w:rsidRPr="00CA4ABC">
        <w:rPr>
          <w:rFonts w:cstheme="minorHAnsi"/>
          <w:color w:val="000000" w:themeColor="text1"/>
        </w:rPr>
        <w:t>, as they would</w:t>
      </w:r>
      <w:r w:rsidRPr="00CA4ABC">
        <w:rPr>
          <w:rFonts w:cstheme="minorHAnsi"/>
          <w:color w:val="000000" w:themeColor="text1"/>
        </w:rPr>
        <w:t xml:space="preserve"> benefit two-fold from the exercise component</w:t>
      </w:r>
      <w:r w:rsidR="00A361F7">
        <w:rPr>
          <w:rFonts w:cstheme="minorHAnsi"/>
          <w:color w:val="000000" w:themeColor="text1"/>
        </w:rPr>
        <w:t xml:space="preserve"> and</w:t>
      </w:r>
      <w:r w:rsidRPr="00CA4ABC">
        <w:rPr>
          <w:rFonts w:cstheme="minorHAnsi"/>
          <w:color w:val="000000" w:themeColor="text1"/>
        </w:rPr>
        <w:t xml:space="preserve"> increased protein intakes. </w:t>
      </w:r>
    </w:p>
    <w:p w14:paraId="18C736E3" w14:textId="77777777" w:rsidR="004C12CF" w:rsidRPr="00CA4ABC" w:rsidRDefault="004C12CF" w:rsidP="004053D7">
      <w:pPr>
        <w:spacing w:line="360" w:lineRule="auto"/>
        <w:rPr>
          <w:rFonts w:cstheme="minorHAnsi"/>
          <w:color w:val="000000" w:themeColor="text1"/>
          <w:highlight w:val="green"/>
        </w:rPr>
      </w:pPr>
    </w:p>
    <w:p w14:paraId="2D915874" w14:textId="380624D0" w:rsidR="004C12CF" w:rsidRPr="00CA4ABC" w:rsidRDefault="004C12CF" w:rsidP="004053D7">
      <w:pPr>
        <w:spacing w:line="360" w:lineRule="auto"/>
        <w:rPr>
          <w:rFonts w:cstheme="minorHAnsi"/>
          <w:color w:val="000000" w:themeColor="text1"/>
          <w:highlight w:val="green"/>
        </w:rPr>
      </w:pPr>
      <w:r w:rsidRPr="00CA4ABC">
        <w:rPr>
          <w:rFonts w:cstheme="minorHAnsi"/>
          <w:color w:val="000000" w:themeColor="text1"/>
        </w:rPr>
        <w:t xml:space="preserve">Moreover, a trend was noted </w:t>
      </w:r>
      <w:r w:rsidR="00A361F7">
        <w:rPr>
          <w:rFonts w:cstheme="minorHAnsi"/>
          <w:color w:val="000000" w:themeColor="text1"/>
        </w:rPr>
        <w:t xml:space="preserve">in this research </w:t>
      </w:r>
      <w:r w:rsidR="001B3645" w:rsidRPr="00CA4ABC">
        <w:rPr>
          <w:rFonts w:cstheme="minorHAnsi"/>
          <w:color w:val="000000" w:themeColor="text1"/>
        </w:rPr>
        <w:t xml:space="preserve">between increased </w:t>
      </w:r>
      <w:r w:rsidRPr="00CA4ABC">
        <w:rPr>
          <w:rFonts w:cstheme="minorHAnsi"/>
          <w:color w:val="000000" w:themeColor="text1"/>
        </w:rPr>
        <w:t>frequency of self-reporting engagement in RE</w:t>
      </w:r>
      <w:r w:rsidR="001B3645" w:rsidRPr="00CA4ABC">
        <w:rPr>
          <w:rFonts w:cstheme="minorHAnsi"/>
          <w:color w:val="000000" w:themeColor="text1"/>
        </w:rPr>
        <w:t xml:space="preserve"> and increased</w:t>
      </w:r>
      <w:r w:rsidRPr="00CA4ABC">
        <w:rPr>
          <w:rFonts w:cstheme="minorHAnsi"/>
          <w:color w:val="000000" w:themeColor="text1"/>
        </w:rPr>
        <w:t xml:space="preserve"> protein intakes. </w:t>
      </w:r>
      <w:r w:rsidR="001B3645" w:rsidRPr="00CA4ABC">
        <w:rPr>
          <w:rFonts w:cstheme="minorHAnsi"/>
          <w:color w:val="000000" w:themeColor="text1"/>
        </w:rPr>
        <w:t>However</w:t>
      </w:r>
      <w:r w:rsidRPr="00CA4ABC">
        <w:rPr>
          <w:rFonts w:cstheme="minorHAnsi"/>
          <w:color w:val="000000" w:themeColor="text1"/>
        </w:rPr>
        <w:t xml:space="preserve">, </w:t>
      </w:r>
      <w:r w:rsidR="003112F4" w:rsidRPr="00CA4ABC">
        <w:rPr>
          <w:rFonts w:cstheme="minorHAnsi"/>
          <w:color w:val="000000" w:themeColor="text1"/>
        </w:rPr>
        <w:t>individuals</w:t>
      </w:r>
      <w:r w:rsidRPr="00CA4ABC">
        <w:rPr>
          <w:rFonts w:cstheme="minorHAnsi"/>
          <w:color w:val="000000" w:themeColor="text1"/>
        </w:rPr>
        <w:t xml:space="preserve"> who stated that they “never” did RE also had the highest intakes, which was an unexpected finding. Synergism between resistance training and protein intakes from MPS ha</w:t>
      </w:r>
      <w:r w:rsidR="004E7CDC" w:rsidRPr="00CA4ABC">
        <w:rPr>
          <w:rFonts w:cstheme="minorHAnsi"/>
          <w:color w:val="000000" w:themeColor="text1"/>
        </w:rPr>
        <w:t>s</w:t>
      </w:r>
      <w:r w:rsidRPr="00CA4ABC">
        <w:rPr>
          <w:rFonts w:cstheme="minorHAnsi"/>
          <w:color w:val="000000" w:themeColor="text1"/>
        </w:rPr>
        <w:t xml:space="preserve"> been documented in the literature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{"citationItems":[{"id":"ITEM-1","itemData":{"DOI":"10.3390/nu11081713","ISSN":"20726643","abstract":"Aging and frailty are associated with a high risk of lean mass (LM) loss, which leads to physical disability and can be effectively alleviated by protein supplementation (PS) and muscle strengthening exercise (MSE). In this study, the associations between LM gain and PS + MSE efficacy (measured using physical outcomes) in elderly patients with a high risk of sarcopenia or frailty were identified. A comprehensive search of online databases was performed to identify randomized controlled trials (RCTs) reporting the efficacy of PS + MSE in elderly patients with sarcopenia or frailty. The included RCTs were analyzed using meta-analysis and risk of bias assessment. We finally included 19 RCTs in this meta-analysis with a median (range/total) Physiotherapy Evidence Database score of 7/10 (5–9/10). The PS + MSE group exhibited significant improvements in the whole-body LM (standard mean difference (SMD) = 0.66; p &lt; 0.00001), appendicular LM (SMD = 0.35; p &lt; 0.00001), leg strength (SMD = 0.65; p &lt; 0.00001), and walking capability (SMD = 0.33; p = 0.0006). Meta-regression analyses showed that changes in appendicular LM were significantly associated with the effect sizes of leg strength (β = 0.08; p = 0.003) and walking capability (β = 0.17; p = 0.04), respectively. Our findings suggest that LM gain after PS + MSE significantly contributes to the efficacy of the intervention in terms of muscle strength and physical mobility in elderly patients with a high risk of sarcopenia or frailty.","author":[{"dropping-particle":"De","family":"Liao","given":"Chun","non-dropping-particle":"","parse-names":false,"suffix":""},{"dropping-particle":"","family":"Chen","given":"Hung Chou","non-dropping-particle":"","parse-names":false,"suffix":""},{"dropping-particle":"","family":"Huang","given":"Shih Wei","non-dropping-particle":"","parse-names":false,"suffix":""},{"dropping-particle":"","family":"Liou","given":"Tsan Hon","non-dropping-particle":"","parse-names":false,"suffix":""}],"container-title":"Nutrients","id":"ITEM-1","issue":"8","issued":{"date-parts":[["2019"]]},"publisher":"MDPI AG","title":"The role of muscle mass gain following protein supplementation plus exercise therapy in older adults with sarcopenia and frailty risks: A systematic review and meta-regression analysis of randomized trials","type":"article","volume":"11"},"uris":["http://www.mendeley.com/documents/?uuid=82b083cb-a3e7-3333-b19f-221770e55065"]}],"mendeley":{"formattedCitation":"(138)","plainTextFormattedCitation":"(138)","previouslyFormattedCitation":"(138)"},"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(138)</w:t>
      </w:r>
      <w:r w:rsidRPr="00CA4ABC">
        <w:rPr>
          <w:rFonts w:cstheme="minorHAnsi"/>
          <w:color w:val="000000" w:themeColor="text1"/>
        </w:rPr>
        <w:fldChar w:fldCharType="end"/>
      </w:r>
      <w:r w:rsidRPr="00CA4ABC">
        <w:rPr>
          <w:rFonts w:cstheme="minorHAnsi"/>
          <w:color w:val="000000" w:themeColor="text1"/>
        </w:rPr>
        <w:t xml:space="preserve">. </w:t>
      </w:r>
      <w:r w:rsidR="00D87A59" w:rsidRPr="00CA4ABC">
        <w:rPr>
          <w:rFonts w:cstheme="minorHAnsi"/>
          <w:color w:val="000000" w:themeColor="text1"/>
        </w:rPr>
        <w:t>One r</w:t>
      </w:r>
      <w:r w:rsidRPr="00CA4ABC">
        <w:rPr>
          <w:rFonts w:cstheme="minorHAnsi"/>
          <w:color w:val="000000" w:themeColor="text1"/>
        </w:rPr>
        <w:t xml:space="preserve">eason to explain why </w:t>
      </w:r>
      <w:r w:rsidR="00D87A59" w:rsidRPr="00CA4ABC">
        <w:rPr>
          <w:rFonts w:cstheme="minorHAnsi"/>
          <w:color w:val="000000" w:themeColor="text1"/>
        </w:rPr>
        <w:t>correlations</w:t>
      </w:r>
      <w:r w:rsidRPr="00CA4ABC">
        <w:rPr>
          <w:rFonts w:cstheme="minorHAnsi"/>
          <w:color w:val="000000" w:themeColor="text1"/>
        </w:rPr>
        <w:t xml:space="preserve"> between </w:t>
      </w:r>
      <w:r w:rsidR="00D87A59" w:rsidRPr="00CA4ABC">
        <w:rPr>
          <w:rFonts w:cstheme="minorHAnsi"/>
          <w:color w:val="000000" w:themeColor="text1"/>
        </w:rPr>
        <w:t>higher levels</w:t>
      </w:r>
      <w:r w:rsidRPr="00CA4ABC">
        <w:rPr>
          <w:rFonts w:cstheme="minorHAnsi"/>
          <w:color w:val="000000" w:themeColor="text1"/>
        </w:rPr>
        <w:t xml:space="preserve"> of resistance training and protein intakes were found could include guidance tha</w:t>
      </w:r>
      <w:r w:rsidR="003112F4" w:rsidRPr="00CA4ABC">
        <w:rPr>
          <w:rFonts w:cstheme="minorHAnsi"/>
          <w:color w:val="000000" w:themeColor="text1"/>
        </w:rPr>
        <w:t>t</w:t>
      </w:r>
      <w:r w:rsidRPr="00CA4ABC">
        <w:rPr>
          <w:rFonts w:cstheme="minorHAnsi"/>
          <w:color w:val="000000" w:themeColor="text1"/>
        </w:rPr>
        <w:t xml:space="preserve"> athletes should consume more protein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{"citationItems":[{"id":"ITEM-1","itemData":{"DOI":"10.1080/02640414.2011.619204","ISSN":"1466-447X","PMID":"22150425","abstract":"Opinion on the role of protein in promoting athletic performance is divided along the lines of how much aerobic-based versus resistance-based activity the athlete undertakes. Athletes seeking to gain muscle mass and strength are likely to consume higher amounts of dietary protein than their endurance-trained counterparts. The main belief behind the large quantities of dietary protein consumption in resistance-trained athletes is that it is needed to generate more muscle protein. Athletes may require protein for more than just alleviation of the risk for deficiency, inherent in the dietary guidelines, but also to aid in an elevated level of functioning and possibly adaptation to the exercise stimulus. It does appear, however, that there is a good rationale for recommending to athletes protein intakes that are higher than the RDA. Our consensus opinion is that leucine, and possibly the other branched-chain amino acids, occupy a position of prominence in stimulating muscle protein synthesis; that protein intakes in the range of 1.3-1.8 g · kg -1 · day -1 consumed as 3-4 isonitrogenous meals will maximize muscle protein synthesis. These recommendations may also be dependent on training status: experienced athletes would require less, while more protein should be consumed during periods of high frequency/intensity training. Elevated protein consumption, as high as 1.8-2.0 g · kg -1 · day -1 depending on the caloric deficit, may be advantageous in preventing lean mass losses during periods of energy restriction to promote fat loss. © 2011 Taylor and Francis Group, LLC.","author":[{"dropping-particle":"","family":"Phillips","given":"Stuart M.","non-dropping-particle":"","parse-names":false,"suffix":""},{"dropping-particle":"","family":"Loon","given":"Luc J.C.","non-dropping-particle":"van","parse-names":false,"suffix":""}],"container-title":"Journal of sports sciences","id":"ITEM-1","issue":"SUPPL. 1","issued":{"date-parts":[["2011","1"]]},"publisher":"J Sports Sci","title":"Dietary protein for athletes: from requirements to optimum adaptation","type":"article-journal","volume":"29 Suppl 1"},"uris":["http://www.mendeley.com/documents/?uuid=44a0f58f-15f6-34ac-b4c0-53fdca5c812b"]}],"mendeley":{"formattedCitation":"(247)","plainTextFormattedCitation":"(247)","previouslyFormattedCitation":"(247)"},"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(247)</w:t>
      </w:r>
      <w:r w:rsidRPr="00CA4ABC">
        <w:rPr>
          <w:rFonts w:cstheme="minorHAnsi"/>
          <w:color w:val="000000" w:themeColor="text1"/>
        </w:rPr>
        <w:fldChar w:fldCharType="end"/>
      </w:r>
      <w:r w:rsidRPr="00CA4ABC">
        <w:rPr>
          <w:rFonts w:cstheme="minorHAnsi"/>
          <w:color w:val="000000" w:themeColor="text1"/>
        </w:rPr>
        <w:t xml:space="preserve">. Moreover, recreational athletes may have a personal interest in health, leading them to self-seek out information </w:t>
      </w:r>
      <w:r w:rsidR="00422654" w:rsidRPr="00CA4ABC">
        <w:rPr>
          <w:rFonts w:cstheme="minorHAnsi"/>
          <w:color w:val="000000" w:themeColor="text1"/>
        </w:rPr>
        <w:t>about</w:t>
      </w:r>
      <w:r w:rsidRPr="00CA4ABC">
        <w:rPr>
          <w:rFonts w:cstheme="minorHAnsi"/>
          <w:color w:val="000000" w:themeColor="text1"/>
        </w:rPr>
        <w:t xml:space="preserve"> diet. </w:t>
      </w:r>
    </w:p>
    <w:p w14:paraId="3BFB1BE4" w14:textId="77777777" w:rsidR="004C12CF" w:rsidRPr="00CA4ABC" w:rsidRDefault="004C12CF" w:rsidP="004053D7">
      <w:pPr>
        <w:spacing w:line="360" w:lineRule="auto"/>
        <w:rPr>
          <w:rFonts w:cstheme="minorHAnsi"/>
          <w:color w:val="000000" w:themeColor="text1"/>
          <w:highlight w:val="green"/>
        </w:rPr>
      </w:pPr>
    </w:p>
    <w:p w14:paraId="2B69CF6F" w14:textId="76D419DD" w:rsidR="004C12CF" w:rsidRPr="00CA4ABC" w:rsidRDefault="004C12CF" w:rsidP="004053D7">
      <w:pPr>
        <w:pStyle w:val="Heading3"/>
        <w:spacing w:line="360" w:lineRule="auto"/>
        <w:rPr>
          <w:rFonts w:asciiTheme="minorHAnsi" w:hAnsiTheme="minorHAnsi" w:cstheme="minorHAnsi"/>
          <w:color w:val="000000" w:themeColor="text1"/>
        </w:rPr>
      </w:pPr>
      <w:bookmarkStart w:id="188" w:name="_Toc135384324"/>
      <w:r w:rsidRPr="00CA4ABC">
        <w:rPr>
          <w:rFonts w:asciiTheme="minorHAnsi" w:hAnsiTheme="minorHAnsi" w:cstheme="minorHAnsi"/>
          <w:color w:val="000000" w:themeColor="text1"/>
        </w:rPr>
        <w:t>4.4.4 Non-meat eaters and protein intake</w:t>
      </w:r>
      <w:bookmarkEnd w:id="188"/>
    </w:p>
    <w:p w14:paraId="1547B024" w14:textId="76686066" w:rsidR="004C12CF" w:rsidRPr="00CA4ABC" w:rsidRDefault="004C12CF" w:rsidP="00E8340C">
      <w:pPr>
        <w:spacing w:line="360" w:lineRule="auto"/>
        <w:ind w:firstLine="720"/>
        <w:rPr>
          <w:rFonts w:cstheme="minorHAnsi"/>
          <w:color w:val="000000" w:themeColor="text1"/>
          <w:shd w:val="clear" w:color="auto" w:fill="FFFFFF"/>
        </w:rPr>
      </w:pPr>
      <w:r w:rsidRPr="00CA4ABC">
        <w:rPr>
          <w:rFonts w:cstheme="minorHAnsi"/>
          <w:color w:val="000000" w:themeColor="text1"/>
        </w:rPr>
        <w:t xml:space="preserve">Focusing on protein intakes based on dietary habits, individuals who identified as vegans consumed the least amount of protein (mean intakes of 0.82g/kg BM/day) compared to meat and fish eaters (1.17g/kg BM/day). Although vegans were, on average, </w:t>
      </w:r>
      <w:r w:rsidR="00F92A8A" w:rsidRPr="00CA4ABC">
        <w:rPr>
          <w:rFonts w:cstheme="minorHAnsi"/>
          <w:color w:val="000000" w:themeColor="text1"/>
        </w:rPr>
        <w:t xml:space="preserve">still </w:t>
      </w:r>
      <w:r w:rsidRPr="00CA4ABC">
        <w:rPr>
          <w:rFonts w:cstheme="minorHAnsi"/>
          <w:color w:val="000000" w:themeColor="text1"/>
        </w:rPr>
        <w:t>achieving UK recommendations for protein intakes, these intakes f</w:t>
      </w:r>
      <w:r w:rsidR="00F92A8A" w:rsidRPr="00CA4ABC">
        <w:rPr>
          <w:rFonts w:cstheme="minorHAnsi"/>
          <w:color w:val="000000" w:themeColor="text1"/>
        </w:rPr>
        <w:t>e</w:t>
      </w:r>
      <w:r w:rsidRPr="00CA4ABC">
        <w:rPr>
          <w:rFonts w:cstheme="minorHAnsi"/>
          <w:color w:val="000000" w:themeColor="text1"/>
        </w:rPr>
        <w:t xml:space="preserve">ll short of ESPEN guidelines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{"citationItems":[{"id":"ITEM-1","itemData":{"DOI":"10.1016/j.clnu.2014.04.007","ISSN":"15321983","abstract":"The aging process is associated with gradual and progressive loss of muscle mass along with lowered strength and physical endurance. This condition, sarcopenia, has been widely observed with aging in sedentary adults. Regular aerobic and resistance exercise programs have been shown to counteract most aspects of sarcopenia. In addition, good nutrition, especially adequate protein and energy intake, can help limit and treat age-related declines in muscle mass, strength, and functional abilities. Protein nutrition in combination with exercise is considered optimal for maintaining muscle function. With the goal of providing recommendations for health care professionals to help older adults sustain muscle strength and function into older age, the European Society for Clinical Nutrition and Metabolism (ESPEN) hosted a Workshop on Protein Requirements in the Elderly, held in Dubrovnik on November 24 and 25, 2013. Based on the evidence presented and discussed, the following recommendations are made (a) for healthy older people, the diet should provide at least 1.0-1.2g protein/kg body weight/day, (b) for older people who are malnourished or at risk of malnutrition because they have acute or chronic illness, the diet should provide 1.2-1.5g protein/kg body weight/day, with even higher intake for individuals with severe illness or injury, and (c) daily physical activity or exercise (resistance training, aerobic exercise) should be undertaken by all older people, for as long as possible.","author":[{"dropping-particle":"","family":"Deutz","given":"Nicolaas E.P.","non-dropping-particle":"","parse-names":false,"suffix":""},{"dropping-particle":"","family":"Bauer","given":"Jürgen M.","non-dropping-particle":"","parse-names":false,"suffix":""},{"dropping-particle":"","family":"Barazzoni","given":"Rocco","non-dropping-particle":"","parse-names":false,"suffix":""},{"dropping-particle":"","family":"Biolo","given":"Gianni","non-dropping-particle":"","parse-names":false,"suffix":""},{"dropping-particle":"","family":"Boirie","given":"Yves","non-dropping-particle":"","parse-names":false,"suffix":""},{"dropping-particle":"","family":"Bosy-Westphal","given":"Anja","non-dropping-particle":"","parse-names":false,"suffix":""},{"dropping-particle":"","family":"Cederholm","given":"Tommy","non-dropping-particle":"","parse-names":false,"suffix":""},{"dropping-particle":"","family":"Cruz-Jentoft","given":"Alfonso","non-dropping-particle":"","parse-names":false,"suffix":""},{"dropping-particle":"","family":"Krznariç","given":"Zeljko","non-dropping-particle":"","parse-names":false,"suffix":""},{"dropping-particle":"","family":"Nair","given":"K. Sreekumaran","non-dropping-particle":"","parse-names":false,"suffix":""},{"dropping-particle":"","family":"Singer","given":"Pierre","non-dropping-particle":"","parse-names":false,"suffix":""},{"dropping-particle":"","family":"Teta","given":"Daniel","non-dropping-particle":"","parse-names":false,"suffix":""},{"dropping-particle":"","family":"Tipton","given":"Kevin","non-dropping-particle":"","parse-names":false,"suffix":""},{"dropping-particle":"","family":"Calder","given":"Philip C.","non-dropping-particle":"","parse-names":false,"suffix":""}],"container-title":"Clinical Nutrition","id":"ITEM-1","issued":{"date-parts":[["2014"]]},"title":"Protein intake and exercise for optimal muscle function with aging: Recommendations from the ESPEN Expert Group","type":"article-journal"},"uris":["http://www.mendeley.com/documents/?uuid=73b791c1-3d5a-31ed-b150-70a06082da9b"]}],"mendeley":{"formattedCitation":"(88)","plainTextFormattedCitation":"(88)","previouslyFormattedCitation":"(88)"},"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(88)</w:t>
      </w:r>
      <w:r w:rsidRPr="00CA4ABC">
        <w:rPr>
          <w:rFonts w:cstheme="minorHAnsi"/>
          <w:color w:val="000000" w:themeColor="text1"/>
        </w:rPr>
        <w:fldChar w:fldCharType="end"/>
      </w:r>
      <w:r w:rsidRPr="00CA4ABC">
        <w:rPr>
          <w:rFonts w:cstheme="minorHAnsi"/>
          <w:color w:val="000000" w:themeColor="text1"/>
        </w:rPr>
        <w:t xml:space="preserve">. Data from NDNS show </w:t>
      </w:r>
      <w:r w:rsidRPr="00CA4ABC">
        <w:rPr>
          <w:rFonts w:cstheme="minorHAnsi"/>
          <w:color w:val="000000" w:themeColor="text1"/>
          <w:shd w:val="clear" w:color="auto" w:fill="FFFFFF"/>
        </w:rPr>
        <w:t>the biggest contributors to protein intakes in the UK are meat and meat products (34%), cereals and cereal products (24%) and milk and milk products (13%)</w:t>
      </w:r>
      <w:r w:rsidR="009D1B70" w:rsidRPr="00CA4ABC">
        <w:rPr>
          <w:rFonts w:cstheme="minorHAnsi"/>
          <w:color w:val="000000" w:themeColor="text1"/>
          <w:shd w:val="clear" w:color="auto" w:fill="FFFFFF"/>
        </w:rPr>
        <w:t xml:space="preserve"> (230)</w:t>
      </w:r>
      <w:r w:rsidRPr="00CA4ABC">
        <w:rPr>
          <w:rFonts w:cstheme="minorHAnsi"/>
          <w:color w:val="000000" w:themeColor="text1"/>
          <w:shd w:val="clear" w:color="auto" w:fill="FFFFFF"/>
        </w:rPr>
        <w:t>, two out of three of which would not be consumed by vegans</w:t>
      </w:r>
      <w:r w:rsidR="009D1B70"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w:t>
      </w:r>
    </w:p>
    <w:p w14:paraId="7A3D0E3F" w14:textId="77777777" w:rsidR="004C12CF" w:rsidRPr="00CA4ABC" w:rsidRDefault="004C12CF" w:rsidP="004053D7">
      <w:pPr>
        <w:spacing w:line="360" w:lineRule="auto"/>
        <w:rPr>
          <w:rFonts w:cstheme="minorHAnsi"/>
          <w:color w:val="000000" w:themeColor="text1"/>
          <w:shd w:val="clear" w:color="auto" w:fill="FFFFFF"/>
        </w:rPr>
      </w:pPr>
    </w:p>
    <w:p w14:paraId="1358776F" w14:textId="337BA26B" w:rsidR="004C12CF" w:rsidRPr="00CA4ABC" w:rsidRDefault="000A06A0" w:rsidP="004053D7">
      <w:pPr>
        <w:spacing w:line="360" w:lineRule="auto"/>
        <w:rPr>
          <w:rFonts w:cstheme="minorHAnsi"/>
          <w:color w:val="000000" w:themeColor="text1"/>
          <w:highlight w:val="green"/>
        </w:rPr>
      </w:pPr>
      <w:r w:rsidRPr="00CA4ABC">
        <w:rPr>
          <w:rFonts w:cstheme="minorHAnsi"/>
          <w:color w:val="000000" w:themeColor="text1"/>
          <w:shd w:val="clear" w:color="auto" w:fill="FFFFFF"/>
        </w:rPr>
        <w:t>I</w:t>
      </w:r>
      <w:r w:rsidR="004C12CF" w:rsidRPr="00CA4ABC">
        <w:rPr>
          <w:rFonts w:cstheme="minorHAnsi"/>
          <w:color w:val="000000" w:themeColor="text1"/>
          <w:shd w:val="clear" w:color="auto" w:fill="FFFFFF"/>
        </w:rPr>
        <w:t>nvestigat</w:t>
      </w:r>
      <w:r w:rsidRPr="00CA4ABC">
        <w:rPr>
          <w:rFonts w:cstheme="minorHAnsi"/>
          <w:color w:val="000000" w:themeColor="text1"/>
          <w:shd w:val="clear" w:color="auto" w:fill="FFFFFF"/>
        </w:rPr>
        <w:t>ions regarding</w:t>
      </w:r>
      <w:r w:rsidR="004C12CF" w:rsidRPr="00CA4ABC">
        <w:rPr>
          <w:rFonts w:cstheme="minorHAnsi"/>
          <w:color w:val="000000" w:themeColor="text1"/>
          <w:shd w:val="clear" w:color="auto" w:fill="FFFFFF"/>
        </w:rPr>
        <w:t xml:space="preserve"> the differences </w:t>
      </w:r>
      <w:r w:rsidRPr="00CA4ABC">
        <w:rPr>
          <w:rFonts w:cstheme="minorHAnsi"/>
          <w:color w:val="000000" w:themeColor="text1"/>
          <w:shd w:val="clear" w:color="auto" w:fill="FFFFFF"/>
        </w:rPr>
        <w:t xml:space="preserve">in </w:t>
      </w:r>
      <w:r w:rsidR="004C12CF" w:rsidRPr="00CA4ABC">
        <w:rPr>
          <w:rFonts w:cstheme="minorHAnsi"/>
          <w:color w:val="000000" w:themeColor="text1"/>
          <w:shd w:val="clear" w:color="auto" w:fill="FFFFFF"/>
        </w:rPr>
        <w:t>intakes of amino acids between male meat-eaters, fish-eaters, vegetarians and vegans</w:t>
      </w:r>
      <w:r w:rsidRPr="00CA4ABC">
        <w:rPr>
          <w:rFonts w:cstheme="minorHAnsi"/>
          <w:color w:val="000000" w:themeColor="text1"/>
          <w:shd w:val="clear" w:color="auto" w:fill="FFFFFF"/>
        </w:rPr>
        <w:t xml:space="preserve"> support the findings that vegans and vegetarians have lower protein intakes </w:t>
      </w:r>
      <w:r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{"citationItems":[{"id":"ITEM-1","itemData":{"DOI":"10.1038/EJCN.2015.144","ISSN":"14765640","PMID":"26395436","abstract":"Background/Objectives: We aimed to investigate the differences in plasma concentrations and in intakes of amino acids between male meat-eaters, fish-eaters, vegetarians and vegans in the Oxford arm of the European Prospective Investigation into Cancer and Nutrition. Subjects/Methods: This cross-sectional analysis included 392 men, aged 30-49 years. Plasma amino acid concentrations were measured with a targeted metabolomic approach using mass spectrometry, and dietary intake was assessed using a food frequency questionnaire. Differences between diet groups in mean plasma concentrations and intakes of amino acids were examined using analysis of variance, controlling for potential confounding factors and multiple testing. Results: In plasma, concentrations of 6 out of 21 amino acids varied significantly by diet group, with differences of -13% to +16% between meat-eaters and vegans. Concentrations of methionine, tryptophan and tyrosine were highest in fish-eaters and vegetarians, followed by meat-eaters, and lowest in vegans. A broadly similar pattern was seen for lysine, whereas alanine concentration was highest in fish-eaters and lowest in meat-eaters. For glycine, vegans had the highest concentration and meat-eaters the lowest. Intakes of all 18 dietary amino acids differed by diet group; for the majority of these, intake was highest in meat-eaters followed by fish-eaters, then vegetarians and lowest in vegans (up to 47% lower than in meat-eaters). Conclusions: Men belonging to different habitual diet groups have significantly different plasma concentrations of lysine, methionine, tryptophan, alanine, glycine and tyrosine. However, the differences in plasma concentrations were less marked than and did not necessarily mirror those seen for amino acid intakes.","author":[{"dropping-particle":"","family":"Schmidt","given":"J. A.","non-dropping-particle":"","parse-names":false,"suffix":""},{"dropping-particle":"","family":"Rinaldi","given":"S.","non-dropping-particle":"","parse-names":false,"suffix":""},{"dropping-particle":"","family":"Scalbert","given":"A.","non-dropping-particle":"","parse-names":false,"suffix":""},{"dropping-particle":"","family":"Ferrari","given":"P.","non-dropping-particle":"","parse-names":false,"suffix":""},{"dropping-particle":"","family":"Achaintre","given":"D.","non-dropping-particle":"","parse-names":false,"suffix":""},{"dropping-particle":"","family":"Gunter","given":"M. J.","non-dropping-particle":"","parse-names":false,"suffix":""},{"dropping-particle":"","family":"Appleby","given":"P. N.","non-dropping-particle":"","parse-names":false,"suffix":""},{"dropping-particle":"","family":"Key","given":"T. J.","non-dropping-particle":"","parse-names":false,"suffix":""},{"dropping-particle":"","family":"Travis","given":"R. C.","non-dropping-particle":"","parse-names":false,"suffix":""}],"container-title":"European Journal of Clinical Nutrition","id":"ITEM-1","issue":"3","issued":{"date-parts":[["2016","3","1"]]},"page":"306","publisher":"Nature Publishing Group","title":"Plasma concentrations and intakes of amino acids in male meat-eaters, fish-eaters, vegetarians and vegans: a cross-sectional analysis in the EPIC-Oxford cohort","type":"article-journal","volume":"70"},"uris":["http://www.mendeley.com/documents/?uuid=253648dd-9066-352a-9994-fddb53142815"]}],"mendeley":{"formattedCitation":"(248)","plainTextFormattedCitation":"(248)","previouslyFormattedCitation":"(248)"},"properties":{"noteIndex":0},"schema":"https://github.com/citation-style-language/schema/raw/master/csl-citation.json"}</w:instrText>
      </w:r>
      <w:r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(248)</w:t>
      </w:r>
      <w:r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xml:space="preserve">. </w:t>
      </w:r>
      <w:r w:rsidR="00F37B3F" w:rsidRPr="00CA4ABC">
        <w:rPr>
          <w:rFonts w:cstheme="minorHAnsi"/>
          <w:color w:val="000000"/>
          <w:shd w:val="clear" w:color="auto" w:fill="FFFFFF"/>
        </w:rPr>
        <w:t>The EPIC-Oxford study measured protein intake and plasma amino acid concentration</w:t>
      </w:r>
      <w:r w:rsidR="00F92A8A" w:rsidRPr="00CA4ABC">
        <w:rPr>
          <w:rFonts w:cstheme="minorHAnsi"/>
          <w:color w:val="000000"/>
          <w:shd w:val="clear" w:color="auto" w:fill="FFFFFF"/>
        </w:rPr>
        <w:t>s</w:t>
      </w:r>
      <w:r w:rsidR="00F37B3F" w:rsidRPr="00CA4ABC">
        <w:rPr>
          <w:rFonts w:cstheme="minorHAnsi"/>
          <w:color w:val="000000"/>
          <w:shd w:val="clear" w:color="auto" w:fill="FFFFFF"/>
        </w:rPr>
        <w:t xml:space="preserve"> in healthy male participants (aged 30-49)</w:t>
      </w:r>
      <w:r w:rsidR="003112F4" w:rsidRPr="00CA4ABC">
        <w:rPr>
          <w:rFonts w:cstheme="minorHAnsi"/>
          <w:color w:val="000000" w:themeColor="text1"/>
          <w:shd w:val="clear" w:color="auto" w:fill="FFFFFF"/>
        </w:rPr>
        <w:t>.</w:t>
      </w:r>
      <w:r w:rsidR="00BB4D9D" w:rsidRPr="00CA4ABC">
        <w:rPr>
          <w:rFonts w:cstheme="minorHAnsi"/>
        </w:rPr>
        <w:t xml:space="preserve"> Analysis</w:t>
      </w:r>
      <w:r w:rsidR="004C12CF" w:rsidRPr="00CA4ABC">
        <w:rPr>
          <w:rFonts w:cstheme="minorHAnsi"/>
          <w:color w:val="000000" w:themeColor="text1"/>
          <w:shd w:val="clear" w:color="auto" w:fill="FFFFFF"/>
        </w:rPr>
        <w:t xml:space="preserve"> revealed that protein, as a % of energy, was significantly different (</w:t>
      </w:r>
      <w:r w:rsidR="00640FCE" w:rsidRPr="00CA4ABC">
        <w:rPr>
          <w:rFonts w:cstheme="minorHAnsi"/>
          <w:color w:val="000000" w:themeColor="text1"/>
          <w:shd w:val="clear" w:color="auto" w:fill="FFFFFF"/>
        </w:rPr>
        <w:t>p</w:t>
      </w:r>
      <w:r w:rsidR="004C12CF" w:rsidRPr="00CA4ABC">
        <w:rPr>
          <w:rFonts w:cstheme="minorHAnsi"/>
          <w:color w:val="000000" w:themeColor="text1"/>
          <w:shd w:val="clear" w:color="auto" w:fill="FFFFFF"/>
        </w:rPr>
        <w:t>=0.0001) compared between meat-eaters (15%), fish-eaters (13.6%), vegetarians (13.3%) and vegans (12.6%)</w:t>
      </w:r>
      <w:r w:rsidRPr="00CA4ABC">
        <w:rPr>
          <w:rFonts w:cstheme="minorHAnsi"/>
          <w:color w:val="000000" w:themeColor="text1"/>
          <w:shd w:val="clear" w:color="auto" w:fill="FFFFFF"/>
        </w:rPr>
        <w:t>.</w:t>
      </w:r>
      <w:r w:rsidR="004C12CF" w:rsidRPr="00CA4ABC">
        <w:rPr>
          <w:rFonts w:cstheme="minorHAnsi"/>
          <w:color w:val="000000" w:themeColor="text1"/>
          <w:shd w:val="clear" w:color="auto" w:fill="FFFFFF"/>
        </w:rPr>
        <w:t xml:space="preserve"> </w:t>
      </w:r>
      <w:r w:rsidR="004C12CF" w:rsidRPr="00CA4ABC">
        <w:rPr>
          <w:rFonts w:cstheme="minorHAnsi"/>
          <w:color w:val="000000" w:themeColor="text1"/>
          <w:shd w:val="clear" w:color="auto" w:fill="FFFFFF"/>
        </w:rPr>
        <w:lastRenderedPageBreak/>
        <w:t>Moreover, plasma concentrations of the majority of amino acids (measured with a targeted metabolomic approach using mass spectrometry) were highest in meat-eaters</w:t>
      </w:r>
      <w:r w:rsidR="00AF7BBA" w:rsidRPr="00CA4ABC">
        <w:rPr>
          <w:rFonts w:cstheme="minorHAnsi"/>
          <w:color w:val="000000" w:themeColor="text1"/>
          <w:shd w:val="clear" w:color="auto" w:fill="FFFFFF"/>
        </w:rPr>
        <w:t>,</w:t>
      </w:r>
      <w:r w:rsidR="004C12CF" w:rsidRPr="00CA4ABC">
        <w:rPr>
          <w:rFonts w:cstheme="minorHAnsi"/>
          <w:color w:val="000000" w:themeColor="text1"/>
          <w:shd w:val="clear" w:color="auto" w:fill="FFFFFF"/>
        </w:rPr>
        <w:t xml:space="preserve"> followed by fish-eaters, then vegetarians and </w:t>
      </w:r>
      <w:r w:rsidR="00AF7BBA" w:rsidRPr="00CA4ABC">
        <w:rPr>
          <w:rFonts w:cstheme="minorHAnsi"/>
          <w:color w:val="000000" w:themeColor="text1"/>
          <w:shd w:val="clear" w:color="auto" w:fill="FFFFFF"/>
        </w:rPr>
        <w:t xml:space="preserve">lastly </w:t>
      </w:r>
      <w:r w:rsidR="004C12CF" w:rsidRPr="00CA4ABC">
        <w:rPr>
          <w:rFonts w:cstheme="minorHAnsi"/>
          <w:color w:val="000000" w:themeColor="text1"/>
          <w:shd w:val="clear" w:color="auto" w:fill="FFFFFF"/>
        </w:rPr>
        <w:t xml:space="preserve">vegans. Specifically of relevance, in terms of MPS, was that leucine levels were recorded lowest </w:t>
      </w:r>
      <w:r w:rsidRPr="00CA4ABC">
        <w:rPr>
          <w:rFonts w:cstheme="minorHAnsi"/>
          <w:color w:val="000000" w:themeColor="text1"/>
          <w:shd w:val="clear" w:color="auto" w:fill="FFFFFF"/>
        </w:rPr>
        <w:t>(</w:t>
      </w:r>
      <w:r w:rsidR="004C12CF" w:rsidRPr="00CA4ABC">
        <w:rPr>
          <w:rFonts w:cstheme="minorHAnsi"/>
          <w:color w:val="000000" w:themeColor="text1"/>
          <w:shd w:val="clear" w:color="auto" w:fill="FFFFFF"/>
        </w:rPr>
        <w:t xml:space="preserve">191 </w:t>
      </w:r>
      <w:r w:rsidR="004C12CF" w:rsidRPr="00CA4ABC">
        <w:rPr>
          <w:rStyle w:val="Emphasis"/>
          <w:rFonts w:cstheme="minorHAnsi"/>
          <w:color w:val="000000" w:themeColor="text1"/>
          <w:shd w:val="clear" w:color="auto" w:fill="FFFCF0"/>
        </w:rPr>
        <w:t>μmol/l</w:t>
      </w:r>
      <w:r w:rsidRPr="00CA4ABC">
        <w:rPr>
          <w:rStyle w:val="Emphasis"/>
          <w:rFonts w:cstheme="minorHAnsi"/>
          <w:color w:val="000000" w:themeColor="text1"/>
          <w:shd w:val="clear" w:color="auto" w:fill="FFFCF0"/>
        </w:rPr>
        <w:t>)</w:t>
      </w:r>
      <w:r w:rsidR="004C12CF" w:rsidRPr="00CA4ABC">
        <w:rPr>
          <w:rStyle w:val="Emphasis"/>
          <w:rFonts w:cstheme="minorHAnsi"/>
          <w:color w:val="000000" w:themeColor="text1"/>
          <w:shd w:val="clear" w:color="auto" w:fill="FFFCF0"/>
        </w:rPr>
        <w:t xml:space="preserve"> </w:t>
      </w:r>
      <w:r w:rsidR="004C12CF" w:rsidRPr="00CA4ABC">
        <w:rPr>
          <w:rFonts w:cstheme="minorHAnsi"/>
          <w:color w:val="000000" w:themeColor="text1"/>
          <w:shd w:val="clear" w:color="auto" w:fill="FFFFFF"/>
        </w:rPr>
        <w:t>in vegans compared to 205, 208 and 210</w:t>
      </w:r>
      <w:r w:rsidRPr="00CA4ABC">
        <w:rPr>
          <w:rStyle w:val="Emphasis"/>
          <w:rFonts w:cstheme="minorHAnsi"/>
          <w:color w:val="000000" w:themeColor="text1"/>
          <w:shd w:val="clear" w:color="auto" w:fill="FFFCF0"/>
        </w:rPr>
        <w:t xml:space="preserve"> μmol/l</w:t>
      </w:r>
      <w:r w:rsidR="004C12CF" w:rsidRPr="00CA4ABC">
        <w:rPr>
          <w:rFonts w:cstheme="minorHAnsi"/>
          <w:color w:val="000000" w:themeColor="text1"/>
          <w:shd w:val="clear" w:color="auto" w:fill="FFFFFF"/>
        </w:rPr>
        <w:t xml:space="preserve"> in meat-eaters, fish-eaters and vegetarians, respectively</w:t>
      </w:r>
      <w:r w:rsidR="00F37B3F" w:rsidRPr="00CA4ABC">
        <w:rPr>
          <w:rFonts w:cstheme="minorHAnsi"/>
          <w:color w:val="000000" w:themeColor="text1"/>
          <w:shd w:val="clear" w:color="auto" w:fill="FFFFFF"/>
        </w:rPr>
        <w:t>. However,</w:t>
      </w:r>
      <w:r w:rsidR="004C12CF" w:rsidRPr="00CA4ABC">
        <w:rPr>
          <w:rFonts w:cstheme="minorHAnsi"/>
          <w:color w:val="000000" w:themeColor="text1"/>
          <w:shd w:val="clear" w:color="auto" w:fill="FFFFFF"/>
        </w:rPr>
        <w:t xml:space="preserve"> this was not </w:t>
      </w:r>
      <w:r w:rsidR="00640FCE" w:rsidRPr="00CA4ABC">
        <w:rPr>
          <w:rFonts w:cstheme="minorHAnsi"/>
          <w:color w:val="000000" w:themeColor="text1"/>
          <w:shd w:val="clear" w:color="auto" w:fill="FFFFFF"/>
        </w:rPr>
        <w:t xml:space="preserve">statistically </w:t>
      </w:r>
      <w:r w:rsidR="004C12CF" w:rsidRPr="00CA4ABC">
        <w:rPr>
          <w:rFonts w:cstheme="minorHAnsi"/>
          <w:color w:val="000000" w:themeColor="text1"/>
          <w:shd w:val="clear" w:color="auto" w:fill="FFFFFF"/>
        </w:rPr>
        <w:t xml:space="preserve">significant across groups. </w:t>
      </w:r>
    </w:p>
    <w:p w14:paraId="43EA8A35" w14:textId="77777777" w:rsidR="004C12CF" w:rsidRPr="00CA4ABC" w:rsidRDefault="004C12CF" w:rsidP="004053D7">
      <w:pPr>
        <w:spacing w:line="360" w:lineRule="auto"/>
        <w:rPr>
          <w:rFonts w:cstheme="minorHAnsi"/>
          <w:color w:val="000000" w:themeColor="text1"/>
          <w:highlight w:val="green"/>
        </w:rPr>
      </w:pPr>
    </w:p>
    <w:p w14:paraId="17C4E587" w14:textId="193BB415" w:rsidR="004C12CF" w:rsidRPr="00CA4ABC" w:rsidRDefault="00F37B3F" w:rsidP="004053D7">
      <w:pPr>
        <w:spacing w:line="360" w:lineRule="auto"/>
        <w:rPr>
          <w:rFonts w:cstheme="minorHAnsi"/>
          <w:color w:val="000000" w:themeColor="text1"/>
        </w:rPr>
      </w:pPr>
      <w:r w:rsidRPr="00CA4ABC">
        <w:rPr>
          <w:rFonts w:cstheme="minorHAnsi"/>
          <w:color w:val="000000"/>
          <w:shd w:val="clear" w:color="auto" w:fill="FFFFFF"/>
        </w:rPr>
        <w:t xml:space="preserve">This information may be useful for future dietary intervention studies, as targeting vegans may produce more beneficial responses to protein supplementation. </w:t>
      </w:r>
      <w:r w:rsidR="004C12CF" w:rsidRPr="00CA4ABC">
        <w:rPr>
          <w:rFonts w:cstheme="minorHAnsi"/>
          <w:color w:val="000000" w:themeColor="text1"/>
        </w:rPr>
        <w:t xml:space="preserve">If supplements are utilised, however, </w:t>
      </w:r>
      <w:r w:rsidR="00F90CAD">
        <w:rPr>
          <w:rFonts w:cstheme="minorHAnsi"/>
          <w:color w:val="000000" w:themeColor="text1"/>
        </w:rPr>
        <w:t>ensuring they are suitable for vegan consumption would be important</w:t>
      </w:r>
      <w:r w:rsidR="004C12CF" w:rsidRPr="00CA4ABC">
        <w:rPr>
          <w:rFonts w:cstheme="minorHAnsi"/>
          <w:color w:val="000000" w:themeColor="text1"/>
        </w:rPr>
        <w:t xml:space="preserve">. Currently, </w:t>
      </w:r>
      <w:r w:rsidR="00AF7BBA" w:rsidRPr="00CA4ABC">
        <w:rPr>
          <w:rFonts w:cstheme="minorHAnsi"/>
          <w:color w:val="000000" w:themeColor="text1"/>
        </w:rPr>
        <w:t>most</w:t>
      </w:r>
      <w:r w:rsidR="004C12CF" w:rsidRPr="00CA4ABC">
        <w:rPr>
          <w:rFonts w:cstheme="minorHAnsi"/>
          <w:color w:val="000000" w:themeColor="text1"/>
        </w:rPr>
        <w:t xml:space="preserve"> supplements available use milk-based proteins (i.e. whey) so seeking alternative forms would be necessary. Moreover, plant-based proteins are often considered lower-quality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{"citationItems":[{"id":"ITEM-1","itemData":{"DOI":"10.1152/japplphysiol.00076.2009","ISSN":"8750-7587","PMID":"19589961","abstract":"This study was designed to compare the acute response of mixed muscle protein synthesis (MPS) to rapidly (i.e., whey hydrolysate and soy) and slowly (i.e., micellar casein) digested proteins both at rest and after resistance exercise. Three groups of healthy young men (n = 6 per group) performed a bout of unilateral leg resistance exercise followed by the consumption of a drink containing an equivalent content of essential amino acids (10 g) as either whey hydrolysate, micellar casein, or soy protein isolate. Mixed MPS was determined by a primed constant infusion of l-[ring-(13)C(6)]phenylalanine. Ingestion of whey protein resulted in a larger increase in blood essential amino acid, branched-chain amino acid, and leucine concentrations than either casein or soy (P &lt; 0.05). Mixed MPS at rest (determined in the nonexercised leg) was higher with ingestion of faster proteins (whey = 0.091 +/- 0.015, soy = 0.078 +/- 0.014, casein = 0.047 +/- 0.008%/h); MPS after consumption of whey was approximately 93% greater than casein (P &lt; 0.01) and approximately 18% greater than soy (P = 0.067). A similar result was observed after exercise (whey &gt; soy &gt; casein); MPS following whey consumption was approximately 122% greater than casein (P &lt; 0.01) and 31% greater than soy (P &lt; 0.05). MPS was also greater with soy consumption at rest (64%) and following resistance exercise (69%) compared with casein (both P &lt; 0.01). We conclude that the feeding-induced simulation of MPS in young men is greater after whey hydrolysate or soy protein consumption than casein both at rest and after resistance exercise; moreover, despite both being fast proteins, whey hydrolysate stimulated MPS to a greater degree than soy after resistance exercise. These differences may be related to how quickly the proteins are digested (i.e., fast vs. slow) or possibly to small differences in leucine content of each protein.","author":[{"dropping-particle":"","family":"Tang","given":"Jason E","non-dropping-particle":"","parse-names":false,"suffix":""},{"dropping-particle":"","family":"Moore","given":"Daniel R","non-dropping-particle":"","parse-names":false,"suffix":""},{"dropping-particle":"","family":"Kujbida","given":"Gregory W","non-dropping-particle":"","parse-names":false,"suffix":""},{"dropping-particle":"","family":"Tarnopolsky","given":"Mark A","non-dropping-particle":"","parse-names":false,"suffix":""},{"dropping-particle":"","family":"Phillips","given":"Stuart M","non-dropping-particle":"","parse-names":false,"suffix":""}],"container-title":"Journal of applied physiology (Bethesda, Md. : 1985)","id":"ITEM-1","issue":"3","issued":{"date-parts":[["2009","9"]]},"page":"987-92","title":"Ingestion of whey hydrolysate, casein, or soy protein isolate: effects on mixed muscle protein synthesis at rest and following resistance exercise in young men.","type":"article-journal","volume":"107"},"uris":["http://www.mendeley.com/documents/?uuid=150675f6-7d67-38ca-baa6-5611c92b42be"]}],"mendeley":{"formattedCitation":"(249)","plainTextFormattedCitation":"(249)","previouslyFormattedCitation":"(249)"},"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(249)</w:t>
      </w:r>
      <w:r w:rsidR="004C12CF" w:rsidRPr="00CA4ABC">
        <w:rPr>
          <w:rFonts w:cstheme="minorHAnsi"/>
          <w:color w:val="000000" w:themeColor="text1"/>
        </w:rPr>
        <w:fldChar w:fldCharType="end"/>
      </w:r>
      <w:r w:rsidR="004C12CF" w:rsidRPr="00CA4ABC">
        <w:rPr>
          <w:rFonts w:cstheme="minorHAnsi"/>
          <w:color w:val="000000" w:themeColor="text1"/>
        </w:rPr>
        <w:t>, so</w:t>
      </w:r>
      <w:r w:rsidR="000A06A0" w:rsidRPr="00CA4ABC">
        <w:rPr>
          <w:rFonts w:cstheme="minorHAnsi"/>
          <w:color w:val="000000" w:themeColor="text1"/>
        </w:rPr>
        <w:t xml:space="preserve"> their impact </w:t>
      </w:r>
      <w:r w:rsidR="00C17551" w:rsidRPr="00CA4ABC">
        <w:rPr>
          <w:rFonts w:cstheme="minorHAnsi"/>
          <w:color w:val="000000" w:themeColor="text1"/>
        </w:rPr>
        <w:t xml:space="preserve">on </w:t>
      </w:r>
      <w:r w:rsidR="000A06A0" w:rsidRPr="00CA4ABC">
        <w:rPr>
          <w:rFonts w:cstheme="minorHAnsi"/>
          <w:color w:val="000000" w:themeColor="text1"/>
        </w:rPr>
        <w:t>MPS</w:t>
      </w:r>
      <w:r w:rsidR="0093345C" w:rsidRPr="00CA4ABC">
        <w:rPr>
          <w:rFonts w:cstheme="minorHAnsi"/>
          <w:color w:val="000000" w:themeColor="text1"/>
        </w:rPr>
        <w:t xml:space="preserve"> warrants investigation</w:t>
      </w:r>
      <w:r w:rsidR="000A06A0" w:rsidRPr="00CA4ABC">
        <w:rPr>
          <w:rFonts w:cstheme="minorHAnsi"/>
          <w:color w:val="000000" w:themeColor="text1"/>
        </w:rPr>
        <w:t>.</w:t>
      </w:r>
      <w:r w:rsidR="004C12CF" w:rsidRPr="00CA4ABC">
        <w:rPr>
          <w:rFonts w:cstheme="minorHAnsi"/>
          <w:color w:val="000000" w:themeColor="text1"/>
        </w:rPr>
        <w:t xml:space="preserve"> </w:t>
      </w:r>
      <w:r w:rsidRPr="00CA4ABC">
        <w:rPr>
          <w:rFonts w:cstheme="minorHAnsi"/>
          <w:color w:val="000000" w:themeColor="text1"/>
        </w:rPr>
        <w:t>E</w:t>
      </w:r>
      <w:r w:rsidR="004C12CF" w:rsidRPr="00CA4ABC">
        <w:rPr>
          <w:rFonts w:cstheme="minorHAnsi"/>
          <w:color w:val="000000" w:themeColor="text1"/>
        </w:rPr>
        <w:t>vidence suggest</w:t>
      </w:r>
      <w:r w:rsidR="00C17551" w:rsidRPr="00CA4ABC">
        <w:rPr>
          <w:rFonts w:cstheme="minorHAnsi"/>
          <w:color w:val="000000" w:themeColor="text1"/>
        </w:rPr>
        <w:t>s</w:t>
      </w:r>
      <w:r w:rsidR="004C12CF" w:rsidRPr="00CA4ABC">
        <w:rPr>
          <w:rFonts w:cstheme="minorHAnsi"/>
          <w:color w:val="000000" w:themeColor="text1"/>
        </w:rPr>
        <w:t xml:space="preserve"> that </w:t>
      </w:r>
      <w:r w:rsidR="004C12CF" w:rsidRPr="00CA4ABC">
        <w:rPr>
          <w:rFonts w:cstheme="minorHAnsi"/>
          <w:color w:val="000000" w:themeColor="text1"/>
          <w:shd w:val="clear" w:color="auto" w:fill="FFFFFF"/>
        </w:rPr>
        <w:t xml:space="preserve">animal-derived proteins are more anabolic than plant-based protein sources </w:t>
      </w:r>
      <w:r w:rsidR="004C12CF"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{"citationItems":[{"id":"ITEM-1","itemData":{"DOI":"10.1017/S002966511700194X","ISSN":"1475-2719","PMID":"28847314","abstract":"The age-related loss of skeletal muscle mass and function is caused, at least in part, by a reduced muscle protein synthetic response to protein ingestion. The magnitude and duration of the postprandial muscle protein synthetic response to ingested protein is dependent on the quantity and quality of the protein consumed. This review characterises the anabolic properties of animal-derived and plant-based dietary protein sources in older adults. While approximately 60 % of dietary protein consumed worldwide is derived from plant sources, plant-based proteins generally exhibit lower digestibility, lower leucine content and deficiencies in certain essential amino acids such as lysine and methionine, which compromise the availability of a complete amino acid profile required for muscle protein synthesis. Based on currently available scientific evidence, animal-derived proteins may be considered more anabolic than plant-based protein sources. However, the production and consumption of animal-derived protein sources is associated with higher greenhouse gas emissions, while plant-based protein sources may be considered more environmentally sustainable. Theoretically, the lower anabolic capacity of plant-based proteins can be compensated for by ingesting a greater dose of protein or by combining various plant-based proteins to provide a more favourable amino acid profile. In addition, leucine co-ingestion can further augment the postprandial muscle protein synthetic response. Finally, prior exercise or n-3 fatty acid supplementation have been shown to sensitise skeletal muscle to the anabolic properties of dietary protein. Applying one or more of these strategies may support the maintenance of muscle mass with ageing when diets rich in plant-based protein are consumed.","author":[{"dropping-particle":"","family":"Gorissen","given":"Stefan H.M.","non-dropping-particle":"","parse-names":false,"suffix":""},{"dropping-particle":"","family":"Witard","given":"Oliver C.","non-dropping-particle":"","parse-names":false,"suffix":""}],"container-title":"The Proceedings of the Nutrition Society","id":"ITEM-1","issue":"1","issued":{"date-parts":[["2018","2","1"]]},"page":"20-31","publisher":"Proc Nutr Soc","title":"Characterising the muscle anabolic potential of dairy, meat and plant-based protein sources in older adults","type":"article-journal","volume":"77"},"uris":["http://www.mendeley.com/documents/?uuid=1ae4a971-1e57-3e52-bda4-3342ad07a06b"]}],"mendeley":{"formattedCitation":"(250)","plainTextFormattedCitation":"(250)","previouslyFormattedCitation":"(250)"},"properties":{"noteIndex":0},"schema":"https://github.com/citation-style-language/schema/raw/master/csl-citation.json"}</w:instrText>
      </w:r>
      <w:r w:rsidR="004C12CF"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(250)</w:t>
      </w:r>
      <w:r w:rsidR="004C12CF" w:rsidRPr="00CA4ABC">
        <w:rPr>
          <w:rFonts w:cstheme="minorHAnsi"/>
          <w:color w:val="000000" w:themeColor="text1"/>
          <w:shd w:val="clear" w:color="auto" w:fill="FFFFFF"/>
        </w:rPr>
        <w:fldChar w:fldCharType="end"/>
      </w:r>
      <w:r w:rsidR="004C12CF" w:rsidRPr="00CA4ABC">
        <w:rPr>
          <w:rFonts w:cstheme="minorHAnsi"/>
          <w:color w:val="000000" w:themeColor="text1"/>
          <w:shd w:val="clear" w:color="auto" w:fill="FFFFFF"/>
        </w:rPr>
        <w:t xml:space="preserve">. </w:t>
      </w:r>
      <w:r w:rsidR="004C12CF" w:rsidRPr="00CA4ABC">
        <w:rPr>
          <w:rFonts w:cstheme="minorHAnsi"/>
          <w:color w:val="000000" w:themeColor="text1"/>
        </w:rPr>
        <w:t>To enhance the ability of plant</w:t>
      </w:r>
      <w:r w:rsidR="00AF7BBA" w:rsidRPr="00CA4ABC">
        <w:rPr>
          <w:rFonts w:cstheme="minorHAnsi"/>
          <w:color w:val="000000" w:themeColor="text1"/>
        </w:rPr>
        <w:t>-</w:t>
      </w:r>
      <w:r w:rsidR="004C12CF" w:rsidRPr="00CA4ABC">
        <w:rPr>
          <w:rFonts w:cstheme="minorHAnsi"/>
          <w:color w:val="000000" w:themeColor="text1"/>
        </w:rPr>
        <w:t xml:space="preserve">based proteins to stimulate MPS, one possible solution could be to enrich the protein with leucine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{"citationItems":[{"id":"ITEM-1","itemData":{"DOI":"10.1113/JPHYSIOL.2013.253203","ISSN":"1469-7793","PMID":"23551944","abstract":"Maintenance of skeletal muscle mass is contingent upon the dynamic equilibrium (fasted losses-fed gains) in protein turnover. Of all nutrients, the single amino acid leucine (Leu) possesses the most marked anabolic characteristics in acting as a trigger element for the initiation of protein synthesis. While the mechanisms by which Leu is 'sensed' have been the subject of great scrutiny, as a branched-chain amino acid, Leu can be catabolized within muscle, thus posing the possibility that metabolites of Leu could be involved in mediating the anabolic effect(s) of Leu. Our objective was to measure muscle protein anabolism in response to Leu and its metabolite HMB. Using [1,2-13C2]Leu and [2H5]phenylalanine tracers, and GC-MS/GC-C-IRMS we studied the effect of HMB or Leu alone on MPS (by tracer incorporation into myofibrils), and for HMB we also measured muscle proteolysis (by arteriovenous (A-V) dilution). Orally consumed 3.42 g free-acid (FA-HMB) HMB (providing 2.42 g of pure HMB) exhibited rapid bioavailability in plasma and muscle and, similarly to 3.42 g Leu, stimulated muscle protein synthesis (MPS; HMB +70%vs. Leu +110%). While HMB and Leu both increased anabolic signalling (mechanistic target of rapamycin; mTOR), this was more pronounced with Leu (i.e. p70S6K1 signalling ≤90 min vs. ≤30 min for HMB). HMB consumption also attenuated muscle protein breakdown (MPB; -57%) in an insulin-independent manner. We conclude that exogenous HMB induces acute muscle anabolism (increased MPS and reduced MPB) albeit perhaps via distinct, and/or additional mechanism(s) to Leu. © 2013 The Physiological Society.","author":[{"dropping-particle":"","family":"Wilkinson","given":"D. J.","non-dropping-particle":"","parse-names":false,"suffix":""},{"dropping-particle":"","family":"Hossain","given":"T.","non-dropping-particle":"","parse-names":false,"suffix":""},{"dropping-particle":"","family":"Hill","given":"D. S.","non-dropping-particle":"","parse-names":false,"suffix":""},{"dropping-particle":"","family":"Phillips","given":"B. E.","non-dropping-particle":"","parse-names":false,"suffix":""},{"dropping-particle":"","family":"Crossland","given":"H.","non-dropping-particle":"","parse-names":false,"suffix":""},{"dropping-particle":"","family":"Williams","given":"J.","non-dropping-particle":"","parse-names":false,"suffix":""},{"dropping-particle":"","family":"Loughna","given":"P.","non-dropping-particle":"","parse-names":false,"suffix":""},{"dropping-particle":"","family":"Churchward-Venne","given":"T. A.","non-dropping-particle":"","parse-names":false,"suffix":""},{"dropping-particle":"","family":"Breen","given":"L.","non-dropping-particle":"","parse-names":false,"suffix":""},{"dropping-particle":"","family":"Phillips","given":"S. M.","non-dropping-particle":"","parse-names":false,"suffix":""},{"dropping-particle":"","family":"Etheridge","given":"T.","non-dropping-particle":"","parse-names":false,"suffix":""},{"dropping-particle":"","family":"Rathmacher","given":"J. A.","non-dropping-particle":"","parse-names":false,"suffix":""},{"dropping-particle":"","family":"Smith","given":"K.","non-dropping-particle":"","parse-names":false,"suffix":""},{"dropping-particle":"","family":"Szewczyk","given":"N. J.","non-dropping-particle":"","parse-names":false,"suffix":""},{"dropping-particle":"","family":"Atherton","given":"P. J.","non-dropping-particle":"","parse-names":false,"suffix":""}],"container-title":"The Journal of physiology","id":"ITEM-1","issue":"11","issued":{"date-parts":[["2013","6"]]},"page":"2911-2923","publisher":"J Physiol","title":"Effects of leucine and its metabolite β-hydroxy-β-methylbutyrate on human skeletal muscle protein metabolism","type":"article-journal","volume":"591"},"uris":["http://www.mendeley.com/documents/?uuid=47545c7c-eb58-3d7f-92da-9892c3165f7f"]}],"mendeley":{"formattedCitation":"(251)","plainTextFormattedCitation":"(251)","previouslyFormattedCitation":"(251)"},"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(251)</w:t>
      </w:r>
      <w:r w:rsidR="004C12CF" w:rsidRPr="00CA4ABC">
        <w:rPr>
          <w:rFonts w:cstheme="minorHAnsi"/>
          <w:color w:val="000000" w:themeColor="text1"/>
        </w:rPr>
        <w:fldChar w:fldCharType="end"/>
      </w:r>
      <w:r w:rsidR="004C12CF" w:rsidRPr="00CA4ABC">
        <w:rPr>
          <w:rFonts w:cstheme="minorHAnsi"/>
          <w:color w:val="000000" w:themeColor="text1"/>
        </w:rPr>
        <w:t>. However</w:t>
      </w:r>
      <w:r w:rsidR="00AF7BBA" w:rsidRPr="00CA4ABC">
        <w:rPr>
          <w:rFonts w:cstheme="minorHAnsi"/>
          <w:color w:val="000000" w:themeColor="text1"/>
        </w:rPr>
        <w:t>,</w:t>
      </w:r>
      <w:r w:rsidR="004C12CF" w:rsidRPr="00CA4ABC">
        <w:rPr>
          <w:rFonts w:cstheme="minorHAnsi"/>
          <w:color w:val="000000" w:themeColor="text1"/>
        </w:rPr>
        <w:t xml:space="preserve"> the findings by Schmidt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{"citationItems":[{"id":"ITEM-1","itemData":{"DOI":"10.1038/EJCN.2015.144","ISSN":"14765640","PMID":"26395436","abstract":"Background/Objectives: We aimed to investigate the differences in plasma concentrations and in intakes of amino acids between male meat-eaters, fish-eaters, vegetarians and vegans in the Oxford arm of the European Prospective Investigation into Cancer and Nutrition. Subjects/Methods: This cross-sectional analysis included 392 men, aged 30-49 years. Plasma amino acid concentrations were measured with a targeted metabolomic approach using mass spectrometry, and dietary intake was assessed using a food frequency questionnaire. Differences between diet groups in mean plasma concentrations and intakes of amino acids were examined using analysis of variance, controlling for potential confounding factors and multiple testing. Results: In plasma, concentrations of 6 out of 21 amino acids varied significantly by diet group, with differences of -13% to +16% between meat-eaters and vegans. Concentrations of methionine, tryptophan and tyrosine were highest in fish-eaters and vegetarians, followed by meat-eaters, and lowest in vegans. A broadly similar pattern was seen for lysine, whereas alanine concentration was highest in fish-eaters and lowest in meat-eaters. For glycine, vegans had the highest concentration and meat-eaters the lowest. Intakes of all 18 dietary amino acids differed by diet group; for the majority of these, intake was highest in meat-eaters followed by fish-eaters, then vegetarians and lowest in vegans (up to 47% lower than in meat-eaters). Conclusions: Men belonging to different habitual diet groups have significantly different plasma concentrations of lysine, methionine, tryptophan, alanine, glycine and tyrosine. However, the differences in plasma concentrations were less marked than and did not necessarily mirror those seen for amino acid intakes.","author":[{"dropping-particle":"","family":"Schmidt","given":"J. A.","non-dropping-particle":"","parse-names":false,"suffix":""},{"dropping-particle":"","family":"Rinaldi","given":"S.","non-dropping-particle":"","parse-names":false,"suffix":""},{"dropping-particle":"","family":"Scalbert","given":"A.","non-dropping-particle":"","parse-names":false,"suffix":""},{"dropping-particle":"","family":"Ferrari","given":"P.","non-dropping-particle":"","parse-names":false,"suffix":""},{"dropping-particle":"","family":"Achaintre","given":"D.","non-dropping-particle":"","parse-names":false,"suffix":""},{"dropping-particle":"","family":"Gunter","given":"M. J.","non-dropping-particle":"","parse-names":false,"suffix":""},{"dropping-particle":"","family":"Appleby","given":"P. N.","non-dropping-particle":"","parse-names":false,"suffix":""},{"dropping-particle":"","family":"Key","given":"T. J.","non-dropping-particle":"","parse-names":false,"suffix":""},{"dropping-particle":"","family":"Travis","given":"R. C.","non-dropping-particle":"","parse-names":false,"suffix":""}],"container-title":"European Journal of Clinical Nutrition","id":"ITEM-1","issue":"3","issued":{"date-parts":[["2016","3","1"]]},"page":"306","publisher":"Nature Publishing Group","title":"Plasma concentrations and intakes of amino acids in male meat-eaters, fish-eaters, vegetarians and vegans: a cross-sectional analysis in the EPIC-Oxford cohort","type":"article-journal","volume":"70"},"uris":["http://www.mendeley.com/documents/?uuid=253648dd-9066-352a-9994-fddb53142815"]}],"mendeley":{"formattedCitation":"(248)","plainTextFormattedCitation":"(248)","previouslyFormattedCitation":"(248)"},"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(248)</w:t>
      </w:r>
      <w:r w:rsidR="004C12CF" w:rsidRPr="00CA4ABC">
        <w:rPr>
          <w:rFonts w:cstheme="minorHAnsi"/>
          <w:color w:val="000000" w:themeColor="text1"/>
        </w:rPr>
        <w:fldChar w:fldCharType="end"/>
      </w:r>
      <w:r w:rsidR="004C12CF" w:rsidRPr="00CA4ABC">
        <w:rPr>
          <w:rFonts w:cstheme="minorHAnsi"/>
          <w:color w:val="000000" w:themeColor="text1"/>
        </w:rPr>
        <w:t xml:space="preserve"> did </w:t>
      </w:r>
      <w:r w:rsidR="0093345C" w:rsidRPr="00CA4ABC">
        <w:rPr>
          <w:rFonts w:cstheme="minorHAnsi"/>
          <w:color w:val="000000" w:themeColor="text1"/>
        </w:rPr>
        <w:t>not find differences in the</w:t>
      </w:r>
      <w:r w:rsidR="004C12CF" w:rsidRPr="00CA4ABC">
        <w:rPr>
          <w:rFonts w:cstheme="minorHAnsi"/>
          <w:color w:val="000000" w:themeColor="text1"/>
        </w:rPr>
        <w:t xml:space="preserve"> plasma concentrations of </w:t>
      </w:r>
      <w:r w:rsidR="0093345C" w:rsidRPr="00CA4ABC">
        <w:rPr>
          <w:rFonts w:cstheme="minorHAnsi"/>
          <w:color w:val="000000" w:themeColor="text1"/>
        </w:rPr>
        <w:t>leucine</w:t>
      </w:r>
      <w:r w:rsidR="004C12CF" w:rsidRPr="00CA4ABC">
        <w:rPr>
          <w:rFonts w:cstheme="minorHAnsi"/>
          <w:color w:val="000000" w:themeColor="text1"/>
        </w:rPr>
        <w:t xml:space="preserve">. </w:t>
      </w:r>
      <w:r w:rsidR="0093345C" w:rsidRPr="00CA4ABC">
        <w:rPr>
          <w:rFonts w:cstheme="minorHAnsi"/>
          <w:color w:val="000000" w:themeColor="text1"/>
        </w:rPr>
        <w:t>Investigating if</w:t>
      </w:r>
      <w:r w:rsidR="004C12CF" w:rsidRPr="00CA4ABC">
        <w:rPr>
          <w:rFonts w:cstheme="minorHAnsi"/>
          <w:color w:val="000000" w:themeColor="text1"/>
        </w:rPr>
        <w:t xml:space="preserve"> leucine thresholds of ~2-3g</w:t>
      </w:r>
      <w:r w:rsidR="00C17551" w:rsidRPr="00CA4ABC">
        <w:rPr>
          <w:rFonts w:cstheme="minorHAnsi"/>
          <w:color w:val="000000" w:themeColor="text1"/>
        </w:rPr>
        <w:t xml:space="preserve"> per meal</w:t>
      </w:r>
      <w:r w:rsidR="004C12CF" w:rsidRPr="00CA4ABC">
        <w:rPr>
          <w:rFonts w:cstheme="minorHAnsi"/>
          <w:color w:val="000000" w:themeColor="text1"/>
        </w:rPr>
        <w:t xml:space="preserve">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{"citationItems":[{"id":"ITEM-1","itemData":{"DOI":"10.1186/1743-7075-8-68","abstract":"Age-related muscle wasting (sarcopenia) is accompanied by a loss of strength which can compromise the functional abilities of the elderly. Muscle proteins are in a dynamic equilibrium between their respective rates of synthesis and breakdown. It has been suggested that age-related sarcopenia is due to: i) elevated basal-fasted rates of muscle protein breakdown, ii) a reduction in basal muscle protein synthesis (MPS), or iii) a combination of the two factors. However, basal rates of muscle protein synthesis and breakdown are unchanged with advancing healthy age. Instead, it appears that the muscles of the elderly are resistant to normally robust anabolic stimuli such as amino acids and resistance exercise. Ageing muscle is less sensitive to lower doses of amino acids than the young and may require higher quantities of protein to acutely stimulate equivalent muscle protein synthesis above rest and accrue muscle proteins. With regard to dietary protein recommendations, emerging evidence suggests that the elderly may need to distribute protein intake evenly throughout the day, so as to promote an optimal per meal stimulation of MPS. The branched-chain amino acid leucine is thought to play a central role in mediating mRNA translation for MPS, and the elderly should ensure sufficient leucine is provided with dietary protein intake. With regards to physical activity, lower, than previously realized, intensity high-volume resistance exercise can stimulate a robust muscle protein synthetic response similar to traditional high-intensity low volume training, which may be beneficial for older adults. Resistance exercise combined with amino acid ingestion elicits the greatest anabolic response and may assist elderly in producing a 'youthful' muscle protein synthetic response provided sufficient protein is ingested following exercise.","author":[{"dropping-particle":"","family":"Breen","given":"Leigh","non-dropping-particle":"","parse-names":false,"suffix":""},{"dropping-particle":"","family":"Phillips","given":"Stuart M","non-dropping-particle":"","parse-names":false,"suffix":""}],"id":"ITEM-1","issued":{"date-parts":[["2011"]]},"title":"Skeletal muscle protein metabolism in the elderly: Interventions to counteract the 'anabolic resistance' of ageing","type":"article-journal"},"uris":["http://www.mendeley.com/documents/?uuid=cf9967f9-7064-31b8-b971-91e426d65f15"]}],"mendeley":{"formattedCitation":"(252)","plainTextFormattedCitation":"(252)","previouslyFormattedCitation":"(252)"},"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(252)</w:t>
      </w:r>
      <w:r w:rsidR="004C12CF" w:rsidRPr="00CA4ABC">
        <w:rPr>
          <w:rFonts w:cstheme="minorHAnsi"/>
          <w:color w:val="000000" w:themeColor="text1"/>
        </w:rPr>
        <w:fldChar w:fldCharType="end"/>
      </w:r>
      <w:r w:rsidR="004C12CF" w:rsidRPr="00CA4ABC">
        <w:rPr>
          <w:rFonts w:cstheme="minorHAnsi"/>
          <w:color w:val="000000" w:themeColor="text1"/>
        </w:rPr>
        <w:t xml:space="preserve">, as supported by the “leucine trigger”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{"citationItems":[{"id":"ITEM-1","itemData":{"DOI":"10.1113/JPHYSIOL.2013.253203","ISSN":"1469-7793","PMID":"23551944","abstract":"Maintenance of skeletal muscle mass is contingent upon the dynamic equilibrium (fasted losses-fed gains) in protein turnover. Of all nutrients, the single amino acid leucine (Leu) possesses the most marked anabolic characteristics in acting as a trigger element for the initiation of protein synthesis. While the mechanisms by which Leu is 'sensed' have been the subject of great scrutiny, as a branched-chain amino acid, Leu can be catabolized within muscle, thus posing the possibility that metabolites of Leu could be involved in mediating the anabolic effect(s) of Leu. Our objective was to measure muscle protein anabolism in response to Leu and its metabolite HMB. Using [1,2-13C2]Leu and [2H5]phenylalanine tracers, and GC-MS/GC-C-IRMS we studied the effect of HMB or Leu alone on MPS (by tracer incorporation into myofibrils), and for HMB we also measured muscle proteolysis (by arteriovenous (A-V) dilution). Orally consumed 3.42 g free-acid (FA-HMB) HMB (providing 2.42 g of pure HMB) exhibited rapid bioavailability in plasma and muscle and, similarly to 3.42 g Leu, stimulated muscle protein synthesis (MPS; HMB +70%vs. Leu +110%). While HMB and Leu both increased anabolic signalling (mechanistic target of rapamycin; mTOR), this was more pronounced with Leu (i.e. p70S6K1 signalling ≤90 min vs. ≤30 min for HMB). HMB consumption also attenuated muscle protein breakdown (MPB; -57%) in an insulin-independent manner. We conclude that exogenous HMB induces acute muscle anabolism (increased MPS and reduced MPB) albeit perhaps via distinct, and/or additional mechanism(s) to Leu. © 2013 The Physiological Society.","author":[{"dropping-particle":"","family":"Wilkinson","given":"D. J.","non-dropping-particle":"","parse-names":false,"suffix":""},{"dropping-particle":"","family":"Hossain","given":"T.","non-dropping-particle":"","parse-names":false,"suffix":""},{"dropping-particle":"","family":"Hill","given":"D. S.","non-dropping-particle":"","parse-names":false,"suffix":""},{"dropping-particle":"","family":"Phillips","given":"B. E.","non-dropping-particle":"","parse-names":false,"suffix":""},{"dropping-particle":"","family":"Crossland","given":"H.","non-dropping-particle":"","parse-names":false,"suffix":""},{"dropping-particle":"","family":"Williams","given":"J.","non-dropping-particle":"","parse-names":false,"suffix":""},{"dropping-particle":"","family":"Loughna","given":"P.","non-dropping-particle":"","parse-names":false,"suffix":""},{"dropping-particle":"","family":"Churchward-Venne","given":"T. A.","non-dropping-particle":"","parse-names":false,"suffix":""},{"dropping-particle":"","family":"Breen","given":"L.","non-dropping-particle":"","parse-names":false,"suffix":""},{"dropping-particle":"","family":"Phillips","given":"S. M.","non-dropping-particle":"","parse-names":false,"suffix":""},{"dropping-particle":"","family":"Etheridge","given":"T.","non-dropping-particle":"","parse-names":false,"suffix":""},{"dropping-particle":"","family":"Rathmacher","given":"J. A.","non-dropping-particle":"","parse-names":false,"suffix":""},{"dropping-particle":"","family":"Smith","given":"K.","non-dropping-particle":"","parse-names":false,"suffix":""},{"dropping-particle":"","family":"Szewczyk","given":"N. J.","non-dropping-particle":"","parse-names":false,"suffix":""},{"dropping-particle":"","family":"Atherton","given":"P. J.","non-dropping-particle":"","parse-names":false,"suffix":""}],"container-title":"The Journal of physiology","id":"ITEM-1","issue":"11","issued":{"date-parts":[["2013","6"]]},"page":"2911-2923","publisher":"J Physiol","title":"Effects of leucine and its metabolite β-hydroxy-β-methylbutyrate on human skeletal muscle protein metabolism","type":"article-journal","volume":"591"},"uris":["http://www.mendeley.com/documents/?uuid=47545c7c-eb58-3d7f-92da-9892c3165f7f"]}],"mendeley":{"formattedCitation":"(251)","plainTextFormattedCitation":"(251)","previouslyFormattedCitation":"(251)"},"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(251)</w:t>
      </w:r>
      <w:r w:rsidR="004C12CF" w:rsidRPr="00CA4ABC">
        <w:rPr>
          <w:rFonts w:cstheme="minorHAnsi"/>
          <w:color w:val="000000" w:themeColor="text1"/>
        </w:rPr>
        <w:fldChar w:fldCharType="end"/>
      </w:r>
      <w:r w:rsidR="004C12CF" w:rsidRPr="00CA4ABC">
        <w:rPr>
          <w:rFonts w:cstheme="minorHAnsi"/>
          <w:color w:val="000000" w:themeColor="text1"/>
        </w:rPr>
        <w:t xml:space="preserve"> </w:t>
      </w:r>
      <w:r w:rsidR="0093345C" w:rsidRPr="00CA4ABC">
        <w:rPr>
          <w:rFonts w:cstheme="minorHAnsi"/>
          <w:color w:val="000000" w:themeColor="text1"/>
        </w:rPr>
        <w:t>theory,</w:t>
      </w:r>
      <w:r w:rsidR="004C12CF" w:rsidRPr="00CA4ABC">
        <w:rPr>
          <w:rFonts w:cstheme="minorHAnsi"/>
          <w:color w:val="000000" w:themeColor="text1"/>
        </w:rPr>
        <w:t xml:space="preserve"> are achieve</w:t>
      </w:r>
      <w:r w:rsidR="00656ADA" w:rsidRPr="00CA4ABC">
        <w:rPr>
          <w:rFonts w:cstheme="minorHAnsi"/>
          <w:color w:val="000000" w:themeColor="text1"/>
        </w:rPr>
        <w:t>d</w:t>
      </w:r>
      <w:r w:rsidR="004C12CF" w:rsidRPr="00CA4ABC">
        <w:rPr>
          <w:rFonts w:cstheme="minorHAnsi"/>
          <w:color w:val="000000" w:themeColor="text1"/>
        </w:rPr>
        <w:t xml:space="preserve"> at eating occasions across dietary preference groups would be of </w:t>
      </w:r>
      <w:r w:rsidR="0093345C" w:rsidRPr="00CA4ABC">
        <w:rPr>
          <w:rFonts w:cstheme="minorHAnsi"/>
          <w:color w:val="000000" w:themeColor="text1"/>
        </w:rPr>
        <w:t>value.</w:t>
      </w:r>
    </w:p>
    <w:p w14:paraId="77A63073" w14:textId="77777777" w:rsidR="004C12CF" w:rsidRPr="00CA4ABC" w:rsidRDefault="004C12CF" w:rsidP="004053D7">
      <w:pPr>
        <w:spacing w:line="360" w:lineRule="auto"/>
        <w:rPr>
          <w:rFonts w:cstheme="minorHAnsi"/>
          <w:color w:val="000000" w:themeColor="text1"/>
          <w:highlight w:val="green"/>
        </w:rPr>
      </w:pPr>
    </w:p>
    <w:p w14:paraId="3D9DA5C3" w14:textId="0D8BFED0" w:rsidR="004C12CF" w:rsidRPr="00CA4ABC" w:rsidRDefault="004C12CF" w:rsidP="004053D7">
      <w:pPr>
        <w:pStyle w:val="Heading3"/>
        <w:spacing w:line="360" w:lineRule="auto"/>
        <w:rPr>
          <w:rFonts w:asciiTheme="minorHAnsi" w:hAnsiTheme="minorHAnsi" w:cstheme="minorHAnsi"/>
          <w:color w:val="000000" w:themeColor="text1"/>
        </w:rPr>
      </w:pPr>
      <w:bookmarkStart w:id="189" w:name="_Toc135384325"/>
      <w:r w:rsidRPr="00CA4ABC">
        <w:rPr>
          <w:rFonts w:asciiTheme="minorHAnsi" w:hAnsiTheme="minorHAnsi" w:cstheme="minorHAnsi"/>
          <w:color w:val="000000" w:themeColor="text1"/>
        </w:rPr>
        <w:t>4.4.5 Exploratory descriptive</w:t>
      </w:r>
      <w:r w:rsidR="000A06A0" w:rsidRPr="00CA4ABC">
        <w:rPr>
          <w:rFonts w:asciiTheme="minorHAnsi" w:hAnsiTheme="minorHAnsi" w:cstheme="minorHAnsi"/>
          <w:color w:val="000000" w:themeColor="text1"/>
        </w:rPr>
        <w:t xml:space="preserve"> analysis</w:t>
      </w:r>
      <w:r w:rsidRPr="00CA4ABC">
        <w:rPr>
          <w:rFonts w:asciiTheme="minorHAnsi" w:hAnsiTheme="minorHAnsi" w:cstheme="minorHAnsi"/>
          <w:color w:val="000000" w:themeColor="text1"/>
        </w:rPr>
        <w:t>.</w:t>
      </w:r>
      <w:bookmarkEnd w:id="189"/>
    </w:p>
    <w:p w14:paraId="63ECF896" w14:textId="3356AB06" w:rsidR="004C12CF" w:rsidRPr="00CA4ABC" w:rsidRDefault="004C12CF" w:rsidP="00E8340C">
      <w:pPr>
        <w:spacing w:line="360" w:lineRule="auto"/>
        <w:ind w:firstLine="720"/>
        <w:rPr>
          <w:rFonts w:cstheme="minorHAnsi"/>
          <w:color w:val="000000" w:themeColor="text1"/>
        </w:rPr>
      </w:pPr>
      <w:r w:rsidRPr="00CA4ABC">
        <w:rPr>
          <w:rFonts w:cstheme="minorHAnsi"/>
          <w:color w:val="000000" w:themeColor="text1"/>
        </w:rPr>
        <w:t>Overall, respondents appear</w:t>
      </w:r>
      <w:r w:rsidR="000A06A0" w:rsidRPr="00CA4ABC">
        <w:rPr>
          <w:rFonts w:cstheme="minorHAnsi"/>
          <w:color w:val="000000" w:themeColor="text1"/>
        </w:rPr>
        <w:t>ed</w:t>
      </w:r>
      <w:r w:rsidRPr="00CA4ABC">
        <w:rPr>
          <w:rFonts w:cstheme="minorHAnsi"/>
          <w:color w:val="000000" w:themeColor="text1"/>
        </w:rPr>
        <w:t xml:space="preserve"> to have </w:t>
      </w:r>
      <w:r w:rsidR="00656ADA" w:rsidRPr="00CA4ABC">
        <w:rPr>
          <w:rFonts w:cstheme="minorHAnsi"/>
          <w:color w:val="000000" w:themeColor="text1"/>
        </w:rPr>
        <w:t>good knowledge</w:t>
      </w:r>
      <w:r w:rsidRPr="00CA4ABC">
        <w:rPr>
          <w:rFonts w:cstheme="minorHAnsi"/>
          <w:color w:val="000000" w:themeColor="text1"/>
        </w:rPr>
        <w:t xml:space="preserve"> about what foods have high and low protein </w:t>
      </w:r>
      <w:r w:rsidR="00656ADA" w:rsidRPr="00CA4ABC">
        <w:rPr>
          <w:rFonts w:cstheme="minorHAnsi"/>
          <w:color w:val="000000" w:themeColor="text1"/>
        </w:rPr>
        <w:t>content</w:t>
      </w:r>
      <w:r w:rsidRPr="00CA4ABC">
        <w:rPr>
          <w:rFonts w:cstheme="minorHAnsi"/>
          <w:color w:val="000000" w:themeColor="text1"/>
        </w:rPr>
        <w:t xml:space="preserve">. Despite that, responses relating to protein guidelines and how many meals a day should contain protein were suboptimal. </w:t>
      </w:r>
    </w:p>
    <w:p w14:paraId="15098F07" w14:textId="77777777" w:rsidR="004C12CF" w:rsidRPr="00CA4ABC" w:rsidRDefault="004C12CF" w:rsidP="004053D7">
      <w:pPr>
        <w:spacing w:line="360" w:lineRule="auto"/>
        <w:rPr>
          <w:rFonts w:cstheme="minorHAnsi"/>
          <w:color w:val="000000" w:themeColor="text1"/>
          <w:highlight w:val="green"/>
        </w:rPr>
      </w:pPr>
    </w:p>
    <w:p w14:paraId="2AC0AEAD" w14:textId="1EC9A920" w:rsidR="004C12CF" w:rsidRPr="00CA4ABC" w:rsidRDefault="004C12CF" w:rsidP="004053D7">
      <w:pPr>
        <w:spacing w:line="360" w:lineRule="auto"/>
        <w:rPr>
          <w:rFonts w:cstheme="minorHAnsi"/>
          <w:color w:val="000000" w:themeColor="text1"/>
          <w:highlight w:val="green"/>
        </w:rPr>
      </w:pPr>
      <w:r w:rsidRPr="00CA4ABC">
        <w:rPr>
          <w:rFonts w:cstheme="minorHAnsi"/>
          <w:color w:val="000000" w:themeColor="text1"/>
        </w:rPr>
        <w:t xml:space="preserve">Despite the majority accurately identifying if a food is a “high” or “low” source of protein, there may still be inaccuracies around protein </w:t>
      </w:r>
      <w:r w:rsidR="00656ADA" w:rsidRPr="00CA4ABC">
        <w:rPr>
          <w:rFonts w:cstheme="minorHAnsi"/>
          <w:color w:val="000000" w:themeColor="text1"/>
        </w:rPr>
        <w:t>portion</w:t>
      </w:r>
      <w:r w:rsidRPr="00CA4ABC">
        <w:rPr>
          <w:rFonts w:cstheme="minorHAnsi"/>
          <w:color w:val="000000" w:themeColor="text1"/>
        </w:rPr>
        <w:t xml:space="preserve"> sizes, particularly if protein thresholds of 20-30g per serving are desirable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{"citationItems":[{"id":"ITEM-1","itemData":{"DOI":"10.3390/nu10030360","ISSN":"20726643","PMID":"29547523","abstract":"With an ageing population, dietary approaches to promote health and independence later in life are needed. In part, this can be achieved by maintaining muscle mass and strength as people age. New evidence suggests that current dietary recommendations for protein intake may be insufficient to achieve this goal and that individuals might benefit by increasing their intake and frequency of consumption of high-quality protein. However, the environmental effects of increasing animal-protein production are a concern, and alternative, more sustainable protein sources should be considered. Protein is known to be more satiating than other macronutrients, and it is unclear whether diets high in plant proteins affect the appetite of older adults as they should be recommended for individuals at risk of malnutrition. The review considers the protein needs of an ageing population (&gt;40 years old), sustainable protein sources, appetite-related implications of diets high in plant proteins, and related areas for future research.","author":[{"dropping-particle":"","family":"Lonnie","given":"Marta","non-dropping-particle":"","parse-names":false,"suffix":""},{"dropping-particle":"","family":"Hooker","given":"Emma","non-dropping-particle":"","parse-names":false,"suffix":""},{"dropping-particle":"","family":"Brunstrom","given":"Jeffrey M.","non-dropping-particle":"","parse-names":false,"suffix":""},{"dropping-particle":"","family":"Corfe","given":"Bernard M.","non-dropping-particle":"","parse-names":false,"suffix":""},{"dropping-particle":"","family":"Green","given":"Mark A.","non-dropping-particle":"","parse-names":false,"suffix":""},{"dropping-particle":"","family":"Watson","given":"Anthony W.","non-dropping-particle":"","parse-names":false,"suffix":""},{"dropping-particle":"","family":"Williams","given":"Elizabeth A.","non-dropping-particle":"","parse-names":false,"suffix":""},{"dropping-particle":"","family":"Stevenson","given":"Emma J.","non-dropping-particle":"","parse-names":false,"suffix":""},{"dropping-particle":"","family":"Penson","given":"Simon","non-dropping-particle":"","parse-names":false,"suffix":""},{"dropping-particle":"","family":"Johnstone","given":"Alexandra M.","non-dropping-particle":"","parse-names":false,"suffix":""}],"container-title":"Nutrients","id":"ITEM-1","issue":"3","issued":{"date-parts":[["2018","3","16"]]},"publisher":"MDPI AG","title":"Protein for life: Review of optimal protein intake, sustainable dietary sources and the effect on appetite in ageing adults","type":"article","volume":"10"},"uris":["http://www.mendeley.com/documents/?uuid=f27f2062-9514-3d72-b874-d687388f1dd2"]}],"mendeley":{"formattedCitation":"(225)","plainTextFormattedCitation":"(225)","previouslyFormattedCitation":"(225)"},"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(225)</w:t>
      </w:r>
      <w:r w:rsidRPr="00CA4ABC">
        <w:rPr>
          <w:rFonts w:cstheme="minorHAnsi"/>
          <w:color w:val="000000" w:themeColor="text1"/>
        </w:rPr>
        <w:fldChar w:fldCharType="end"/>
      </w:r>
      <w:r w:rsidRPr="00CA4ABC">
        <w:rPr>
          <w:rFonts w:cstheme="minorHAnsi"/>
          <w:color w:val="000000" w:themeColor="text1"/>
        </w:rPr>
        <w:t xml:space="preserve">. </w:t>
      </w:r>
      <w:r w:rsidR="00C17551" w:rsidRPr="00CA4ABC">
        <w:rPr>
          <w:rFonts w:cstheme="minorHAnsi"/>
          <w:color w:val="000000" w:themeColor="text1"/>
        </w:rPr>
        <w:t xml:space="preserve">Meat serving </w:t>
      </w:r>
      <w:r w:rsidR="002D50ED">
        <w:rPr>
          <w:rFonts w:cstheme="minorHAnsi"/>
          <w:color w:val="000000" w:themeColor="text1"/>
        </w:rPr>
        <w:t>measures</w:t>
      </w:r>
      <w:r w:rsidR="00C17551" w:rsidRPr="00CA4ABC">
        <w:rPr>
          <w:rFonts w:cstheme="minorHAnsi"/>
          <w:color w:val="000000" w:themeColor="text1"/>
        </w:rPr>
        <w:t xml:space="preserve"> were answered incorrectly by </w:t>
      </w:r>
      <w:r w:rsidRPr="00CA4ABC">
        <w:rPr>
          <w:rFonts w:cstheme="minorHAnsi"/>
          <w:color w:val="000000" w:themeColor="text1"/>
        </w:rPr>
        <w:t xml:space="preserve">40% of respondents. Additionally, over half the participants failed to </w:t>
      </w:r>
      <w:r w:rsidR="00656ADA" w:rsidRPr="00CA4ABC">
        <w:rPr>
          <w:rFonts w:cstheme="minorHAnsi"/>
          <w:color w:val="000000" w:themeColor="text1"/>
        </w:rPr>
        <w:t>identify</w:t>
      </w:r>
      <w:r w:rsidRPr="00CA4ABC">
        <w:rPr>
          <w:rFonts w:cstheme="minorHAnsi"/>
          <w:color w:val="000000" w:themeColor="text1"/>
        </w:rPr>
        <w:t xml:space="preserve"> how many eggs </w:t>
      </w:r>
      <w:r w:rsidR="00656ADA" w:rsidRPr="00CA4ABC">
        <w:rPr>
          <w:rFonts w:cstheme="minorHAnsi"/>
          <w:color w:val="000000" w:themeColor="text1"/>
        </w:rPr>
        <w:t>equate</w:t>
      </w:r>
      <w:r w:rsidRPr="00CA4ABC">
        <w:rPr>
          <w:rFonts w:cstheme="minorHAnsi"/>
          <w:color w:val="000000" w:themeColor="text1"/>
        </w:rPr>
        <w:t xml:space="preserve"> to a recommended </w:t>
      </w:r>
      <w:r w:rsidR="000A06A0" w:rsidRPr="00CA4ABC">
        <w:rPr>
          <w:rFonts w:cstheme="minorHAnsi"/>
          <w:color w:val="000000" w:themeColor="text1"/>
        </w:rPr>
        <w:t>portion</w:t>
      </w:r>
      <w:r w:rsidRPr="00CA4ABC">
        <w:rPr>
          <w:rFonts w:cstheme="minorHAnsi"/>
          <w:color w:val="000000" w:themeColor="text1"/>
        </w:rPr>
        <w:t xml:space="preserve">. This </w:t>
      </w:r>
      <w:r w:rsidR="00C044CB" w:rsidRPr="00CA4ABC">
        <w:rPr>
          <w:rFonts w:cstheme="minorHAnsi"/>
          <w:color w:val="000000" w:themeColor="text1"/>
        </w:rPr>
        <w:t>lack of awareness of what constitutes a portion could have</w:t>
      </w:r>
      <w:r w:rsidR="003F3DEA" w:rsidRPr="00CA4ABC">
        <w:rPr>
          <w:rFonts w:cstheme="minorHAnsi"/>
          <w:color w:val="000000" w:themeColor="text1"/>
        </w:rPr>
        <w:t xml:space="preserve"> implications for</w:t>
      </w:r>
      <w:r w:rsidRPr="00CA4ABC">
        <w:rPr>
          <w:rFonts w:cstheme="minorHAnsi"/>
          <w:color w:val="000000" w:themeColor="text1"/>
        </w:rPr>
        <w:t xml:space="preserve"> MPS </w:t>
      </w:r>
      <w:r w:rsidR="003F3DEA" w:rsidRPr="00CA4ABC">
        <w:rPr>
          <w:rFonts w:cstheme="minorHAnsi"/>
          <w:color w:val="000000" w:themeColor="text1"/>
        </w:rPr>
        <w:t>rates</w:t>
      </w:r>
      <w:r w:rsidRPr="00CA4ABC">
        <w:rPr>
          <w:rFonts w:cstheme="minorHAnsi"/>
          <w:color w:val="000000" w:themeColor="text1"/>
        </w:rPr>
        <w:t xml:space="preserve">. Uncertainties could </w:t>
      </w:r>
      <w:r w:rsidR="002D50ED">
        <w:rPr>
          <w:rFonts w:cstheme="minorHAnsi"/>
          <w:color w:val="000000" w:themeColor="text1"/>
        </w:rPr>
        <w:t xml:space="preserve">result from </w:t>
      </w:r>
      <w:r w:rsidR="00640FCE" w:rsidRPr="00CA4ABC">
        <w:rPr>
          <w:rFonts w:cstheme="minorHAnsi"/>
          <w:color w:val="000000" w:themeColor="text1"/>
        </w:rPr>
        <w:t xml:space="preserve">limited </w:t>
      </w:r>
      <w:r w:rsidRPr="00CA4ABC">
        <w:rPr>
          <w:rFonts w:cstheme="minorHAnsi"/>
          <w:color w:val="000000" w:themeColor="text1"/>
        </w:rPr>
        <w:t>portion size</w:t>
      </w:r>
      <w:r w:rsidR="00640FCE" w:rsidRPr="00CA4ABC">
        <w:rPr>
          <w:rFonts w:cstheme="minorHAnsi"/>
          <w:color w:val="000000" w:themeColor="text1"/>
        </w:rPr>
        <w:t xml:space="preserve"> information</w:t>
      </w:r>
      <w:r w:rsidRPr="00CA4ABC">
        <w:rPr>
          <w:rFonts w:cstheme="minorHAnsi"/>
          <w:color w:val="000000" w:themeColor="text1"/>
        </w:rPr>
        <w:t xml:space="preserve"> for protein foods from policy recommendations. To address this, </w:t>
      </w:r>
      <w:r w:rsidRPr="00CA4ABC">
        <w:rPr>
          <w:rFonts w:cstheme="minorHAnsi"/>
          <w:color w:val="000000" w:themeColor="text1"/>
        </w:rPr>
        <w:lastRenderedPageBreak/>
        <w:t xml:space="preserve">charities such as the British Nutrition Foundation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{"citationItems":[{"id":"ITEM-1","itemData":{"URL":"https://www.nutrition.org.uk/putting-it-into-practice/balancing-the-diet/get-portion-wise/","accessed":{"date-parts":[["2022","11","14"]]},"id":"ITEM-1","issued":{"date-parts":[["0"]]},"title":"Get portion wise! - British Nutrition Foundation","type":"webpage"},"uris":["http://www.mendeley.com/documents/?uuid=2f139a1b-cd77-3e52-8346-ed07a4877b19"]}],"mendeley":{"formattedCitation":"(253)","plainTextFormattedCitation":"(253)","previouslyFormattedCitation":"(253)"},"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(253)</w:t>
      </w:r>
      <w:r w:rsidRPr="00CA4ABC">
        <w:rPr>
          <w:rFonts w:cstheme="minorHAnsi"/>
          <w:color w:val="000000" w:themeColor="text1"/>
        </w:rPr>
        <w:fldChar w:fldCharType="end"/>
      </w:r>
      <w:r w:rsidRPr="00CA4ABC">
        <w:rPr>
          <w:rFonts w:cstheme="minorHAnsi"/>
          <w:color w:val="000000" w:themeColor="text1"/>
        </w:rPr>
        <w:t xml:space="preserve"> have created resources</w:t>
      </w:r>
      <w:r w:rsidR="00640FCE" w:rsidRPr="00CA4ABC">
        <w:rPr>
          <w:rFonts w:cstheme="minorHAnsi"/>
          <w:color w:val="000000" w:themeColor="text1"/>
        </w:rPr>
        <w:t>,</w:t>
      </w:r>
      <w:r w:rsidRPr="00CA4ABC">
        <w:rPr>
          <w:rFonts w:cstheme="minorHAnsi"/>
          <w:color w:val="000000" w:themeColor="text1"/>
        </w:rPr>
        <w:t xml:space="preserve"> </w:t>
      </w:r>
      <w:r w:rsidR="00C044CB" w:rsidRPr="00CA4ABC">
        <w:rPr>
          <w:rFonts w:cstheme="minorHAnsi"/>
          <w:color w:val="000000" w:themeColor="text1"/>
        </w:rPr>
        <w:t>but widespread public health campaigns have not be</w:t>
      </w:r>
      <w:r w:rsidR="00C17551" w:rsidRPr="00CA4ABC">
        <w:rPr>
          <w:rFonts w:cstheme="minorHAnsi"/>
          <w:color w:val="000000" w:themeColor="text1"/>
        </w:rPr>
        <w:t>en</w:t>
      </w:r>
      <w:r w:rsidR="00C044CB" w:rsidRPr="00CA4ABC">
        <w:rPr>
          <w:rFonts w:cstheme="minorHAnsi"/>
          <w:color w:val="000000" w:themeColor="text1"/>
        </w:rPr>
        <w:t xml:space="preserve"> a priority in this area.</w:t>
      </w:r>
      <w:r w:rsidRPr="00CA4ABC">
        <w:rPr>
          <w:rFonts w:cstheme="minorHAnsi"/>
          <w:color w:val="000000" w:themeColor="text1"/>
        </w:rPr>
        <w:t xml:space="preserve"> </w:t>
      </w:r>
    </w:p>
    <w:p w14:paraId="503D7909" w14:textId="77777777" w:rsidR="005D4657" w:rsidRPr="00CA4ABC" w:rsidRDefault="005D4657" w:rsidP="004053D7">
      <w:pPr>
        <w:spacing w:line="360" w:lineRule="auto"/>
        <w:rPr>
          <w:rFonts w:cstheme="minorHAnsi"/>
          <w:color w:val="000000" w:themeColor="text1"/>
        </w:rPr>
      </w:pPr>
      <w:bookmarkStart w:id="190" w:name="_Toc122963346"/>
    </w:p>
    <w:p w14:paraId="3C50EA5F" w14:textId="7667285C" w:rsidR="00BB3AC7" w:rsidRPr="00CA4ABC" w:rsidRDefault="004C12CF" w:rsidP="004053D7">
      <w:pPr>
        <w:spacing w:line="360" w:lineRule="auto"/>
        <w:rPr>
          <w:rFonts w:cstheme="minorHAnsi"/>
          <w:color w:val="000000" w:themeColor="text1"/>
        </w:rPr>
      </w:pPr>
      <w:r w:rsidRPr="00CA4ABC">
        <w:rPr>
          <w:rFonts w:cstheme="minorHAnsi"/>
          <w:color w:val="000000" w:themeColor="text1"/>
        </w:rPr>
        <w:t>Nuts</w:t>
      </w:r>
      <w:r w:rsidR="009E732E" w:rsidRPr="00CA4ABC">
        <w:rPr>
          <w:rFonts w:cstheme="minorHAnsi"/>
          <w:color w:val="000000" w:themeColor="text1"/>
        </w:rPr>
        <w:t xml:space="preserve"> </w:t>
      </w:r>
      <w:r w:rsidRPr="00CA4ABC">
        <w:rPr>
          <w:rFonts w:cstheme="minorHAnsi"/>
          <w:color w:val="000000" w:themeColor="text1"/>
        </w:rPr>
        <w:t xml:space="preserve">were </w:t>
      </w:r>
      <w:r w:rsidR="00656ADA" w:rsidRPr="00CA4ABC">
        <w:rPr>
          <w:rFonts w:cstheme="minorHAnsi"/>
          <w:color w:val="000000" w:themeColor="text1"/>
        </w:rPr>
        <w:t>c</w:t>
      </w:r>
      <w:r w:rsidRPr="00CA4ABC">
        <w:rPr>
          <w:rFonts w:cstheme="minorHAnsi"/>
          <w:color w:val="000000" w:themeColor="text1"/>
        </w:rPr>
        <w:t>lassed as a “</w:t>
      </w:r>
      <w:r w:rsidR="00656ADA" w:rsidRPr="00CA4ABC">
        <w:rPr>
          <w:rFonts w:cstheme="minorHAnsi"/>
          <w:color w:val="000000" w:themeColor="text1"/>
        </w:rPr>
        <w:t>low</w:t>
      </w:r>
      <w:r w:rsidRPr="00CA4ABC">
        <w:rPr>
          <w:rFonts w:cstheme="minorHAnsi"/>
          <w:color w:val="000000" w:themeColor="text1"/>
        </w:rPr>
        <w:t>” protein food,</w:t>
      </w:r>
      <w:r w:rsidR="009E732E" w:rsidRPr="00CA4ABC">
        <w:rPr>
          <w:rFonts w:cstheme="minorHAnsi"/>
          <w:color w:val="000000" w:themeColor="text1"/>
        </w:rPr>
        <w:t xml:space="preserve"> based on the workings that 20% of energy was required from protein to fall into this category</w:t>
      </w:r>
      <w:r w:rsidR="003F3DEA" w:rsidRPr="00CA4ABC">
        <w:rPr>
          <w:rFonts w:cstheme="minorHAnsi"/>
          <w:color w:val="000000" w:themeColor="text1"/>
        </w:rPr>
        <w:t xml:space="preserve"> (229). Despite this,</w:t>
      </w:r>
      <w:r w:rsidRPr="00CA4ABC">
        <w:rPr>
          <w:rFonts w:cstheme="minorHAnsi"/>
          <w:color w:val="000000" w:themeColor="text1"/>
        </w:rPr>
        <w:t xml:space="preserve"> 92.2% of respondents </w:t>
      </w:r>
      <w:r w:rsidR="00BB3AC7" w:rsidRPr="00CA4ABC">
        <w:rPr>
          <w:rFonts w:cstheme="minorHAnsi"/>
          <w:color w:val="000000" w:themeColor="text1"/>
        </w:rPr>
        <w:t>place</w:t>
      </w:r>
      <w:r w:rsidR="00656ADA" w:rsidRPr="00CA4ABC">
        <w:rPr>
          <w:rFonts w:cstheme="minorHAnsi"/>
          <w:color w:val="000000" w:themeColor="text1"/>
        </w:rPr>
        <w:t>d</w:t>
      </w:r>
      <w:r w:rsidR="00BB3AC7" w:rsidRPr="00CA4ABC">
        <w:rPr>
          <w:rFonts w:cstheme="minorHAnsi"/>
          <w:color w:val="000000" w:themeColor="text1"/>
        </w:rPr>
        <w:t xml:space="preserve"> it in the</w:t>
      </w:r>
      <w:r w:rsidR="009E732E" w:rsidRPr="00CA4ABC">
        <w:rPr>
          <w:rFonts w:cstheme="minorHAnsi"/>
          <w:color w:val="000000" w:themeColor="text1"/>
        </w:rPr>
        <w:t xml:space="preserve"> </w:t>
      </w:r>
      <w:r w:rsidR="00BB3AC7" w:rsidRPr="00CA4ABC">
        <w:rPr>
          <w:rFonts w:cstheme="minorHAnsi"/>
          <w:color w:val="000000" w:themeColor="text1"/>
        </w:rPr>
        <w:t>“</w:t>
      </w:r>
      <w:r w:rsidR="009E732E" w:rsidRPr="00CA4ABC">
        <w:rPr>
          <w:rFonts w:cstheme="minorHAnsi"/>
          <w:color w:val="000000" w:themeColor="text1"/>
        </w:rPr>
        <w:t>high</w:t>
      </w:r>
      <w:r w:rsidR="00BB3AC7" w:rsidRPr="00CA4ABC">
        <w:rPr>
          <w:rFonts w:cstheme="minorHAnsi"/>
          <w:color w:val="000000" w:themeColor="text1"/>
        </w:rPr>
        <w:t xml:space="preserve">” category. </w:t>
      </w:r>
      <w:r w:rsidRPr="00CA4ABC">
        <w:rPr>
          <w:rFonts w:cstheme="minorHAnsi"/>
          <w:color w:val="000000" w:themeColor="text1"/>
        </w:rPr>
        <w:t>This may have been misleading</w:t>
      </w:r>
      <w:r w:rsidR="00BB3AC7" w:rsidRPr="00CA4ABC">
        <w:rPr>
          <w:rFonts w:cstheme="minorHAnsi"/>
          <w:color w:val="000000" w:themeColor="text1"/>
        </w:rPr>
        <w:t>,</w:t>
      </w:r>
      <w:r w:rsidRPr="00CA4ABC">
        <w:rPr>
          <w:rFonts w:cstheme="minorHAnsi"/>
          <w:color w:val="000000" w:themeColor="text1"/>
        </w:rPr>
        <w:t xml:space="preserve"> especially as</w:t>
      </w:r>
      <w:r w:rsidR="00656ADA" w:rsidRPr="00CA4ABC">
        <w:rPr>
          <w:rFonts w:cstheme="minorHAnsi"/>
          <w:color w:val="000000" w:themeColor="text1"/>
        </w:rPr>
        <w:t>,</w:t>
      </w:r>
      <w:r w:rsidRPr="00CA4ABC">
        <w:rPr>
          <w:rFonts w:cstheme="minorHAnsi"/>
          <w:color w:val="000000" w:themeColor="text1"/>
        </w:rPr>
        <w:t xml:space="preserve"> according to the Eatwell guide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{"citationItems":[{"id":"ITEM-1","itemData":{"URL":"https://www.nhs.uk/live-well/eat-well/food-guidelines-and-food-labels/the-eatwell-guide/","accessed":{"date-parts":[["2022","12","19"]]},"id":"ITEM-1","issued":{"date-parts":[["0"]]},"title":"The Eatwell Guide - NHS","type":"webpage"},"uris":["http://www.mendeley.com/documents/?uuid=1a403b21-ce1c-38cb-b1e3-4ddb186d6030"]}],"mendeley":{"formattedCitation":"(254)","plainTextFormattedCitation":"(254)","previouslyFormattedCitation":"(254)"},"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(254)</w:t>
      </w:r>
      <w:r w:rsidRPr="00CA4ABC">
        <w:rPr>
          <w:rFonts w:cstheme="minorHAnsi"/>
          <w:color w:val="000000" w:themeColor="text1"/>
        </w:rPr>
        <w:fldChar w:fldCharType="end"/>
      </w:r>
      <w:r w:rsidRPr="00CA4ABC">
        <w:rPr>
          <w:rFonts w:cstheme="minorHAnsi"/>
          <w:color w:val="000000" w:themeColor="text1"/>
        </w:rPr>
        <w:t xml:space="preserve"> nuts are placed under the protein category. Once again, this could highlight inadequacies in communication about protein recommendations</w:t>
      </w:r>
      <w:r w:rsidR="00640FCE" w:rsidRPr="00CA4ABC">
        <w:rPr>
          <w:rFonts w:cstheme="minorHAnsi"/>
          <w:color w:val="000000" w:themeColor="text1"/>
        </w:rPr>
        <w:t xml:space="preserve">. </w:t>
      </w:r>
      <w:r w:rsidR="009E16BA">
        <w:rPr>
          <w:rFonts w:cstheme="minorHAnsi"/>
          <w:color w:val="000000" w:themeColor="text1"/>
        </w:rPr>
        <w:t>The result supported this finding</w:t>
      </w:r>
      <w:r w:rsidRPr="00CA4ABC">
        <w:rPr>
          <w:rFonts w:cstheme="minorHAnsi"/>
          <w:color w:val="000000" w:themeColor="text1"/>
        </w:rPr>
        <w:t xml:space="preserve"> that almost 50% of participants did not accurately identify UK RNI for protein (0.75 g/kg BM/d). </w:t>
      </w:r>
      <w:r w:rsidR="00640FCE" w:rsidRPr="00CA4ABC">
        <w:rPr>
          <w:rFonts w:cstheme="minorHAnsi"/>
          <w:color w:val="000000" w:themeColor="text1"/>
        </w:rPr>
        <w:t>However</w:t>
      </w:r>
      <w:r w:rsidRPr="00CA4ABC">
        <w:rPr>
          <w:rFonts w:cstheme="minorHAnsi"/>
          <w:color w:val="000000" w:themeColor="text1"/>
        </w:rPr>
        <w:t xml:space="preserve">, </w:t>
      </w:r>
      <w:r w:rsidR="00640FCE" w:rsidRPr="00CA4ABC">
        <w:rPr>
          <w:rFonts w:cstheme="minorHAnsi"/>
          <w:color w:val="000000" w:themeColor="text1"/>
        </w:rPr>
        <w:t xml:space="preserve">it </w:t>
      </w:r>
      <w:r w:rsidRPr="00CA4ABC">
        <w:rPr>
          <w:rFonts w:cstheme="minorHAnsi"/>
          <w:color w:val="000000" w:themeColor="text1"/>
        </w:rPr>
        <w:t>could also flag</w:t>
      </w:r>
      <w:r w:rsidR="00640FCE" w:rsidRPr="00CA4ABC">
        <w:rPr>
          <w:rFonts w:cstheme="minorHAnsi"/>
          <w:color w:val="000000" w:themeColor="text1"/>
        </w:rPr>
        <w:t xml:space="preserve"> potential</w:t>
      </w:r>
      <w:r w:rsidRPr="00CA4ABC">
        <w:rPr>
          <w:rFonts w:cstheme="minorHAnsi"/>
          <w:color w:val="000000" w:themeColor="text1"/>
        </w:rPr>
        <w:t xml:space="preserve"> issues with the questions</w:t>
      </w:r>
      <w:r w:rsidR="00BB3AC7" w:rsidRPr="00CA4ABC">
        <w:rPr>
          <w:rFonts w:cstheme="minorHAnsi"/>
          <w:color w:val="000000" w:themeColor="text1"/>
        </w:rPr>
        <w:t xml:space="preserve"> asked</w:t>
      </w:r>
      <w:r w:rsidRPr="00CA4ABC">
        <w:rPr>
          <w:rFonts w:cstheme="minorHAnsi"/>
          <w:color w:val="000000" w:themeColor="text1"/>
        </w:rPr>
        <w:t xml:space="preserve"> or response</w:t>
      </w:r>
      <w:r w:rsidR="00640FCE" w:rsidRPr="00CA4ABC">
        <w:rPr>
          <w:rFonts w:cstheme="minorHAnsi"/>
          <w:color w:val="000000" w:themeColor="text1"/>
        </w:rPr>
        <w:t xml:space="preserve"> options</w:t>
      </w:r>
      <w:r w:rsidRPr="00CA4ABC">
        <w:rPr>
          <w:rFonts w:cstheme="minorHAnsi"/>
          <w:color w:val="000000" w:themeColor="text1"/>
        </w:rPr>
        <w:t xml:space="preserve"> available. Adding an additional </w:t>
      </w:r>
      <w:r w:rsidR="00640FCE" w:rsidRPr="00CA4ABC">
        <w:rPr>
          <w:rFonts w:cstheme="minorHAnsi"/>
          <w:color w:val="000000" w:themeColor="text1"/>
        </w:rPr>
        <w:t>answer column</w:t>
      </w:r>
      <w:r w:rsidRPr="00CA4ABC">
        <w:rPr>
          <w:rFonts w:cstheme="minorHAnsi"/>
          <w:color w:val="000000" w:themeColor="text1"/>
        </w:rPr>
        <w:t>, such a</w:t>
      </w:r>
      <w:r w:rsidR="00656ADA" w:rsidRPr="00CA4ABC">
        <w:rPr>
          <w:rFonts w:cstheme="minorHAnsi"/>
          <w:color w:val="000000" w:themeColor="text1"/>
        </w:rPr>
        <w:t>s</w:t>
      </w:r>
      <w:r w:rsidRPr="00CA4ABC">
        <w:rPr>
          <w:rFonts w:cstheme="minorHAnsi"/>
          <w:color w:val="000000" w:themeColor="text1"/>
        </w:rPr>
        <w:t xml:space="preserve"> “source of protein” may have led to </w:t>
      </w:r>
      <w:r w:rsidR="00656ADA" w:rsidRPr="00CA4ABC">
        <w:rPr>
          <w:rFonts w:cstheme="minorHAnsi"/>
          <w:color w:val="000000" w:themeColor="text1"/>
        </w:rPr>
        <w:t>more accurate responses</w:t>
      </w:r>
      <w:r w:rsidRPr="00CA4ABC">
        <w:rPr>
          <w:rFonts w:cstheme="minorHAnsi"/>
          <w:color w:val="000000" w:themeColor="text1"/>
        </w:rPr>
        <w:t xml:space="preserve"> and is a consideration for future questionnaire designs, particularly if a validated tool is to be created. </w:t>
      </w:r>
      <w:r w:rsidR="000551ED" w:rsidRPr="00CA4ABC">
        <w:rPr>
          <w:rFonts w:cstheme="minorHAnsi"/>
          <w:color w:val="000000" w:themeColor="text1"/>
        </w:rPr>
        <w:t xml:space="preserve"> </w:t>
      </w:r>
      <w:bookmarkStart w:id="191" w:name="_Toc122957626"/>
      <w:bookmarkStart w:id="192" w:name="_Toc122958274"/>
    </w:p>
    <w:p w14:paraId="74038114" w14:textId="3C0BD0DC" w:rsidR="00E8340C" w:rsidRPr="00342E1D" w:rsidRDefault="000551ED" w:rsidP="00342E1D">
      <w:pPr>
        <w:spacing w:line="360" w:lineRule="auto"/>
        <w:rPr>
          <w:rFonts w:cstheme="minorHAnsi"/>
          <w:color w:val="000000" w:themeColor="text1"/>
          <w:shd w:val="clear" w:color="auto" w:fill="FFFFFF"/>
        </w:rPr>
      </w:pPr>
      <w:r w:rsidRPr="00CA4ABC">
        <w:rPr>
          <w:rFonts w:cstheme="minorHAnsi"/>
          <w:color w:val="000000" w:themeColor="text1"/>
        </w:rPr>
        <w:t xml:space="preserve">Another finding from this research is that </w:t>
      </w:r>
      <w:r w:rsidR="00656ADA" w:rsidRPr="00CA4ABC">
        <w:rPr>
          <w:rFonts w:cstheme="minorHAnsi"/>
          <w:color w:val="000000" w:themeColor="text1"/>
        </w:rPr>
        <w:t>most</w:t>
      </w:r>
      <w:r w:rsidRPr="00CA4ABC">
        <w:rPr>
          <w:rFonts w:cstheme="minorHAnsi"/>
          <w:color w:val="000000" w:themeColor="text1"/>
        </w:rPr>
        <w:t xml:space="preserve"> participants failed to acknowledge that protein should be consumed at 3 meals per day, with 60% of people not recognising this. This </w:t>
      </w:r>
      <w:r w:rsidR="00640FCE" w:rsidRPr="00CA4ABC">
        <w:rPr>
          <w:rFonts w:cstheme="minorHAnsi"/>
          <w:color w:val="000000" w:themeColor="text1"/>
        </w:rPr>
        <w:t>supports finding</w:t>
      </w:r>
      <w:r w:rsidR="00EB12A3" w:rsidRPr="00CA4ABC">
        <w:rPr>
          <w:rFonts w:cstheme="minorHAnsi"/>
          <w:color w:val="000000" w:themeColor="text1"/>
        </w:rPr>
        <w:t>s</w:t>
      </w:r>
      <w:r w:rsidR="00640FCE" w:rsidRPr="00CA4ABC">
        <w:rPr>
          <w:rFonts w:cstheme="minorHAnsi"/>
          <w:color w:val="000000" w:themeColor="text1"/>
        </w:rPr>
        <w:t xml:space="preserve"> that protein intakes are </w:t>
      </w:r>
      <w:r w:rsidR="00EB12A3" w:rsidRPr="00CA4ABC">
        <w:rPr>
          <w:rFonts w:cstheme="minorHAnsi"/>
          <w:color w:val="000000" w:themeColor="text1"/>
        </w:rPr>
        <w:t>typically skewed</w:t>
      </w:r>
      <w:r w:rsidRPr="00CA4ABC">
        <w:rPr>
          <w:rFonts w:cstheme="minorHAnsi"/>
          <w:color w:val="000000" w:themeColor="text1"/>
        </w:rPr>
        <w:t xml:space="preserve">, </w:t>
      </w:r>
      <w:r w:rsidR="00640FCE" w:rsidRPr="00CA4ABC">
        <w:rPr>
          <w:rFonts w:cstheme="minorHAnsi"/>
          <w:color w:val="000000" w:themeColor="text1"/>
        </w:rPr>
        <w:t>and are higher at</w:t>
      </w:r>
      <w:r w:rsidRPr="00CA4ABC">
        <w:rPr>
          <w:rFonts w:cstheme="minorHAnsi"/>
          <w:color w:val="000000" w:themeColor="text1"/>
        </w:rPr>
        <w:t xml:space="preserve"> lunch and evening meals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{"citationItems":[{"id":"ITEM-1","itemData":{"DOI":"10.3390/NU9030184","ISSN":"2072-6643","PMID":"28241469","abstract":"Daily distribution of dietary protein may be important in protecting against sarcopenia, specifically in terms of per meal amounts relative to a proposed threshold for maximal response. The aims of this study were to determine total and per meal protein intake in older adults, as well as identifying associations with physical activity and sedentary behavior. Three-day food diaries recorded protein intake in 38 participants. Protein distribution, coefficient of variation (CV), and per meal amounts were calculated. Accelerometry was used to collect physical activity data as well as volume and patterns of sedentary time. Average intake was 1.14 g·kg−1·day−1. Distribution was uneven (CV = 0.67), and 79% of participants reported &lt;0.4 g·kg−1 protein content in at least 2/3 daily meals. Protein intake was significantly correlated with step count (r = 0.439, p = 0.007) and negatively correlated with sedentary time (r = −0.456, p = 0.005) and Gini index G, which describes the pattern of accumulation of sedentary time (r = −0.421, p = 0.011). Total daily protein intake was sufficient; however, distribution did not align with the current literature; increasing protein intake may help to facilitate optimization of distribution. Associations between protein and other risk factors for sarcopenia may also inform protective strategies.","author":[{"dropping-particle":"","family":"Cardon-Thomas","given":"Danielle K.","non-dropping-particle":"","parse-names":false,"suffix":""},{"dropping-particle":"","family":"Riviere","given":"Timothy","non-dropping-particle":"","parse-names":false,"suffix":""},{"dropping-particle":"","family":"Tieges","given":"Zoë","non-dropping-particle":"","parse-names":false,"suffix":""},{"dropping-particle":"","family":"Greig","given":"Carolyn A.","non-dropping-particle":"","parse-names":false,"suffix":""}],"container-title":"Nutrients","id":"ITEM-1","issue":"3","issued":{"date-parts":[["2017","3","1"]]},"publisher":"Nutrients","title":"Dietary Protein in Older Adults: Adequate Daily Intake but Potential for Improved Distribution","type":"article-journal","volume":"9"},"uris":["http://www.mendeley.com/documents/?uuid=6e901d14-2a5f-3b9d-baff-f0d5d864eba9"]},{"id":"ITEM-2","itemData":{"DOI":"10.1038/EJCN.2011.210","ISSN":"1476-5640","PMID":"22190135","abstract":"BACKGROUND/OBJECTIVES: Associations between timing of eating occasions and their nutrient composition and health have been described in interventional and cross-sectional studies. However, data from longitudinal data are limited. This study examined 17-year changes in energy and macronutrient intake across eating occasions in the 1946 British birth cohort. SUBJECTS/METHODS: Data were obtained from the 1946 British birth cohort. Cohort members completed 5d-estimated diaries at ages 36 (1982), 43 (1989) and 53 years (1999). Data from subjects who provided dietary data at all three time points were analysed (n=1253). Repeated-measures analysis of variance with post hoc Bonferroni's adjustment was used to examine changes in energy and macronutrient at breakfast, mid-morning, lunch, mid-afternoon, evening and extra meal slots between 1982 and 1999. Analyses were stratified by sex and social class. RESULTS: The proportion of energy and macronutrients consumed at lunch declined between 1982 and 1999, which was compensated by a greater intake in the mid-afternoon and evening. This trend was seen across sex and social class, although women and adults with a non-manual occupation reported greater energy, carbohydrate and non-starch polysaccharide intake at breakfast in 1982 and had a higher protein intake in the evening compared with men and adults with a manual occupation. CONCLUSIONS: The timing of energy and nutrient intake has shifted slightly over time, with a greater proportion of intake later in the day. The association between the observed sex and occupational social class differences in eating profiles and chronic disease warrants investigation. © 2012 Macmillan Publishers Limited All rights reserved.","author":[{"dropping-particle":"","family":"Almoosawi","given":"S.","non-dropping-particle":"","parse-names":false,"suffix":""},{"dropping-particle":"","family":"Winter","given":"J.","non-dropping-particle":"","parse-names":false,"suffix":""},{"dropping-particle":"","family":"Prynne","given":"C. J.","non-dropping-particle":"","parse-names":false,"suffix":""},{"dropping-particle":"","family":"Hardy","given":"R.","non-dropping-particle":"","parse-names":false,"suffix":""},{"dropping-particle":"","family":"Stephen","given":"A. M.","non-dropping-particle":"","parse-names":false,"suffix":""}],"container-title":"European journal of clinical nutrition","id":"ITEM-2","issue":"6","issued":{"date-parts":[["2012","6"]]},"page":"678-686","publisher":"Eur J Clin Nutr","title":"Daily profiles of energy and nutrient intakes: are eating profiles changing over time?","type":"article-journal","volume":"66"},"uris":["http://www.mendeley.com/documents/?uuid=f891cde6-e56e-3ed5-96dd-461bf29df305"]}],"mendeley":{"formattedCitation":"(255,256)","plainTextFormattedCitation":"(255,256)","previouslyFormattedCitation":"(255,256)"},"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(255,256)</w:t>
      </w:r>
      <w:r w:rsidRPr="00CA4ABC">
        <w:rPr>
          <w:rFonts w:cstheme="minorHAnsi"/>
          <w:color w:val="000000" w:themeColor="text1"/>
        </w:rPr>
        <w:fldChar w:fldCharType="end"/>
      </w:r>
      <w:r w:rsidRPr="00CA4ABC">
        <w:rPr>
          <w:rFonts w:cstheme="minorHAnsi"/>
          <w:color w:val="000000" w:themeColor="text1"/>
        </w:rPr>
        <w:t xml:space="preserve">,  despite evidence suggesting that evenly distributed protein intakes </w:t>
      </w:r>
      <w:r w:rsidRPr="00CA4ABC">
        <w:rPr>
          <w:rFonts w:cstheme="minorHAnsi"/>
          <w:color w:val="000000" w:themeColor="text1"/>
          <w:spacing w:val="-2"/>
        </w:rPr>
        <w:t xml:space="preserve">positively </w:t>
      </w:r>
      <w:r w:rsidR="00656ADA" w:rsidRPr="00CA4ABC">
        <w:rPr>
          <w:rFonts w:cstheme="minorHAnsi"/>
          <w:color w:val="000000" w:themeColor="text1"/>
          <w:spacing w:val="-2"/>
        </w:rPr>
        <w:t>influence</w:t>
      </w:r>
      <w:r w:rsidRPr="00CA4ABC">
        <w:rPr>
          <w:rFonts w:cstheme="minorHAnsi"/>
          <w:color w:val="000000" w:themeColor="text1"/>
          <w:spacing w:val="-2"/>
        </w:rPr>
        <w:t xml:space="preserve"> 24-h</w:t>
      </w:r>
      <w:r w:rsidR="00EB12A3" w:rsidRPr="00CA4ABC">
        <w:rPr>
          <w:rFonts w:cstheme="minorHAnsi"/>
          <w:color w:val="000000" w:themeColor="text1"/>
          <w:spacing w:val="-2"/>
        </w:rPr>
        <w:t>our</w:t>
      </w:r>
      <w:r w:rsidRPr="00CA4ABC">
        <w:rPr>
          <w:rFonts w:cstheme="minorHAnsi"/>
          <w:color w:val="000000" w:themeColor="text1"/>
          <w:spacing w:val="-2"/>
        </w:rPr>
        <w:t xml:space="preserve"> MPS </w:t>
      </w:r>
      <w:r w:rsidRPr="00CA4ABC">
        <w:rPr>
          <w:rFonts w:cstheme="minorHAnsi"/>
          <w:color w:val="000000" w:themeColor="text1"/>
          <w:spacing w:val="-2"/>
        </w:rPr>
        <w:fldChar w:fldCharType="begin" w:fldLock="1"/>
      </w:r>
      <w:r w:rsidR="00821D82">
        <w:rPr>
          <w:rFonts w:cstheme="minorHAnsi"/>
          <w:color w:val="000000" w:themeColor="text1"/>
          <w:spacing w:val="-2"/>
        </w:rPr>
        <w:instrText>ADDIN CSL_CITATION {"citationItems":[{"id":"ITEM-1","itemData":{"DOI":"10.3945/JN.113.185280","ISSN":"15416100","PMID":"24477298","abstract":"The RDA for protein describes the quantity that should be consumed daily to meet population needs and to prevent deficiency. Protein consumption in many countries exceeds the RDA; however, intake is often skewed toward the evening meal, whereas breakfast is typically carbohydrate rich and low in protein. We examined the effects of protein distribution on 24-h skeletal muscle protein synthesis in healthy adult men and women (n = 8; age: 36.9 ± 3.1 y; BMI: 25.7 ± 0.8 kg/m2). By using a 7-d crossover feeding design with a 30-d washout period, we measured changes in muscle protein synthesis in response to isoenergetic and isonitrogenous diets with protein at breakfast, lunch, and dinner distributed evenly (EVEN; 31.5 ± 1.3, 29.9 ± 1.6, and 32.7 ± 1.6 g protein, respectively) or skewed (SKEW; 10.7 ± 0.8, 16.0 ± 0.5, and 63.4 ± 3.7 g protein, respectively). Over 24-h periods on days 1 and 7, venous blood samples and vastus lateralis muscle biopsy samples were obtained during primed (2.0 μmol/kg) constant infusion [0.06 μmol/(kg-min)] of L-[ring-13C6] phenylalanine. The 24-h mixed muscle protein fractional synthesis rate was 25% higher in the EVEN (0.075 ± 0.006%/h) vs. the SKEW (0.056 ± 0.006%/h) protein distribution groups (P = 0.003). This pattern was maintained after 7 d of habituation to each diet (EVEN vs. SKEW: 0.077 ± 0.006 vs. 0.056 ± 0.006%/h; P = 0.001). The consumption of a moderate amount of protein at each meal stimulated 24-h muscle protein synthesis more effectively than skewing protein intake toward the evening meal. © 2014 American Society for Nutrition.","author":[{"dropping-particle":"","family":"Mamerow","given":"Madonna M.","non-dropping-particle":"","parse-names":false,"suffix":""},{"dropping-particle":"","family":"Mettler","given":"Joni A.","non-dropping-particle":"","parse-names":false,"suffix":""},{"dropping-particle":"","family":"English","given":"Kirk L.","non-dropping-particle":"","parse-names":false,"suffix":""},{"dropping-particle":"","family":"Casperson","given":"Shanon L.","non-dropping-particle":"","parse-names":false,"suffix":""},{"dropping-particle":"","family":"Arentson-Lantz","given":"Emily","non-dropping-particle":"","parse-names":false,"suffix":""},{"dropping-particle":"","family":"Sheffield-Moore","given":"Melinda","non-dropping-particle":"","parse-names":false,"suffix":""},{"dropping-particle":"","family":"Layman","given":"Donald K.","non-dropping-particle":"","parse-names":false,"suffix":""},{"dropping-particle":"","family":"Paddon-Jones","given":"Douglas","non-dropping-particle":"","parse-names":false,"suffix":""}],"container-title":"The Journal of Nutrition","id":"ITEM-1","issue":"6","issued":{"date-parts":[["2014"]]},"page":"876","publisher":"American Society for Nutrition","title":"Dietary Protein Distribution Positively Influences 24-h Muscle Protein Synthesis in Healthy Adults","type":"article-journal","volume":"144"},"uris":["http://www.mendeley.com/documents/?uuid=0b57716d-3ac1-35cf-8ca9-18904a4734a4"]}],"mendeley":{"formattedCitation":"(257)","plainTextFormattedCitation":"(257)","previouslyFormattedCitation":"(257)"},"properties":{"noteIndex":0},"schema":"https://github.com/citation-style-language/schema/raw/master/csl-citation.json"}</w:instrText>
      </w:r>
      <w:r w:rsidRPr="00CA4ABC">
        <w:rPr>
          <w:rFonts w:cstheme="minorHAnsi"/>
          <w:color w:val="000000" w:themeColor="text1"/>
          <w:spacing w:val="-2"/>
        </w:rPr>
        <w:fldChar w:fldCharType="separate"/>
      </w:r>
      <w:r w:rsidR="00FF0BCE" w:rsidRPr="00FF0BCE">
        <w:rPr>
          <w:rFonts w:cstheme="minorHAnsi"/>
          <w:noProof/>
          <w:color w:val="000000" w:themeColor="text1"/>
          <w:spacing w:val="-2"/>
        </w:rPr>
        <w:t>(257)</w:t>
      </w:r>
      <w:r w:rsidRPr="00CA4ABC">
        <w:rPr>
          <w:rFonts w:cstheme="minorHAnsi"/>
          <w:color w:val="000000" w:themeColor="text1"/>
          <w:spacing w:val="-2"/>
        </w:rPr>
        <w:fldChar w:fldCharType="end"/>
      </w:r>
      <w:r w:rsidRPr="00CA4ABC">
        <w:rPr>
          <w:rFonts w:cstheme="minorHAnsi"/>
          <w:color w:val="000000" w:themeColor="text1"/>
        </w:rPr>
        <w:t xml:space="preserve">. Seeking ways to increase breakfast protein intakes </w:t>
      </w:r>
      <w:r w:rsidR="00EB12A3" w:rsidRPr="00CA4ABC">
        <w:rPr>
          <w:rFonts w:cstheme="minorHAnsi"/>
          <w:color w:val="000000" w:themeColor="text1"/>
        </w:rPr>
        <w:t>should be addressed</w:t>
      </w:r>
      <w:r w:rsidRPr="00CA4ABC">
        <w:rPr>
          <w:rFonts w:cstheme="minorHAnsi"/>
          <w:color w:val="000000" w:themeColor="text1"/>
        </w:rPr>
        <w:t xml:space="preserve">. In support of this, </w:t>
      </w:r>
      <w:r w:rsidR="004C6BD2" w:rsidRPr="00CA4ABC">
        <w:rPr>
          <w:rFonts w:cstheme="minorHAnsi"/>
          <w:color w:val="000000" w:themeColor="text1"/>
        </w:rPr>
        <w:t>posthoc</w:t>
      </w:r>
      <w:r w:rsidR="00C17551" w:rsidRPr="00CA4ABC">
        <w:rPr>
          <w:rFonts w:cstheme="minorHAnsi"/>
          <w:color w:val="000000" w:themeColor="text1"/>
        </w:rPr>
        <w:t xml:space="preserve"> analysis of baseline data collected by four different lifestyle intervention trials found that for males and females, respectively, </w:t>
      </w:r>
      <w:r w:rsidR="00C17551" w:rsidRPr="00CA4ABC">
        <w:rPr>
          <w:rFonts w:cstheme="minorHAnsi"/>
          <w:color w:val="000000" w:themeColor="text1"/>
          <w:shd w:val="clear" w:color="auto" w:fill="FFFFFF"/>
        </w:rPr>
        <w:t>a 10 g higher protein intake at breakfast was associated with an average 3.2 g and 4.9g higher total daily protein intake (</w:t>
      </w:r>
      <w:r w:rsidR="00C17551" w:rsidRPr="00CA4ABC">
        <w:rPr>
          <w:rStyle w:val="Emphasis"/>
          <w:rFonts w:cstheme="minorHAnsi"/>
          <w:i w:val="0"/>
          <w:iCs w:val="0"/>
          <w:color w:val="000000" w:themeColor="text1"/>
          <w:shd w:val="clear" w:color="auto" w:fill="FFFFFF"/>
        </w:rPr>
        <w:t>p</w:t>
      </w:r>
      <w:r w:rsidR="00C17551" w:rsidRPr="00CA4ABC">
        <w:rPr>
          <w:rFonts w:cstheme="minorHAnsi"/>
          <w:color w:val="000000" w:themeColor="text1"/>
          <w:shd w:val="clear" w:color="auto" w:fill="FFFFFF"/>
        </w:rPr>
        <w:t>=0.007, p&lt;0.001),</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{"citationItems":[{"id":"ITEM-1","itemData":{"DOI":"10.1111/JHN.12838","ISSN":"1365277X","PMID":"33190355","abstract":"Background: A protein intake of 30-40 g per meal is suggested to maximally stimulate muscle protein synthesis in older adults and could therefore contribute to the prevention of sarcopenia. Protein intake at breakfast and lunch is often low and offers a great opportunity to improve daily protein intake. Protein, however, is known for its satiating effects. Therefore, we explored the association between the amount of protein intake at breakfast and lunch and total daily protein intake in older adults. Methods: Protein intake was assessed by a 3-day food record in 498 community dwelling older adults (≥55 years) participating different lifestyle interventions. Linear mixed model analysis was used to examine the association between protein intake at breakfast or lunch and total daily protein intake, adjusted for sex, age, body mass index, smoking status, study and total energy intake. Results: After adjustment for potential confounders, a 10 g higher protein intake at breakfast was associated with a 3.2 g higher total daily protein intake (P = 0.008) for males and a 4.9 g (P &lt; 0.001) higher total daily protein intake for females. A 10 g higher protein intake at lunch was associated with a 3.7 g higher total daily protein intake (P &lt; 0.001) for males, and a 5.8 g higher total daily protein intake (P &lt; 0.001) for females. Conclusions: A higher protein intake at breakfast and lunch is associated with a higher total daily protein intake in community dwelling older adults. Stimulating a higher protein intake at breakfast and lunch might represent a promising nutritional strategy to optimise the amount of protein per meal without compromising total daily protein intake.","author":[{"dropping-particle":"","family":"Verreijen","given":"A. M.","non-dropping-particle":"","parse-names":false,"suffix":""},{"dropping-particle":"","family":"Helder","given":"J.","non-dropping-particle":"van den","parse-names":false,"suffix":""},{"dropping-particle":"","family":"Streppel","given":"M. T.","non-dropping-particle":"","parse-names":false,"suffix":""},{"dropping-particle":"","family":"Rotteveel","given":"I.","non-dropping-particle":"","parse-names":false,"suffix":""},{"dropping-particle":"","family":"Heman","given":"D.","non-dropping-particle":"","parse-names":false,"suffix":""},{"dropping-particle":"","family":"Dronkelaar","given":"C.","non-dropping-particle":"van","parse-names":false,"suffix":""},{"dropping-particle":"","family":"Memelink","given":"R. G.","non-dropping-particle":"","parse-names":false,"suffix":""},{"dropping-particle":"","family":"Engberink","given":"M. F.","non-dropping-particle":"","parse-names":false,"suffix":""},{"dropping-particle":"","family":"Visser","given":"M.","non-dropping-particle":"","parse-names":false,"suffix":""},{"dropping-particle":"","family":"Tieland","given":"M.","non-dropping-particle":"","parse-names":false,"suffix":""},{"dropping-particle":"","family":"Weijs","given":"P. J.M.","non-dropping-particle":"","parse-names":false,"suffix":""}],"container-title":"Journal of Human Nutrition and Dietetics","id":"ITEM-1","issue":"2","issued":{"date-parts":[["2021","4","1"]]},"page":"384","publisher":"Wiley-Blackwell","title":"A higher protein intake at breakfast and lunch is associated with a higher total daily protein intake in older adults: a post‐hoc cross‐sectional analysis of four randomised controlled trials","type":"article-journal","volume":"34"},"uris":["http://www.mendeley.com/documents/?uuid=cf3565b2-8fca-31ea-b313-1f3b7e08b77c"]}],"mendeley":{"formattedCitation":"(258)","plainTextFormattedCitation":"(258)","previouslyFormattedCitation":"(258)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(258)</w:t>
      </w:r>
      <w:r w:rsidRPr="00CA4ABC">
        <w:rPr>
          <w:rFonts w:cstheme="minorHAnsi"/>
          <w:color w:val="000000" w:themeColor="text1"/>
        </w:rPr>
        <w:fldChar w:fldCharType="end"/>
      </w:r>
      <w:r w:rsidR="00C17551" w:rsidRPr="00CA4ABC">
        <w:rPr>
          <w:rFonts w:cstheme="minorHAnsi"/>
          <w:color w:val="000000" w:themeColor="text1"/>
        </w:rPr>
        <w:t>. Adjustments for body weight e</w:t>
      </w:r>
      <w:r w:rsidR="007829AD" w:rsidRPr="00CA4ABC">
        <w:rPr>
          <w:rFonts w:cstheme="minorHAnsi"/>
          <w:color w:val="000000" w:themeColor="text1"/>
        </w:rPr>
        <w:t xml:space="preserve">quated </w:t>
      </w:r>
      <w:r w:rsidR="00BD160C" w:rsidRPr="00CA4ABC">
        <w:rPr>
          <w:rFonts w:cstheme="minorHAnsi"/>
          <w:color w:val="000000" w:themeColor="text1"/>
          <w:shd w:val="clear" w:color="auto" w:fill="FFFFFF"/>
        </w:rPr>
        <w:t xml:space="preserve">to </w:t>
      </w:r>
      <w:r w:rsidRPr="00CA4ABC">
        <w:rPr>
          <w:rFonts w:cstheme="minorHAnsi"/>
          <w:color w:val="000000" w:themeColor="text1"/>
          <w:shd w:val="clear" w:color="auto" w:fill="FFFFFF"/>
        </w:rPr>
        <w:t>0.02 g/kg BM/d (</w:t>
      </w:r>
      <w:r w:rsidRPr="00CA4ABC">
        <w:rPr>
          <w:rStyle w:val="Emphasis"/>
          <w:rFonts w:cstheme="minorHAnsi"/>
          <w:i w:val="0"/>
          <w:iCs w:val="0"/>
          <w:color w:val="000000" w:themeColor="text1"/>
          <w:shd w:val="clear" w:color="auto" w:fill="FFFFFF"/>
        </w:rPr>
        <w:t>p</w:t>
      </w:r>
      <w:r w:rsidRPr="00CA4ABC">
        <w:rPr>
          <w:rFonts w:cstheme="minorHAnsi"/>
          <w:color w:val="000000" w:themeColor="text1"/>
          <w:shd w:val="clear" w:color="auto" w:fill="FFFFFF"/>
        </w:rPr>
        <w:t>=0.048) and 0.06 g/kg BM/d  (p&lt;0.001). Moreover, when healthy young men undertaking a hypertrophy exercise programme</w:t>
      </w:r>
      <w:r w:rsidR="00BB3AC7" w:rsidRPr="00CA4ABC">
        <w:rPr>
          <w:rFonts w:cstheme="minorHAnsi"/>
          <w:color w:val="000000" w:themeColor="text1"/>
          <w:shd w:val="clear" w:color="auto" w:fill="FFFFFF"/>
        </w:rPr>
        <w:t xml:space="preserve"> were provided</w:t>
      </w:r>
      <w:r w:rsidRPr="00CA4ABC">
        <w:rPr>
          <w:rFonts w:cstheme="minorHAnsi"/>
          <w:color w:val="000000" w:themeColor="text1"/>
          <w:shd w:val="clear" w:color="auto" w:fill="FFFFFF"/>
        </w:rPr>
        <w:t xml:space="preserve"> with a “high protein breakfast” (0.33 g/kg BM) and then 0.48 g/kg BM </w:t>
      </w:r>
      <w:r w:rsidR="002D4725" w:rsidRPr="00CA4ABC">
        <w:rPr>
          <w:rFonts w:cstheme="minorHAnsi"/>
          <w:color w:val="000000" w:themeColor="text1"/>
          <w:shd w:val="clear" w:color="auto" w:fill="FFFFFF"/>
        </w:rPr>
        <w:t xml:space="preserve">at </w:t>
      </w:r>
      <w:r w:rsidRPr="00CA4ABC">
        <w:rPr>
          <w:rFonts w:cstheme="minorHAnsi"/>
          <w:color w:val="000000" w:themeColor="text1"/>
          <w:shd w:val="clear" w:color="auto" w:fill="FFFFFF"/>
        </w:rPr>
        <w:t>dinner, they had significant</w:t>
      </w:r>
      <w:r w:rsidR="00656ADA" w:rsidRPr="00CA4ABC">
        <w:rPr>
          <w:rFonts w:cstheme="minorHAnsi"/>
          <w:color w:val="000000" w:themeColor="text1"/>
          <w:shd w:val="clear" w:color="auto" w:fill="FFFFFF"/>
        </w:rPr>
        <w:t>ly</w:t>
      </w:r>
      <w:r w:rsidRPr="00CA4ABC">
        <w:rPr>
          <w:rFonts w:cstheme="minorHAnsi"/>
          <w:color w:val="000000" w:themeColor="text1"/>
          <w:shd w:val="clear" w:color="auto" w:fill="FFFFFF"/>
        </w:rPr>
        <w:t xml:space="preserve"> great</w:t>
      </w:r>
      <w:r w:rsidR="007829AD" w:rsidRPr="00CA4ABC">
        <w:rPr>
          <w:rFonts w:cstheme="minorHAnsi"/>
          <w:color w:val="000000" w:themeColor="text1"/>
          <w:shd w:val="clear" w:color="auto" w:fill="FFFFFF"/>
        </w:rPr>
        <w:t>er</w:t>
      </w:r>
      <w:r w:rsidRPr="00CA4ABC">
        <w:rPr>
          <w:rFonts w:cstheme="minorHAnsi"/>
          <w:color w:val="000000" w:themeColor="text1"/>
          <w:shd w:val="clear" w:color="auto" w:fill="FFFFFF"/>
        </w:rPr>
        <w:t xml:space="preserve"> total increases in lean tissues mass than those given a “low protein” breakfast (0.12 g/kg BM) and 0.83 g/kg BM at dinner</w:t>
      </w:r>
      <w:r w:rsidR="00BB3AC7" w:rsidRPr="00CA4ABC">
        <w:rPr>
          <w:rFonts w:cstheme="minorHAnsi"/>
          <w:color w:val="000000" w:themeColor="text1"/>
          <w:shd w:val="clear" w:color="auto" w:fill="FFFFFF"/>
        </w:rPr>
        <w:t xml:space="preserve"> </w:t>
      </w:r>
      <w:r w:rsidR="00BB3AC7"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{"citationItems":[{"id":"ITEM-1","itemData":{"DOI":"10.1093/JN/NXAA101","ISSN":"0022-3166","PMID":"32321161","abstract":"Background: Although daily protein intake (PI) has been reported to be essential for regulating muscle mass, the distribution of daily PI in individuals is typically the lowest at breakfast and skewed toward dinner. Skewed protein intake patterns and inadequate PI at breakfast were reported to be negative factors for muscle maintenance. Objectives: This study examined whether a protein-enriched meal at breakfast is more effective for muscle accretion compared with the typical skewed PI pattern. Methods: This 12-wk, parallel-group, randomized clinical trial included 26 men (means ± SEs; age: 20.8 ± 0.4 y; BMI: 21.8 ± 0.4 kg/m2). The \"high breakfast\"(HBR) group (n = 12) consumed a protein-enriched meal at breakfast providing a PI of 0.33 g/kg body weight (BW); their PI at lunch (0.46 g/kg BW) and dinner (0.48 g/kg BW) provided an adequate overall daily PI (1.30 g/kg BW/d). The \"low breakfast\"(LBR) group (n = 14) consumed 0.12 g protein/kg BW at breakfast; intakes at lunch (0.45 g/kg BW) and dinner (0.83 g/kg BW) yielded the same daily PI as in the HBR group. The participants performed supervised resistance training (RT) 3 times per week (75-80% 1-repetition maximum; 3 sets × 10 repetitions). DXA was used to measure the primary outcome variable, that is, total lean soft tissue mass (LTM). Results: The total LTM at baseline did not differ between the HBR (52.4 ± 1.3 kg) and LBR (53.4 ± 1.2 kg) groups. After the intervention, increases in total LTM were significant in both groups, with that in the HBR group (2.5 ± 0.3 kg) tending to be greater than that in the LBR group (1.8 ± 0.3 kg) (P = 0.06), with a large effect size (Cohen d = 0.795). Conclusions: For RT-induced muscle hypertrophy in healthy young men, consuming a protein-enriched meal at breakfast and less protein at dinner while achieving an adequate overall PI is more effective than consuming more protein at dinner. This study was registered at University hospital Medical Information Network (UMIN) Clinical Trials Registry as UMIN000037583 (https://upload.umin.ac.jp/cgi-open-bin/ctr_e/ctr_view.cgi?recptno=R000042763).","author":[{"dropping-particle":"","family":"Yasuda","given":"Jun","non-dropping-particle":"","parse-names":false,"suffix":""},{"dropping-particle":"","family":"Tomita","given":"Toshiki","non-dropping-particle":"","parse-names":false,"suffix":""},{"dropping-particle":"","family":"Arimitsu","given":"Takuma","non-dropping-particle":"","parse-names":false,"suffix":""},{"dropping-particle":"","family":"Fujita","given":"Satoshi","non-dropping-particle":"","parse-names":false,"suffix":""}],"container-title":"The Journal of Nutrition","id":"ITEM-1","issue":"7","issued":{"date-parts":[["2020","7","1"]]},"page":"1845-1851","publisher":"Oxford Academic","title":"Evenly Distributed Protein Intake over 3 Meals Augments Resistance Exercise–Induced Muscle Hypertrophy in Healthy Young Men","type":"article-journal","volume":"150"},"uris":["http://www.mendeley.com/documents/?uuid=1c7f26dd-0d30-39ea-82d7-114144383e1c"]}],"mendeley":{"formattedCitation":"(259)","plainTextFormattedCitation":"(259)","previouslyFormattedCitation":"(259)"},"properties":{"noteIndex":0},"schema":"https://github.com/citation-style-language/schema/raw/master/csl-citation.json"}</w:instrText>
      </w:r>
      <w:r w:rsidR="00BB3AC7"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(259)</w:t>
      </w:r>
      <w:r w:rsidR="00BB3AC7"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xml:space="preserve">. </w:t>
      </w:r>
      <w:r w:rsidR="00BD160C" w:rsidRPr="00CA4ABC">
        <w:rPr>
          <w:rFonts w:cstheme="minorHAnsi"/>
          <w:color w:val="000000" w:themeColor="text1"/>
          <w:shd w:val="clear" w:color="auto" w:fill="FFFFFF"/>
        </w:rPr>
        <w:t>Lean tissue mas</w:t>
      </w:r>
      <w:r w:rsidR="007829AD" w:rsidRPr="00CA4ABC">
        <w:rPr>
          <w:rFonts w:cstheme="minorHAnsi"/>
          <w:color w:val="000000" w:themeColor="text1"/>
          <w:shd w:val="clear" w:color="auto" w:fill="FFFFFF"/>
        </w:rPr>
        <w:t>s</w:t>
      </w:r>
      <w:r w:rsidR="00BD160C"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t>LTM</w:t>
      </w:r>
      <w:r w:rsidR="00BD160C"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changes were 2.5 =/- 0.3kg and 1.8 =/-0.3 kg, respectively (p=0.006). Nevertheless,</w:t>
      </w:r>
      <w:r w:rsidR="00BB3AC7" w:rsidRPr="00CA4ABC">
        <w:rPr>
          <w:rFonts w:cstheme="minorHAnsi"/>
          <w:color w:val="000000" w:themeColor="text1"/>
          <w:shd w:val="clear" w:color="auto" w:fill="FFFFFF"/>
        </w:rPr>
        <w:t xml:space="preserve"> investigations of</w:t>
      </w:r>
      <w:r w:rsidRPr="00CA4ABC">
        <w:rPr>
          <w:rFonts w:cstheme="minorHAnsi"/>
          <w:color w:val="000000" w:themeColor="text1"/>
          <w:shd w:val="clear" w:color="auto" w:fill="FFFFFF"/>
        </w:rPr>
        <w:t xml:space="preserve"> grip strength in relation to protein intakes per day and per eating occasions, as documented by the NHANES 2011-2014 data</w:t>
      </w:r>
      <w:r w:rsidR="00BB3AC7" w:rsidRPr="00CA4ABC">
        <w:rPr>
          <w:rFonts w:cstheme="minorHAnsi"/>
          <w:color w:val="000000" w:themeColor="text1"/>
          <w:shd w:val="clear" w:color="auto" w:fill="FFFFFF"/>
        </w:rPr>
        <w:t>, revealed</w:t>
      </w:r>
      <w:r w:rsidRPr="00CA4ABC">
        <w:rPr>
          <w:rFonts w:cstheme="minorHAnsi"/>
          <w:color w:val="000000" w:themeColor="text1"/>
          <w:shd w:val="clear" w:color="auto" w:fill="FFFFFF"/>
        </w:rPr>
        <w:t xml:space="preserve"> that only 33% of men and 19% of women had protein intakes of ≥25g at 2 or more eating occasions</w:t>
      </w:r>
      <w:r w:rsidR="00BB3AC7" w:rsidRPr="00CA4ABC">
        <w:rPr>
          <w:rFonts w:cstheme="minorHAnsi"/>
          <w:color w:val="000000" w:themeColor="text1"/>
          <w:shd w:val="clear" w:color="auto" w:fill="FFFFFF"/>
        </w:rPr>
        <w:t xml:space="preserve"> </w:t>
      </w:r>
      <w:r w:rsidR="00BB3AC7"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{"citationItems":[{"id":"ITEM-1","itemData":{"DOI":"10.1371/JOURNAL.PONE.0191368","ISSN":"1932-6203","PMID":"29364939","abstract":"Introduction Distributing daily protein intake evenly across meals (*25–30g/meal) has been suggested to improve muscle mass. The aim of this research is to examine the association between grip strength, total protein intake and its distribution across day’s meals in older adults. Methods Nationally representative dietary intake data of adults aged 51 years and older (n = 4,123) who participated in What We Eat in America, NHANES 2011–2014 were analyzed. Protein intake per day and per eating occasion (breakfast, lunch, dinner, and snack) were determined. Combined grip strength was calculated and expressed in kilograms. Grip strength of individuals consuming 25g protein at 1 eating occasion was compared with those consuming same level of protein at 2 and 3 or more eating occasions. Grip strength of individuals in quartile 1 of daily protein intake was compared to those in the other quartiles. All associations were examined without and with adjustment for age, race/ethnicity, physical activity, health status, and smoking status. The comparison involving eating occasions and protein intake quartiles were further adjusted for daily protein intake and energy intake, respectively. Results Only 33% of men and 19% of women had protein intake of 25g at 2 or more eating occasions. These individuals also had higher grip strength and daily protein intake. Grip strength was positively associated with consumption of 25g protein at 2 eating occasions as compared to consumption of same level of protein at 1 eating occasion (p&lt;0.05) in unadjusted model, but not when adjusted. Grip strength was positively associated with daily protein intake among women in quartiles 3 and 4 (p&lt;0.05) of protein intake in both unadjusted and adjusted models compared to lowest protein intake. Among men, grip strength was associated with daily protein intake in quartiles 3 and 4 (p&lt;0.05) in the unadjusted model, but not when adjusted. Conclusion In a nationally representative sample of older adults, consuming 25g protein at 2 or more eating occasions was not associated with grip strength. However, higher daily protein intake was positively associated with grip strength in women.","author":[{"dropping-particle":"","family":"Mishra","given":"Suruchi","non-dropping-particle":"","parse-names":false,"suffix":""},{"dropping-particle":"","family":"Goldman","given":"Joseph D.","non-dropping-particle":"","parse-names":false,"suffix":""},{"dropping-particle":"","family":"Sahyoun","given":"Nadine R.","non-dropping-particle":"","parse-names":false,"suffix":""},{"dropping-particle":"","family":"Moshfegh","given":"Alanna J.","non-dropping-particle":"","parse-names":false,"suffix":""}],"container-title":"PloS one","id":"ITEM-1","issue":"1","issued":{"date-parts":[["2018","1","1"]]},"publisher":"PLoS One","title":"Association between dietary protein intake and grip strength among adults aged 51 years and over: What We Eat in America, National Health and Nutrition Examination Survey 2011-2014","type":"article-journal","volume":"13"},"uris":["http://www.mendeley.com/documents/?uuid=730527a2-cf6c-3454-81f9-8188a00c7575"]}],"mendeley":{"formattedCitation":"(260)","plainTextFormattedCitation":"(260)","previouslyFormattedCitation":"(260)"},"properties":{"noteIndex":0},"schema":"https://github.com/citation-style-language/schema/raw/master/csl-citation.json"}</w:instrText>
      </w:r>
      <w:r w:rsidR="00BB3AC7"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(260)</w:t>
      </w:r>
      <w:r w:rsidR="00BB3AC7"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Overall, consuming ≥25g at 2 or more eating occasions did not lead to higher grip strength scores</w:t>
      </w:r>
      <w:r w:rsidR="004C6BD2"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but associations were </w:t>
      </w:r>
      <w:r w:rsidRPr="00CA4ABC">
        <w:rPr>
          <w:rFonts w:cstheme="minorHAnsi"/>
          <w:color w:val="000000" w:themeColor="text1"/>
          <w:shd w:val="clear" w:color="auto" w:fill="FFFFFF"/>
        </w:rPr>
        <w:lastRenderedPageBreak/>
        <w:t>f</w:t>
      </w:r>
      <w:r w:rsidR="007829AD" w:rsidRPr="00CA4ABC">
        <w:rPr>
          <w:rFonts w:cstheme="minorHAnsi"/>
          <w:color w:val="000000" w:themeColor="text1"/>
          <w:shd w:val="clear" w:color="auto" w:fill="FFFFFF"/>
        </w:rPr>
        <w:t>ound</w:t>
      </w:r>
      <w:r w:rsidRPr="00CA4ABC">
        <w:rPr>
          <w:rFonts w:cstheme="minorHAnsi"/>
          <w:color w:val="000000" w:themeColor="text1"/>
          <w:shd w:val="clear" w:color="auto" w:fill="FFFFFF"/>
        </w:rPr>
        <w:t xml:space="preserve"> in those with overall intakes in the highest 3</w:t>
      </w:r>
      <w:r w:rsidRPr="00CA4ABC">
        <w:rPr>
          <w:rFonts w:cstheme="minorHAnsi"/>
          <w:color w:val="000000" w:themeColor="text1"/>
          <w:shd w:val="clear" w:color="auto" w:fill="FFFFFF"/>
          <w:vertAlign w:val="superscript"/>
        </w:rPr>
        <w:t>rd</w:t>
      </w:r>
      <w:r w:rsidRPr="00CA4ABC">
        <w:rPr>
          <w:rFonts w:cstheme="minorHAnsi"/>
          <w:color w:val="000000" w:themeColor="text1"/>
          <w:shd w:val="clear" w:color="auto" w:fill="FFFFFF"/>
        </w:rPr>
        <w:t xml:space="preserve"> and 4</w:t>
      </w:r>
      <w:r w:rsidRPr="00CA4ABC">
        <w:rPr>
          <w:rFonts w:cstheme="minorHAnsi"/>
          <w:color w:val="000000" w:themeColor="text1"/>
          <w:shd w:val="clear" w:color="auto" w:fill="FFFFFF"/>
          <w:vertAlign w:val="superscript"/>
        </w:rPr>
        <w:t>th</w:t>
      </w:r>
      <w:r w:rsidRPr="00CA4ABC">
        <w:rPr>
          <w:rFonts w:cstheme="minorHAnsi"/>
          <w:color w:val="000000" w:themeColor="text1"/>
          <w:shd w:val="clear" w:color="auto" w:fill="FFFFFF"/>
        </w:rPr>
        <w:t xml:space="preserve"> quartiles. </w:t>
      </w:r>
      <w:r w:rsidR="00F37B3F" w:rsidRPr="00CA4ABC">
        <w:rPr>
          <w:rFonts w:cstheme="minorHAnsi"/>
          <w:color w:val="000000"/>
          <w:shd w:val="clear" w:color="auto" w:fill="FFFFFF"/>
        </w:rPr>
        <w:t>A review of protein distribution and muscle-related outcomes concluded that there is limited and inconsistent evidence in support of an “optimal” protein distribution pattern</w:t>
      </w:r>
      <w:r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{"citationItems":[{"id":"ITEM-1","itemData":{"DOI":"10.3390/NU12051441","ISSN":"20726643","PMID":"32429355","abstract":"There is a shift in thinking about dietary protein requirements from daily requirements to individual meal requirements. Per meal, stimulation of muscle protein synthesis has a saturable dose relationship with the quantity of dietary protein consumed. Protein intake above the saturable dose does not further contribute to the synthetic response; the “excess” amino acids are predominantly oxidized. Given that daily dietary protein intake is finite, finding protein distribution patterns that both reduce amino acid oxidation and maximize their contribution towards protein synthesis (in theory improving net balance) could be “optimal” and is of practical scientific interest to promote beneficial changes in skeletal muscle-related outcomes. This article reviews both observational and randomized controlled trial research on the protein distribution concept. The current evidence on the efficacy of consuming an “optimal” protein distribution to favorably influence skeletal muscle-related changes is limited and inconsistent. The effect of protein distribution cannot be sufficiently disentangled from the effect of protein quantity. Consuming a more balanced protein distribution may be a practical way for adults with marginal or inadequate protein intakes (&lt;0.80 g·kg-1·d-1) to achieve a moderately higher total protein intake. However, for adults already consuming 0.8-1.3 g·kg-1·d-1, the preponderance of evidence supports that consuming at least one meal that contains sufficient protein quantity to maximally stimulate muscle protein synthesis, independent of daily distribution, is helpful to promote skeletal muscle health.","author":[{"dropping-particle":"","family":"Hudson","given":"Joshua L.","non-dropping-particle":"","parse-names":false,"suffix":""},{"dropping-particle":"","family":"Bergia","given":"Robert E.","non-dropping-particle":"","parse-names":false,"suffix":""},{"dropping-particle":"","family":"Campbell","given":"Wayne W.","non-dropping-particle":"","parse-names":false,"suffix":""}],"container-title":"Nutrients","id":"ITEM-1","issue":"5","issued":{"date-parts":[["2020","5","1"]]},"publisher":"Multidisciplinary Digital Publishing Institute  (MDPI)","title":"Protein Distribution and Muscle-Related Outcomes: Does the Evidence Support the Concept?","type":"article-journal","volume":"12"},"uris":["http://www.mendeley.com/documents/?uuid=b13971d4-1b22-3c49-9bd6-5b38050353d6"]}],"mendeley":{"formattedCitation":"(261)","plainTextFormattedCitation":"(261)","previouslyFormattedCitation":"(261)"},"properties":{"noteIndex":0},"schema":"https://github.com/citation-style-language/schema/raw/master/csl-citation.json"}</w:instrText>
      </w:r>
      <w:r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(261)</w:t>
      </w:r>
      <w:r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It may be possible that overall intakes are still more relevant than distribution</w:t>
      </w:r>
      <w:r w:rsidR="00F733E5" w:rsidRPr="00CA4ABC">
        <w:rPr>
          <w:rFonts w:cstheme="minorHAnsi"/>
          <w:color w:val="000000" w:themeColor="text1"/>
          <w:shd w:val="clear" w:color="auto" w:fill="FFFFFF"/>
        </w:rPr>
        <w:t>,</w:t>
      </w:r>
      <w:r w:rsidRPr="00CA4ABC">
        <w:rPr>
          <w:rFonts w:cstheme="minorHAnsi"/>
          <w:color w:val="000000" w:themeColor="text1"/>
          <w:shd w:val="clear" w:color="auto" w:fill="FFFFFF"/>
        </w:rPr>
        <w:t xml:space="preserve"> but exploring optimal protein intake profiles further is necessary.</w:t>
      </w:r>
      <w:bookmarkEnd w:id="190"/>
      <w:bookmarkEnd w:id="191"/>
      <w:bookmarkEnd w:id="192"/>
      <w:r w:rsidRPr="00CA4ABC">
        <w:rPr>
          <w:rFonts w:cstheme="minorHAnsi"/>
          <w:color w:val="000000" w:themeColor="text1"/>
          <w:shd w:val="clear" w:color="auto" w:fill="FFFFFF"/>
        </w:rPr>
        <w:t xml:space="preserve"> </w:t>
      </w:r>
      <w:r w:rsidRPr="00CA4ABC">
        <w:rPr>
          <w:rFonts w:cstheme="minorHAnsi"/>
          <w:color w:val="000000" w:themeColor="text1"/>
          <w:sz w:val="30"/>
          <w:szCs w:val="30"/>
          <w:shd w:val="clear" w:color="auto" w:fill="FFFFFF"/>
        </w:rPr>
        <w:t> </w:t>
      </w:r>
    </w:p>
    <w:p w14:paraId="11F7FABE" w14:textId="5167C18D" w:rsidR="000551ED" w:rsidRPr="00CA4ABC" w:rsidRDefault="000551ED" w:rsidP="004053D7">
      <w:pPr>
        <w:pStyle w:val="Heading3"/>
        <w:spacing w:line="360" w:lineRule="auto"/>
        <w:rPr>
          <w:rFonts w:asciiTheme="minorHAnsi" w:hAnsiTheme="minorHAnsi" w:cstheme="minorHAnsi"/>
          <w:color w:val="000000" w:themeColor="text1"/>
          <w:highlight w:val="green"/>
        </w:rPr>
      </w:pPr>
      <w:bookmarkStart w:id="193" w:name="_Toc135384326"/>
      <w:r w:rsidRPr="00CA4ABC">
        <w:rPr>
          <w:rFonts w:asciiTheme="minorHAnsi" w:hAnsiTheme="minorHAnsi" w:cstheme="minorHAnsi"/>
          <w:color w:val="000000" w:themeColor="text1"/>
          <w:sz w:val="26"/>
          <w:szCs w:val="26"/>
        </w:rPr>
        <w:t>4.4.6 Strengths and limitations</w:t>
      </w:r>
      <w:bookmarkEnd w:id="193"/>
    </w:p>
    <w:p w14:paraId="715B155A" w14:textId="51B5C66F" w:rsidR="000551ED" w:rsidRPr="00CA4ABC" w:rsidRDefault="000551ED" w:rsidP="00E8340C">
      <w:pPr>
        <w:spacing w:line="360" w:lineRule="auto"/>
        <w:ind w:firstLine="720"/>
        <w:rPr>
          <w:rFonts w:cstheme="minorHAnsi"/>
          <w:color w:val="000000" w:themeColor="text1"/>
        </w:rPr>
      </w:pPr>
      <w:r w:rsidRPr="00CA4ABC">
        <w:rPr>
          <w:rFonts w:cstheme="minorHAnsi"/>
          <w:color w:val="000000" w:themeColor="text1"/>
        </w:rPr>
        <w:t>The findings of this research suggest some key areas to address to</w:t>
      </w:r>
      <w:r w:rsidR="00F733E5" w:rsidRPr="00CA4ABC">
        <w:rPr>
          <w:rFonts w:cstheme="minorHAnsi"/>
          <w:color w:val="000000" w:themeColor="text1"/>
        </w:rPr>
        <w:t xml:space="preserve"> aid with protein intake</w:t>
      </w:r>
      <w:r w:rsidRPr="00CA4ABC">
        <w:rPr>
          <w:rFonts w:cstheme="minorHAnsi"/>
          <w:color w:val="000000" w:themeColor="text1"/>
        </w:rPr>
        <w:t xml:space="preserve"> optimis</w:t>
      </w:r>
      <w:r w:rsidR="00F733E5" w:rsidRPr="00CA4ABC">
        <w:rPr>
          <w:rFonts w:cstheme="minorHAnsi"/>
          <w:color w:val="000000" w:themeColor="text1"/>
        </w:rPr>
        <w:t>ation</w:t>
      </w:r>
      <w:r w:rsidRPr="00CA4ABC">
        <w:rPr>
          <w:rFonts w:cstheme="minorHAnsi"/>
          <w:color w:val="000000" w:themeColor="text1"/>
        </w:rPr>
        <w:t xml:space="preserve"> </w:t>
      </w:r>
      <w:r w:rsidR="00F733E5" w:rsidRPr="00CA4ABC">
        <w:rPr>
          <w:rFonts w:cstheme="minorHAnsi"/>
          <w:color w:val="000000" w:themeColor="text1"/>
        </w:rPr>
        <w:t>would include information surrounding</w:t>
      </w:r>
      <w:r w:rsidRPr="00CA4ABC">
        <w:rPr>
          <w:rFonts w:cstheme="minorHAnsi"/>
          <w:color w:val="000000" w:themeColor="text1"/>
        </w:rPr>
        <w:t xml:space="preserve"> protein guidelines and recommendations, portion sizes and encouraging adequate protein intakes to be distributed throughout the day. These insights suggest that making protein consumption easier at the start of the day, </w:t>
      </w:r>
      <w:r w:rsidR="007829AD" w:rsidRPr="00CA4ABC">
        <w:rPr>
          <w:rFonts w:cstheme="minorHAnsi"/>
          <w:color w:val="000000" w:themeColor="text1"/>
        </w:rPr>
        <w:t>ma</w:t>
      </w:r>
      <w:r w:rsidR="00366A7A" w:rsidRPr="00CA4ABC">
        <w:rPr>
          <w:rFonts w:cstheme="minorHAnsi"/>
          <w:color w:val="000000" w:themeColor="text1"/>
        </w:rPr>
        <w:t>y</w:t>
      </w:r>
      <w:r w:rsidR="007829AD" w:rsidRPr="00CA4ABC">
        <w:rPr>
          <w:rFonts w:cstheme="minorHAnsi"/>
          <w:color w:val="000000" w:themeColor="text1"/>
        </w:rPr>
        <w:t xml:space="preserve"> help even out protein intake skews</w:t>
      </w:r>
      <w:r w:rsidRPr="00CA4ABC">
        <w:rPr>
          <w:rFonts w:cstheme="minorHAnsi"/>
          <w:color w:val="000000" w:themeColor="text1"/>
        </w:rPr>
        <w:t>. Moreover, the interventions are likely to need to extend</w:t>
      </w:r>
      <w:r w:rsidR="007829AD" w:rsidRPr="00CA4ABC">
        <w:rPr>
          <w:rFonts w:cstheme="minorHAnsi"/>
          <w:color w:val="000000" w:themeColor="text1"/>
        </w:rPr>
        <w:t xml:space="preserve"> </w:t>
      </w:r>
      <w:r w:rsidRPr="00CA4ABC">
        <w:rPr>
          <w:rFonts w:cstheme="minorHAnsi"/>
          <w:color w:val="000000" w:themeColor="text1"/>
        </w:rPr>
        <w:t xml:space="preserve">beyond education and simply explaining the health consequences of insufficient protein consumption. Supplementation is a possible avenue to explore for this. </w:t>
      </w:r>
    </w:p>
    <w:p w14:paraId="458A69B7" w14:textId="6A065FB4" w:rsidR="00D00F0E" w:rsidRPr="00CA4ABC" w:rsidRDefault="00D00F0E" w:rsidP="00E8340C">
      <w:pPr>
        <w:spacing w:line="360" w:lineRule="auto"/>
        <w:ind w:firstLine="720"/>
        <w:rPr>
          <w:rFonts w:cstheme="minorHAnsi"/>
          <w:color w:val="000000" w:themeColor="text1"/>
        </w:rPr>
      </w:pPr>
    </w:p>
    <w:p w14:paraId="11926E82" w14:textId="3986D4C6" w:rsidR="00D00F0E" w:rsidRPr="00CA4ABC" w:rsidRDefault="00D00F0E" w:rsidP="00D00F0E">
      <w:pPr>
        <w:spacing w:line="360" w:lineRule="auto"/>
        <w:rPr>
          <w:rFonts w:cstheme="minorHAnsi"/>
          <w:color w:val="000000" w:themeColor="text1"/>
        </w:rPr>
      </w:pPr>
      <w:r w:rsidRPr="00CA4ABC">
        <w:rPr>
          <w:rFonts w:cstheme="minorHAnsi"/>
          <w:color w:val="000000" w:themeColor="text1"/>
        </w:rPr>
        <w:t>The power calculations for the respondents to this questionnaire were driven by numbers needed for the cross-sectional analysis to validate the protein screener tool (chapter 3). Notwithstanding, power calculations for this research, based on a UK adult population of ~54,000,000 (gov website) with 95% confidence levels and a margin error of 5% and a prediction of 30% of the population not achieving protein intake recommendations, would suggest that 323 are required for this sample.</w:t>
      </w:r>
    </w:p>
    <w:p w14:paraId="4E4EFEBA" w14:textId="77777777" w:rsidR="000551ED" w:rsidRPr="00CA4ABC" w:rsidRDefault="000551ED" w:rsidP="004053D7">
      <w:pPr>
        <w:spacing w:line="360" w:lineRule="auto"/>
        <w:rPr>
          <w:rFonts w:cstheme="minorHAnsi"/>
          <w:color w:val="000000" w:themeColor="text1"/>
          <w:highlight w:val="green"/>
        </w:rPr>
      </w:pPr>
    </w:p>
    <w:p w14:paraId="5536A1D0" w14:textId="2D902F9B" w:rsidR="000551ED" w:rsidRPr="00CA4ABC" w:rsidRDefault="000551ED" w:rsidP="004053D7">
      <w:pPr>
        <w:spacing w:line="360" w:lineRule="auto"/>
        <w:rPr>
          <w:rFonts w:cstheme="minorHAnsi"/>
          <w:color w:val="000000" w:themeColor="text1"/>
          <w:highlight w:val="green"/>
        </w:rPr>
      </w:pPr>
      <w:r w:rsidRPr="00CA4ABC">
        <w:rPr>
          <w:rFonts w:cstheme="minorHAnsi"/>
          <w:color w:val="000000" w:themeColor="text1"/>
        </w:rPr>
        <w:t>One key limitation of this research is that the protein knowledge questionnaire was not a validated tool, due to no such tools currently being available. Instead, it was compiled from a mixture of previous questionnaires</w:t>
      </w:r>
      <w:r w:rsidR="002D4725" w:rsidRPr="00CA4ABC">
        <w:rPr>
          <w:rFonts w:cstheme="minorHAnsi"/>
          <w:color w:val="000000" w:themeColor="text1"/>
        </w:rPr>
        <w:t>,</w:t>
      </w:r>
      <w:r w:rsidRPr="00CA4ABC">
        <w:rPr>
          <w:rFonts w:cstheme="minorHAnsi"/>
          <w:color w:val="000000" w:themeColor="text1"/>
        </w:rPr>
        <w:t xml:space="preserve"> reported in the literature</w:t>
      </w:r>
      <w:r w:rsidR="002D4725" w:rsidRPr="00CA4ABC">
        <w:rPr>
          <w:rFonts w:cstheme="minorHAnsi"/>
          <w:color w:val="000000" w:themeColor="text1"/>
        </w:rPr>
        <w:t>,</w:t>
      </w:r>
      <w:r w:rsidRPr="00CA4ABC">
        <w:rPr>
          <w:rFonts w:cstheme="minorHAnsi"/>
          <w:color w:val="000000" w:themeColor="text1"/>
        </w:rPr>
        <w:t xml:space="preserve"> with questions being selected if </w:t>
      </w:r>
      <w:r w:rsidR="002D4725" w:rsidRPr="00CA4ABC">
        <w:rPr>
          <w:rFonts w:cstheme="minorHAnsi"/>
          <w:color w:val="000000" w:themeColor="text1"/>
        </w:rPr>
        <w:t xml:space="preserve">they were </w:t>
      </w:r>
      <w:r w:rsidRPr="00CA4ABC">
        <w:rPr>
          <w:rFonts w:cstheme="minorHAnsi"/>
          <w:color w:val="000000" w:themeColor="text1"/>
        </w:rPr>
        <w:t>deemed relevant or applicable by the research team. Trakman et al</w:t>
      </w:r>
      <w:r w:rsidR="002D4725"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{"citationItems":[{"id":"ITEM-1","itemData":{"DOI":"10.1017/S1368980017001471","ISSN":"1368-9800","PMID":"28735598","abstract":"ObjectiveTo outline key statistical considerations and detailed methodologies for the development and evaluation of a valid and reliable nutrition knowledge questionnaire.DesignLiterature on questionnaire development in a range of fields was reviewed and a set of evidence-based guidelines specific to the creation of a nutrition knowledge questionnaire have been developed. The recommendations describe key qualitative methods and statistical considerations, and include relevant examples from previous papers and existing nutrition knowledge questionnaires. Where details have been omitted for the sake of brevity, the reader has been directed to suitable references.ResultsWe recommend an eight-step methodology for nutrition knowledge questionnaire development as follows: (i) definition of the construct and development of a test plan; (ii) generation of the item pool; (iii) choice of the scoring system and response format; (iv) assessment of content validity; (v) assessment of face validity; (vi) purification of the scale using item analysis, including item characteristics, difficulty and discrimination; (vii) evaluation of the scale including its factor structure and internal reliability, or Rasch analysis, including assessment of dimensionality and internal reliability; and (viii) gathering of data to re-examine the questionnaire’s properties, assess temporal stability and confirm construct validity. Several of these methods have previously been overlooked.ConclusionsThe measurement of nutrition knowledge is an important consideration for individuals working in the nutrition field. Improved methods in the development of nutrition knowledge questionnaires, such as the use of factor analysis or Rasch analysis, will enable more confidence in reported measures of nutrition knowledge.","author":[{"dropping-particle":"","family":"Trakman","given":"Gina Louise","non-dropping-particle":"","parse-names":false,"suffix":""},{"dropping-particle":"","family":"Forsyth","given":"Adrienne","non-dropping-particle":"","parse-names":false,"suffix":""},{"dropping-particle":"","family":"Hoye","given":"Russell","non-dropping-particle":"","parse-names":false,"suffix":""},{"dropping-particle":"","family":"Belski","given":"Regina","non-dropping-particle":"","parse-names":false,"suffix":""}],"container-title":"Public Health Nutrition","id":"ITEM-1","issue":"15","issued":{"date-parts":[["2017","10","1"]]},"page":"2670-2679","publisher":"Cambridge University Press","title":"Developing and validating a nutrition knowledge questionnaire: key methods and considerations","type":"article-journal","volume":"20"},"uris":["http://www.mendeley.com/documents/?uuid=22d9a7c7-b1fb-311d-bb73-bc438a53f6c6"]}],"mendeley":{"formattedCitation":"(233)","plainTextFormattedCitation":"(233)","previouslyFormattedCitation":"(233)"},"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(233)</w:t>
      </w:r>
      <w:r w:rsidRPr="00CA4ABC">
        <w:rPr>
          <w:rFonts w:cstheme="minorHAnsi"/>
          <w:color w:val="000000" w:themeColor="text1"/>
        </w:rPr>
        <w:fldChar w:fldCharType="end"/>
      </w:r>
      <w:r w:rsidRPr="00CA4ABC">
        <w:rPr>
          <w:rFonts w:cstheme="minorHAnsi"/>
          <w:color w:val="000000" w:themeColor="text1"/>
        </w:rPr>
        <w:t xml:space="preserve"> outlined the methodologies and statistical considerations which should be implemented when developing and evaluating a reliable and valid nutrition knowledge questionnaire. They outlined eight steps, based on Consensus-based Standards for the selection of health Measurement INstruments (COSMIN) taxonomy guidelines, which should be followed to create and appraise new nutrition knowledge questionnaires. It would be important to ensure these were closely adhered to in </w:t>
      </w:r>
      <w:r w:rsidR="00366A7A" w:rsidRPr="00CA4ABC">
        <w:rPr>
          <w:rFonts w:cstheme="minorHAnsi"/>
          <w:color w:val="000000" w:themeColor="text1"/>
        </w:rPr>
        <w:t>developing</w:t>
      </w:r>
      <w:r w:rsidRPr="00CA4ABC">
        <w:rPr>
          <w:rFonts w:cstheme="minorHAnsi"/>
          <w:color w:val="000000" w:themeColor="text1"/>
        </w:rPr>
        <w:t xml:space="preserve"> any new protein </w:t>
      </w:r>
      <w:r w:rsidRPr="00CA4ABC">
        <w:rPr>
          <w:rFonts w:cstheme="minorHAnsi"/>
          <w:color w:val="000000" w:themeColor="text1"/>
        </w:rPr>
        <w:lastRenderedPageBreak/>
        <w:t>knowledge questionnaire tools. Future work should aim to address this niche and validate such a tool, especially as identifying low protein knowledge holders</w:t>
      </w:r>
      <w:r w:rsidR="002D4725" w:rsidRPr="00CA4ABC">
        <w:rPr>
          <w:rFonts w:cstheme="minorHAnsi"/>
          <w:color w:val="000000" w:themeColor="text1"/>
        </w:rPr>
        <w:t xml:space="preserve"> </w:t>
      </w:r>
      <w:r w:rsidRPr="00CA4ABC">
        <w:rPr>
          <w:rFonts w:cstheme="minorHAnsi"/>
          <w:color w:val="000000" w:themeColor="text1"/>
        </w:rPr>
        <w:t xml:space="preserve">could also flag these as potential lower protein consumers. </w:t>
      </w:r>
    </w:p>
    <w:p w14:paraId="24465865" w14:textId="77777777" w:rsidR="00F733E5" w:rsidRPr="00CA4ABC" w:rsidRDefault="00F733E5" w:rsidP="004053D7">
      <w:pPr>
        <w:spacing w:line="360" w:lineRule="auto"/>
        <w:rPr>
          <w:rFonts w:cstheme="minorHAnsi"/>
          <w:color w:val="000000" w:themeColor="text1"/>
          <w:highlight w:val="green"/>
        </w:rPr>
      </w:pPr>
    </w:p>
    <w:p w14:paraId="2BEA96A2" w14:textId="6482F0A4" w:rsidR="000551ED" w:rsidRPr="00CA4ABC" w:rsidRDefault="00D00F0E" w:rsidP="004053D7">
      <w:pPr>
        <w:spacing w:line="360" w:lineRule="auto"/>
        <w:rPr>
          <w:rFonts w:cstheme="minorHAnsi"/>
          <w:color w:val="000000" w:themeColor="text1"/>
        </w:rPr>
      </w:pPr>
      <w:r w:rsidRPr="00CA4ABC">
        <w:rPr>
          <w:rFonts w:cstheme="minorHAnsi"/>
          <w:color w:val="000000" w:themeColor="text1"/>
        </w:rPr>
        <w:t xml:space="preserve">The scoring system of the questionnaire may also be a cause for </w:t>
      </w:r>
      <w:r w:rsidR="00F733E5" w:rsidRPr="00CA4ABC">
        <w:rPr>
          <w:rFonts w:cstheme="minorHAnsi"/>
          <w:color w:val="000000" w:themeColor="text1"/>
        </w:rPr>
        <w:t>po</w:t>
      </w:r>
      <w:r w:rsidRPr="00CA4ABC">
        <w:rPr>
          <w:rFonts w:cstheme="minorHAnsi"/>
          <w:color w:val="000000" w:themeColor="text1"/>
        </w:rPr>
        <w:t>ssible</w:t>
      </w:r>
      <w:r w:rsidR="000551ED" w:rsidRPr="00CA4ABC">
        <w:rPr>
          <w:rFonts w:cstheme="minorHAnsi"/>
          <w:color w:val="000000" w:themeColor="text1"/>
        </w:rPr>
        <w:t xml:space="preserve"> issue</w:t>
      </w:r>
      <w:r w:rsidR="00F733E5" w:rsidRPr="00CA4ABC">
        <w:rPr>
          <w:rFonts w:cstheme="minorHAnsi"/>
          <w:color w:val="000000" w:themeColor="text1"/>
        </w:rPr>
        <w:t>s</w:t>
      </w:r>
      <w:r w:rsidR="000551ED" w:rsidRPr="00CA4ABC">
        <w:rPr>
          <w:rFonts w:cstheme="minorHAnsi"/>
          <w:color w:val="000000" w:themeColor="text1"/>
        </w:rPr>
        <w:t xml:space="preserve">. </w:t>
      </w:r>
      <w:r w:rsidR="002D4725" w:rsidRPr="00CA4ABC">
        <w:rPr>
          <w:rFonts w:cstheme="minorHAnsi"/>
          <w:color w:val="000000" w:themeColor="text1"/>
        </w:rPr>
        <w:t>Question</w:t>
      </w:r>
      <w:r w:rsidR="000551ED" w:rsidRPr="00CA4ABC">
        <w:rPr>
          <w:rFonts w:cstheme="minorHAnsi"/>
          <w:color w:val="000000" w:themeColor="text1"/>
        </w:rPr>
        <w:t xml:space="preserve"> 3 had multiple subparts, each </w:t>
      </w:r>
      <w:r w:rsidR="002D4725" w:rsidRPr="00CA4ABC">
        <w:rPr>
          <w:rFonts w:cstheme="minorHAnsi"/>
          <w:color w:val="000000" w:themeColor="text1"/>
        </w:rPr>
        <w:t>awarding</w:t>
      </w:r>
      <w:r w:rsidR="000551ED" w:rsidRPr="00CA4ABC">
        <w:rPr>
          <w:rFonts w:cstheme="minorHAnsi"/>
          <w:color w:val="000000" w:themeColor="text1"/>
        </w:rPr>
        <w:t xml:space="preserve"> one point</w:t>
      </w:r>
      <w:r w:rsidR="002D4725" w:rsidRPr="00CA4ABC">
        <w:rPr>
          <w:rFonts w:cstheme="minorHAnsi"/>
          <w:color w:val="000000" w:themeColor="text1"/>
        </w:rPr>
        <w:t xml:space="preserve"> for a correct answer</w:t>
      </w:r>
      <w:r w:rsidR="000551ED" w:rsidRPr="00CA4ABC">
        <w:rPr>
          <w:rFonts w:cstheme="minorHAnsi"/>
          <w:color w:val="000000" w:themeColor="text1"/>
        </w:rPr>
        <w:t xml:space="preserve">. This may lend to this question having a higher weighting in the scoring system. As such, it may have been better to award a sub-score or make necessary amendments to account for this. This is another key consideration identified by Trackman </w:t>
      </w:r>
      <w:r w:rsidR="000551E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{"citationItems":[{"id":"ITEM-1","itemData":{"DOI":"10.1017/S1368980017001471","ISSN":"1368-9800","PMID":"28735598","abstract":"ObjectiveTo outline key statistical considerations and detailed methodologies for the development and evaluation of a valid and reliable nutrition knowledge questionnaire.DesignLiterature on questionnaire development in a range of fields was reviewed and a set of evidence-based guidelines specific to the creation of a nutrition knowledge questionnaire have been developed. The recommendations describe key qualitative methods and statistical considerations, and include relevant examples from previous papers and existing nutrition knowledge questionnaires. Where details have been omitted for the sake of brevity, the reader has been directed to suitable references.ResultsWe recommend an eight-step methodology for nutrition knowledge questionnaire development as follows: (i) definition of the construct and development of a test plan; (ii) generation of the item pool; (iii) choice of the scoring system and response format; (iv) assessment of content validity; (v) assessment of face validity; (vi) purification of the scale using item analysis, including item characteristics, difficulty and discrimination; (vii) evaluation of the scale including its factor structure and internal reliability, or Rasch analysis, including assessment of dimensionality and internal reliability; and (viii) gathering of data to re-examine the questionnaire’s properties, assess temporal stability and confirm construct validity. Several of these methods have previously been overlooked.ConclusionsThe measurement of nutrition knowledge is an important consideration for individuals working in the nutrition field. Improved methods in the development of nutrition knowledge questionnaires, such as the use of factor analysis or Rasch analysis, will enable more confidence in reported measures of nutrition knowledge.","author":[{"dropping-particle":"","family":"Trakman","given":"Gina Louise","non-dropping-particle":"","parse-names":false,"suffix":""},{"dropping-particle":"","family":"Forsyth","given":"Adrienne","non-dropping-particle":"","parse-names":false,"suffix":""},{"dropping-particle":"","family":"Hoye","given":"Russell","non-dropping-particle":"","parse-names":false,"suffix":""},{"dropping-particle":"","family":"Belski","given":"Regina","non-dropping-particle":"","parse-names":false,"suffix":""}],"container-title":"Public Health Nutrition","id":"ITEM-1","issue":"15","issued":{"date-parts":[["2017","10","1"]]},"page":"2670-2679","publisher":"Cambridge University Press","title":"Developing and validating a nutrition knowledge questionnaire: key methods and considerations","type":"article-journal","volume":"20"},"uris":["http://www.mendeley.com/documents/?uuid=22d9a7c7-b1fb-311d-bb73-bc438a53f6c6"]}],"mendeley":{"formattedCitation":"(233)","plainTextFormattedCitation":"(233)","previouslyFormattedCitation":"(233)"},"properties":{"noteIndex":0},"schema":"https://github.com/citation-style-language/schema/raw/master/csl-citation.json"}</w:instrText>
      </w:r>
      <w:r w:rsidR="000551ED" w:rsidRPr="00CA4ABC">
        <w:rPr>
          <w:rFonts w:cstheme="minorHAnsi"/>
          <w:color w:val="000000" w:themeColor="text1"/>
        </w:rPr>
        <w:fldChar w:fldCharType="separate"/>
      </w:r>
      <w:r w:rsidR="00FF0BCE" w:rsidRPr="00FF0BCE">
        <w:rPr>
          <w:rFonts w:cstheme="minorHAnsi"/>
          <w:noProof/>
          <w:color w:val="000000" w:themeColor="text1"/>
        </w:rPr>
        <w:t>(233)</w:t>
      </w:r>
      <w:r w:rsidR="000551ED" w:rsidRPr="00CA4ABC">
        <w:rPr>
          <w:rFonts w:cstheme="minorHAnsi"/>
          <w:color w:val="000000" w:themeColor="text1"/>
        </w:rPr>
        <w:fldChar w:fldCharType="end"/>
      </w:r>
      <w:r w:rsidR="000551ED" w:rsidRPr="00CA4ABC">
        <w:rPr>
          <w:rFonts w:cstheme="minorHAnsi"/>
          <w:color w:val="000000" w:themeColor="text1"/>
        </w:rPr>
        <w:t xml:space="preserve"> who suggested </w:t>
      </w:r>
      <w:r w:rsidR="005E41E2" w:rsidRPr="00CA4ABC">
        <w:rPr>
          <w:rFonts w:cstheme="minorHAnsi"/>
          <w:color w:val="000000" w:themeColor="text1"/>
        </w:rPr>
        <w:t xml:space="preserve">that </w:t>
      </w:r>
      <w:r w:rsidR="000551ED" w:rsidRPr="00CA4ABC">
        <w:rPr>
          <w:rFonts w:cstheme="minorHAnsi"/>
          <w:color w:val="000000" w:themeColor="text1"/>
        </w:rPr>
        <w:t xml:space="preserve">questionnaire development needs to address the choice of </w:t>
      </w:r>
      <w:r w:rsidR="005E41E2" w:rsidRPr="00CA4ABC">
        <w:rPr>
          <w:rFonts w:cstheme="minorHAnsi"/>
          <w:color w:val="000000" w:themeColor="text1"/>
        </w:rPr>
        <w:t xml:space="preserve">a </w:t>
      </w:r>
      <w:r w:rsidR="000551ED" w:rsidRPr="00CA4ABC">
        <w:rPr>
          <w:rFonts w:cstheme="minorHAnsi"/>
          <w:color w:val="000000" w:themeColor="text1"/>
        </w:rPr>
        <w:t xml:space="preserve">scoring system and response formation. </w:t>
      </w:r>
    </w:p>
    <w:p w14:paraId="3103D65C" w14:textId="77777777" w:rsidR="000551ED" w:rsidRPr="00CA4ABC" w:rsidRDefault="000551ED" w:rsidP="004053D7">
      <w:pPr>
        <w:spacing w:line="360" w:lineRule="auto"/>
        <w:rPr>
          <w:rFonts w:cstheme="minorHAnsi"/>
          <w:color w:val="000000" w:themeColor="text1"/>
        </w:rPr>
      </w:pPr>
    </w:p>
    <w:p w14:paraId="7B435B6A" w14:textId="5039E379" w:rsidR="000551ED" w:rsidRPr="00CA4ABC" w:rsidRDefault="000551ED" w:rsidP="004053D7">
      <w:pPr>
        <w:pStyle w:val="Heading3"/>
        <w:spacing w:line="360" w:lineRule="auto"/>
        <w:rPr>
          <w:rFonts w:asciiTheme="minorHAnsi" w:hAnsiTheme="minorHAnsi" w:cstheme="minorHAnsi"/>
          <w:color w:val="000000" w:themeColor="text1"/>
        </w:rPr>
      </w:pPr>
      <w:bookmarkStart w:id="194" w:name="_Toc135384327"/>
      <w:r w:rsidRPr="00CA4ABC">
        <w:rPr>
          <w:rFonts w:asciiTheme="minorHAnsi" w:hAnsiTheme="minorHAnsi" w:cstheme="minorHAnsi"/>
          <w:color w:val="000000" w:themeColor="text1"/>
        </w:rPr>
        <w:t>4.4.7 Conclusion</w:t>
      </w:r>
      <w:bookmarkEnd w:id="194"/>
    </w:p>
    <w:p w14:paraId="4FCB3B60" w14:textId="725AFE36" w:rsidR="000558A1" w:rsidRPr="00CA4ABC" w:rsidRDefault="000551ED" w:rsidP="00E8340C">
      <w:pPr>
        <w:spacing w:line="360" w:lineRule="auto"/>
        <w:ind w:firstLine="720"/>
        <w:rPr>
          <w:rFonts w:cstheme="minorHAnsi"/>
          <w:color w:val="000000" w:themeColor="text1"/>
        </w:rPr>
        <w:sectPr w:rsidR="000558A1" w:rsidRPr="00CA4ABC" w:rsidSect="00755CCD">
          <w:pgSz w:w="11900" w:h="16840"/>
          <w:pgMar w:top="1440" w:right="1440" w:bottom="1440" w:left="1440" w:header="708" w:footer="708" w:gutter="0"/>
          <w:cols w:space="708"/>
          <w:docGrid w:linePitch="360"/>
        </w:sectPr>
      </w:pPr>
      <w:r w:rsidRPr="00CA4ABC">
        <w:rPr>
          <w:rFonts w:cstheme="minorHAnsi"/>
          <w:color w:val="000000" w:themeColor="text1"/>
        </w:rPr>
        <w:t xml:space="preserve">In conclusion, this work was beneficial for understanding the determinants of protein intake and factors which may lead to an individual being at greater risk of not consuming sufficient protein habitually. These findings can </w:t>
      </w:r>
      <w:r w:rsidR="004C1C17">
        <w:rPr>
          <w:rFonts w:cstheme="minorHAnsi"/>
          <w:color w:val="000000" w:themeColor="text1"/>
        </w:rPr>
        <w:t>benefit</w:t>
      </w:r>
      <w:r w:rsidRPr="00CA4ABC">
        <w:rPr>
          <w:rFonts w:cstheme="minorHAnsi"/>
          <w:color w:val="000000" w:themeColor="text1"/>
        </w:rPr>
        <w:t xml:space="preserve"> future trial designs, particularly participant selection and inclusion criteria</w:t>
      </w:r>
      <w:r w:rsidR="00D00F0E" w:rsidRPr="00CA4ABC">
        <w:rPr>
          <w:rFonts w:cstheme="minorHAnsi"/>
          <w:color w:val="000000" w:themeColor="text1"/>
        </w:rPr>
        <w:t>.</w:t>
      </w:r>
      <w:r w:rsidRPr="00CA4ABC">
        <w:rPr>
          <w:rFonts w:cstheme="minorHAnsi"/>
          <w:color w:val="000000" w:themeColor="text1"/>
        </w:rPr>
        <w:t xml:space="preserve"> </w:t>
      </w:r>
      <w:r w:rsidR="00D00F0E" w:rsidRPr="00CA4ABC">
        <w:rPr>
          <w:rFonts w:cstheme="minorHAnsi"/>
          <w:color w:val="000000" w:themeColor="text1"/>
        </w:rPr>
        <w:t>I</w:t>
      </w:r>
      <w:r w:rsidRPr="00CA4ABC">
        <w:rPr>
          <w:rFonts w:cstheme="minorHAnsi"/>
          <w:color w:val="000000" w:themeColor="text1"/>
        </w:rPr>
        <w:t xml:space="preserve">ndividuals </w:t>
      </w:r>
      <w:r w:rsidR="00D00F0E" w:rsidRPr="00CA4ABC">
        <w:rPr>
          <w:rFonts w:cstheme="minorHAnsi"/>
          <w:color w:val="000000" w:themeColor="text1"/>
        </w:rPr>
        <w:t xml:space="preserve">falling </w:t>
      </w:r>
      <w:r w:rsidRPr="00CA4ABC">
        <w:rPr>
          <w:rFonts w:cstheme="minorHAnsi"/>
          <w:color w:val="000000" w:themeColor="text1"/>
        </w:rPr>
        <w:t xml:space="preserve">into the identified categories </w:t>
      </w:r>
      <w:r w:rsidR="00D00F0E" w:rsidRPr="00CA4ABC">
        <w:rPr>
          <w:rFonts w:cstheme="minorHAnsi"/>
          <w:color w:val="000000" w:themeColor="text1"/>
        </w:rPr>
        <w:t xml:space="preserve">found to be associated </w:t>
      </w:r>
      <w:r w:rsidRPr="00CA4ABC">
        <w:rPr>
          <w:rFonts w:cstheme="minorHAnsi"/>
          <w:color w:val="000000" w:themeColor="text1"/>
        </w:rPr>
        <w:t>with lower protein intakes may be more at risk of muscle loss and</w:t>
      </w:r>
      <w:r w:rsidR="00D00F0E" w:rsidRPr="00CA4ABC">
        <w:rPr>
          <w:rFonts w:cstheme="minorHAnsi"/>
          <w:color w:val="000000" w:themeColor="text1"/>
        </w:rPr>
        <w:t>,</w:t>
      </w:r>
      <w:r w:rsidRPr="00CA4ABC">
        <w:rPr>
          <w:rFonts w:cstheme="minorHAnsi"/>
          <w:color w:val="000000" w:themeColor="text1"/>
        </w:rPr>
        <w:t xml:space="preserve"> as such</w:t>
      </w:r>
      <w:r w:rsidR="00D00F0E" w:rsidRPr="00CA4ABC">
        <w:rPr>
          <w:rFonts w:cstheme="minorHAnsi"/>
          <w:color w:val="000000" w:themeColor="text1"/>
        </w:rPr>
        <w:t>,</w:t>
      </w:r>
      <w:r w:rsidRPr="00CA4ABC">
        <w:rPr>
          <w:rFonts w:cstheme="minorHAnsi"/>
          <w:color w:val="000000" w:themeColor="text1"/>
        </w:rPr>
        <w:t xml:space="preserve"> would benefit from interventions designed to be protective for muscle health. </w:t>
      </w:r>
      <w:r w:rsidR="004C1C17">
        <w:rPr>
          <w:rFonts w:cstheme="minorHAnsi"/>
          <w:color w:val="000000" w:themeColor="text1"/>
        </w:rPr>
        <w:t>These findings suggest</w:t>
      </w:r>
      <w:r w:rsidR="00BE2038" w:rsidRPr="00CA4ABC">
        <w:rPr>
          <w:rFonts w:cstheme="minorHAnsi"/>
          <w:color w:val="000000" w:themeColor="text1"/>
        </w:rPr>
        <w:t xml:space="preserve"> targeting sedentary</w:t>
      </w:r>
      <w:r w:rsidR="00D00F0E" w:rsidRPr="00CA4ABC">
        <w:rPr>
          <w:rFonts w:cstheme="minorHAnsi"/>
          <w:color w:val="000000" w:themeColor="text1"/>
        </w:rPr>
        <w:t xml:space="preserve"> </w:t>
      </w:r>
      <w:r w:rsidR="004C1C17" w:rsidRPr="00CA4ABC">
        <w:rPr>
          <w:rFonts w:cstheme="minorHAnsi"/>
          <w:color w:val="000000" w:themeColor="text1"/>
        </w:rPr>
        <w:t>individuals</w:t>
      </w:r>
      <w:r w:rsidR="00BE2038" w:rsidRPr="00CA4ABC">
        <w:rPr>
          <w:rFonts w:cstheme="minorHAnsi"/>
          <w:color w:val="000000" w:themeColor="text1"/>
        </w:rPr>
        <w:t>, older</w:t>
      </w:r>
      <w:r w:rsidR="00D00F0E" w:rsidRPr="00CA4ABC">
        <w:rPr>
          <w:rFonts w:cstheme="minorHAnsi"/>
          <w:color w:val="000000" w:themeColor="text1"/>
        </w:rPr>
        <w:t xml:space="preserve"> adult</w:t>
      </w:r>
      <w:r w:rsidR="00BE2038" w:rsidRPr="00CA4ABC">
        <w:rPr>
          <w:rFonts w:cstheme="minorHAnsi"/>
          <w:color w:val="000000" w:themeColor="text1"/>
        </w:rPr>
        <w:t xml:space="preserve"> and non-meat eaters would be a priority. </w:t>
      </w:r>
      <w:r w:rsidRPr="00CA4ABC">
        <w:rPr>
          <w:rFonts w:cstheme="minorHAnsi"/>
          <w:color w:val="000000" w:themeColor="text1"/>
        </w:rPr>
        <w:t xml:space="preserve">It may also give insights into the intervention strategies that could be deployed in future trials designed </w:t>
      </w:r>
      <w:r w:rsidR="005E41E2" w:rsidRPr="00CA4ABC">
        <w:rPr>
          <w:rFonts w:cstheme="minorHAnsi"/>
          <w:color w:val="000000" w:themeColor="text1"/>
        </w:rPr>
        <w:t>to target</w:t>
      </w:r>
      <w:r w:rsidRPr="00CA4ABC">
        <w:rPr>
          <w:rFonts w:cstheme="minorHAnsi"/>
          <w:color w:val="000000" w:themeColor="text1"/>
        </w:rPr>
        <w:t xml:space="preserve"> muscle loss. One such strategy could be protein supplementation, but ensuring the correct form and source </w:t>
      </w:r>
      <w:r w:rsidR="004C1C17">
        <w:rPr>
          <w:rFonts w:cstheme="minorHAnsi"/>
          <w:color w:val="000000" w:themeColor="text1"/>
        </w:rPr>
        <w:t>is valuable</w:t>
      </w:r>
      <w:r w:rsidRPr="00CA4ABC">
        <w:rPr>
          <w:rFonts w:cstheme="minorHAnsi"/>
          <w:color w:val="000000" w:themeColor="text1"/>
        </w:rPr>
        <w:t>. Findings from this chapter will therefore be taken into consideration in chapter 6, for optimising the protocol design.</w:t>
      </w:r>
    </w:p>
    <w:p w14:paraId="7E968C1E" w14:textId="21836836" w:rsidR="004C12CF" w:rsidRPr="00CA4ABC" w:rsidRDefault="004C12CF" w:rsidP="00E8340C">
      <w:pPr>
        <w:pStyle w:val="Heading1"/>
        <w:spacing w:line="360" w:lineRule="auto"/>
        <w:rPr>
          <w:rFonts w:asciiTheme="minorHAnsi" w:hAnsiTheme="minorHAnsi" w:cstheme="minorHAnsi"/>
          <w:color w:val="000000" w:themeColor="text1"/>
          <w:sz w:val="32"/>
          <w:szCs w:val="32"/>
        </w:rPr>
      </w:pPr>
      <w:bookmarkStart w:id="195" w:name="_Toc135384328"/>
      <w:r w:rsidRPr="00CA4ABC">
        <w:rPr>
          <w:rFonts w:asciiTheme="minorHAnsi" w:hAnsiTheme="minorHAnsi" w:cstheme="minorHAnsi"/>
          <w:color w:val="000000" w:themeColor="text1"/>
          <w:sz w:val="32"/>
          <w:szCs w:val="32"/>
        </w:rPr>
        <w:lastRenderedPageBreak/>
        <w:t>Chapter 5: Remote delivery of a resistance exercise and protein intervention to improve muscle parameters in 40-65 year-olds: a feasibility study. The REMEND trial.</w:t>
      </w:r>
      <w:bookmarkEnd w:id="195"/>
    </w:p>
    <w:p w14:paraId="708A4751" w14:textId="37539BD2" w:rsidR="004C12CF" w:rsidRPr="00CA4ABC" w:rsidRDefault="004C12CF" w:rsidP="004053D7">
      <w:pPr>
        <w:pStyle w:val="Heading2"/>
        <w:spacing w:line="360" w:lineRule="auto"/>
        <w:rPr>
          <w:rFonts w:asciiTheme="minorHAnsi" w:hAnsiTheme="minorHAnsi" w:cstheme="minorHAnsi"/>
          <w:b/>
          <w:bCs/>
          <w:color w:val="000000" w:themeColor="text1"/>
        </w:rPr>
      </w:pPr>
      <w:bookmarkStart w:id="196" w:name="_Toc135384329"/>
      <w:r w:rsidRPr="00CA4ABC">
        <w:rPr>
          <w:rFonts w:asciiTheme="minorHAnsi" w:hAnsiTheme="minorHAnsi" w:cstheme="minorHAnsi"/>
          <w:b/>
          <w:bCs/>
          <w:color w:val="000000" w:themeColor="text1"/>
        </w:rPr>
        <w:t>5.1 Introduction:</w:t>
      </w:r>
      <w:bookmarkEnd w:id="196"/>
    </w:p>
    <w:p w14:paraId="03DEE857" w14:textId="289F302C" w:rsidR="004C12CF" w:rsidRPr="00CA4ABC" w:rsidRDefault="004C12CF" w:rsidP="00E8340C">
      <w:pPr>
        <w:spacing w:line="360" w:lineRule="auto"/>
        <w:ind w:firstLine="720"/>
        <w:rPr>
          <w:rFonts w:cstheme="minorHAnsi"/>
          <w:color w:val="000000" w:themeColor="text1"/>
        </w:rPr>
      </w:pPr>
      <w:r w:rsidRPr="00CA4ABC">
        <w:rPr>
          <w:rFonts w:cstheme="minorHAnsi"/>
          <w:color w:val="000000" w:themeColor="text1"/>
        </w:rPr>
        <w:t>A</w:t>
      </w:r>
      <w:r w:rsidR="008B7BC5" w:rsidRPr="00CA4ABC">
        <w:rPr>
          <w:rFonts w:cstheme="minorHAnsi"/>
          <w:color w:val="000000" w:themeColor="text1"/>
        </w:rPr>
        <w:t xml:space="preserve"> main</w:t>
      </w:r>
      <w:r w:rsidRPr="00CA4ABC">
        <w:rPr>
          <w:rFonts w:cstheme="minorHAnsi"/>
          <w:color w:val="000000" w:themeColor="text1"/>
        </w:rPr>
        <w:t xml:space="preserve"> objective</w:t>
      </w:r>
      <w:r w:rsidR="00BE2038" w:rsidRPr="00CA4ABC">
        <w:rPr>
          <w:rFonts w:cstheme="minorHAnsi"/>
          <w:color w:val="000000" w:themeColor="text1"/>
        </w:rPr>
        <w:t xml:space="preserve"> of this thesis</w:t>
      </w:r>
      <w:r w:rsidRPr="00CA4ABC">
        <w:rPr>
          <w:rFonts w:cstheme="minorHAnsi"/>
          <w:color w:val="000000" w:themeColor="text1"/>
        </w:rPr>
        <w:t xml:space="preserve"> was to construct a protocol for a large-scale randomised control trial aimed at preventing muscle loss</w:t>
      </w:r>
      <w:r w:rsidR="00BE2038" w:rsidRPr="00CA4ABC">
        <w:rPr>
          <w:rFonts w:cstheme="minorHAnsi"/>
          <w:color w:val="000000" w:themeColor="text1"/>
        </w:rPr>
        <w:t xml:space="preserve">, </w:t>
      </w:r>
      <w:r w:rsidR="00AD1A6E" w:rsidRPr="00CA4ABC">
        <w:rPr>
          <w:rFonts w:cstheme="minorHAnsi"/>
          <w:color w:val="000000" w:themeColor="text1"/>
        </w:rPr>
        <w:t>focusing</w:t>
      </w:r>
      <w:r w:rsidR="00BE2038" w:rsidRPr="00CA4ABC">
        <w:rPr>
          <w:rFonts w:cstheme="minorHAnsi"/>
          <w:color w:val="000000" w:themeColor="text1"/>
        </w:rPr>
        <w:t xml:space="preserve"> on resistance training and dietary protein</w:t>
      </w:r>
      <w:r w:rsidRPr="00CA4ABC">
        <w:rPr>
          <w:rFonts w:cstheme="minorHAnsi"/>
          <w:color w:val="000000" w:themeColor="text1"/>
        </w:rPr>
        <w:t>. The Medical Research Council (MRC) developed guidance that stat</w:t>
      </w:r>
      <w:r w:rsidR="00F15AB8" w:rsidRPr="00CA4ABC">
        <w:rPr>
          <w:rFonts w:cstheme="minorHAnsi"/>
          <w:color w:val="000000" w:themeColor="text1"/>
        </w:rPr>
        <w:t>es</w:t>
      </w:r>
      <w:r w:rsidRPr="00CA4ABC">
        <w:rPr>
          <w:rFonts w:cstheme="minorHAnsi"/>
          <w:color w:val="000000" w:themeColor="text1"/>
        </w:rPr>
        <w:t xml:space="preserve"> that feasibility studies are explicitly recommended before carrying out complex intervention trials</w:t>
      </w:r>
      <w:r w:rsidR="00F15AB8" w:rsidRPr="00CA4ABC">
        <w:rPr>
          <w:rFonts w:cstheme="minorHAnsi"/>
          <w:color w:val="000000" w:themeColor="text1"/>
        </w:rPr>
        <w:t xml:space="preserve"> </w:t>
      </w:r>
      <w:r w:rsidR="00F15AB8"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10.1136/BMJ.A1655","ISSN":"1756-1833","PMID":"18824488","author":[{"dropping-particle":"","family":"Craig","given":"Peter","non-dropping-particle":"","parse-names":false,"suffix":""},{"dropping-particle":"","family":"Dieppe","given":"Paul","non-dropping-particle":"","parse-names":false,"suffix":""},{"dropping-particle":"","family":"Macintyre","given":"Sally","non-dropping-particle":"","parse-names":false,"suffix":""},{"dropping-particle":"","family":"Mitchie","given":"Susan","non-dropping-particle":"","parse-names":false,"suffix":""},{"dropping-particle":"","family":"Nazareth","given":"Irwin","non-dropping-particle":"","parse-names":false,"suffix":""},{"dropping-particle":"","family":"Petticrew","given":"Mark","non-dropping-particle":"","parse-names":false,"suffix":""}],"container-title":"BMJ (Clinical research ed.)","id":"ITEM-1","issue":"7676","issued":{"date-parts":[["2008","10","25"]]},"page":"979-983","publisher":"BMJ","title":"Developing and evaluating complex interventions: the new Medical Research Council guidance","type":"article-journal","volume":"337"},"uris":["http://www.mendeley.com/documents/?uuid=e791203e-8ed1-34e7-9fa7-1e94f0cd24ea"]}],"mendeley":{"formattedCitation":"(160)","plainTextFormattedCitation":"(160)","previouslyFormattedCitation":"(160)"},"properties":{"noteIndex":0},"schema":"https://github.com/citation-style-language/schema/raw/master/csl-citation.json"}</w:instrText>
      </w:r>
      <w:r w:rsidR="00F15AB8" w:rsidRPr="00CA4ABC">
        <w:rPr>
          <w:rFonts w:cstheme="minorHAnsi"/>
          <w:color w:val="000000" w:themeColor="text1"/>
        </w:rPr>
        <w:fldChar w:fldCharType="separate"/>
      </w:r>
      <w:r w:rsidR="00057AE3" w:rsidRPr="00057AE3">
        <w:rPr>
          <w:rFonts w:cstheme="minorHAnsi"/>
          <w:noProof/>
          <w:color w:val="000000" w:themeColor="text1"/>
        </w:rPr>
        <w:t>(160)</w:t>
      </w:r>
      <w:r w:rsidR="00F15AB8" w:rsidRPr="00CA4ABC">
        <w:rPr>
          <w:rFonts w:cstheme="minorHAnsi"/>
          <w:color w:val="000000" w:themeColor="text1"/>
        </w:rPr>
        <w:fldChar w:fldCharType="end"/>
      </w:r>
      <w:r w:rsidRPr="00CA4ABC">
        <w:rPr>
          <w:rFonts w:cstheme="minorHAnsi"/>
          <w:color w:val="000000" w:themeColor="text1"/>
        </w:rPr>
        <w:t xml:space="preserve">. Testing protocols in smaller cohorts before the main trial is rolled out can help iron out any issues and potentially save resources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{"citationItems":[{"id":"ITEM-1","itemData":{"DOI":"10.1186/S40814-020-00634-W/FIGURES/2","ISSN":"20555784","abstract":"Background: Implementation trials aim to test the effects of implementation strategies on the adoption, integration or uptake of an evidence-based intervention within organisations or settings. Feasibility and pilot studies can assist with building and testing effective implementation strategies by helping to address uncertainties around design and methods, assessing potential implementation strategy effects and identifying potential causal mechanisms. This paper aims to provide broad guidance for the conduct of feasibility and pilot studies for implementation trials. Methods: We convened a group with a mutual interest in the use of feasibility and pilot trials in implementation science including implementation and behavioural science experts and public health researchers. We conducted a literature review to identify existing recommendations for feasibility and pilot studies, as well as publications describing formative processes for implementation trials. In the absence of previous explicit guidance for the conduct of feasibility or pilot implementation trials specifically, we used the effectiveness-implementation hybrid trial design typology proposed by Curran and colleagues as a framework for conceptualising the application of feasibility and pilot testing of implementation interventions. We discuss and offer guidance regarding the aims, methods, design, measures, progression criteria and reporting for implementation feasibility and pilot studies. Conclusions: This paper provides a resource for those undertaking preliminary work to enrich and inform larger scale implementation trials.","author":[{"dropping-particle":"","family":"Pearson","given":"Nicole","non-dropping-particle":"","parse-names":false,"suffix":""},{"dropping-particle":"","family":"Naylor","given":"Patti Jean","non-dropping-particle":"","parse-names":false,"suffix":""},{"dropping-particle":"","family":"Ashe","given":"Maureen C.","non-dropping-particle":"","parse-names":false,"suffix":""},{"dropping-particle":"","family":"Fernandez","given":"Maria","non-dropping-particle":"","parse-names":false,"suffix":""},{"dropping-particle":"","family":"Yoong","given":"Sze Lin","non-dropping-particle":"","parse-names":false,"suffix":""},{"dropping-particle":"","family":"Wolfenden","given":"Luke","non-dropping-particle":"","parse-names":false,"suffix":""}],"container-title":"Pilot and Feasibility Studies","id":"ITEM-1","issue":"1","issued":{"date-parts":[["2020","12","1"]]},"page":"1-12","publisher":"BioMed Central Ltd","title":"Guidance for conducting feasibility and pilot studies for implementation trials","type":"article-journal","volume":"6"},"uris":["http://www.mendeley.com/documents/?uuid=5d17196d-42f9-353b-87fd-05ad839132f8"]}],"mendeley":{"formattedCitation":"(262)","plainTextFormattedCitation":"(262)","previouslyFormattedCitation":"(262)"},"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(262)</w:t>
      </w:r>
      <w:r w:rsidRPr="00CA4ABC">
        <w:rPr>
          <w:rFonts w:cstheme="minorHAnsi"/>
          <w:color w:val="000000" w:themeColor="text1"/>
        </w:rPr>
        <w:fldChar w:fldCharType="end"/>
      </w:r>
      <w:r w:rsidRPr="00CA4ABC">
        <w:rPr>
          <w:rFonts w:cstheme="minorHAnsi"/>
          <w:color w:val="000000" w:themeColor="text1"/>
        </w:rPr>
        <w:t xml:space="preserve">. This is particularly needed for novel research. Thus, a feasibility trial was designed and conducted to test the application of a multiple-intervention regime (exercise and nutrition) and understand the </w:t>
      </w:r>
      <w:r w:rsidR="00675C5E">
        <w:rPr>
          <w:rFonts w:cstheme="minorHAnsi"/>
          <w:color w:val="000000" w:themeColor="text1"/>
        </w:rPr>
        <w:t>study design's recruitment rates, compliance and acceptability</w:t>
      </w:r>
      <w:r w:rsidRPr="00CA4ABC">
        <w:rPr>
          <w:rFonts w:cstheme="minorHAnsi"/>
          <w:color w:val="000000" w:themeColor="text1"/>
        </w:rPr>
        <w:t>. This also fills a research niche because it was designed to be delivered remotely to middle-aged adults.</w:t>
      </w:r>
    </w:p>
    <w:p w14:paraId="1983F31A" w14:textId="77777777" w:rsidR="004C12CF" w:rsidRPr="00CA4ABC" w:rsidRDefault="004C12CF" w:rsidP="004053D7">
      <w:pPr>
        <w:spacing w:line="360" w:lineRule="auto"/>
        <w:rPr>
          <w:rFonts w:cstheme="minorHAnsi"/>
          <w:color w:val="000000" w:themeColor="text1"/>
        </w:rPr>
      </w:pPr>
    </w:p>
    <w:p w14:paraId="7611E756" w14:textId="3FAB026D" w:rsidR="004C12CF" w:rsidRPr="00CA4ABC" w:rsidRDefault="004C12CF" w:rsidP="004053D7">
      <w:pPr>
        <w:pStyle w:val="Heading3"/>
        <w:spacing w:line="360" w:lineRule="auto"/>
        <w:rPr>
          <w:rFonts w:asciiTheme="minorHAnsi" w:hAnsiTheme="minorHAnsi" w:cstheme="minorHAnsi"/>
          <w:color w:val="000000" w:themeColor="text1"/>
        </w:rPr>
      </w:pPr>
      <w:bookmarkStart w:id="197" w:name="_Toc135384330"/>
      <w:r w:rsidRPr="00CA4ABC">
        <w:rPr>
          <w:rFonts w:asciiTheme="minorHAnsi" w:hAnsiTheme="minorHAnsi" w:cstheme="minorHAnsi"/>
          <w:color w:val="000000" w:themeColor="text1"/>
        </w:rPr>
        <w:t>5.1.1 Study rationale</w:t>
      </w:r>
      <w:bookmarkEnd w:id="197"/>
    </w:p>
    <w:p w14:paraId="27E4C59B" w14:textId="2330F391" w:rsidR="004C12CF" w:rsidRPr="00CA4ABC" w:rsidRDefault="004C12CF" w:rsidP="00E8340C">
      <w:pPr>
        <w:spacing w:line="360" w:lineRule="auto"/>
        <w:ind w:firstLine="720"/>
        <w:rPr>
          <w:rFonts w:cstheme="minorHAnsi"/>
          <w:color w:val="000000" w:themeColor="text1"/>
        </w:rPr>
      </w:pPr>
      <w:r w:rsidRPr="00CA4ABC">
        <w:rPr>
          <w:rFonts w:cstheme="minorHAnsi"/>
          <w:color w:val="000000" w:themeColor="text1"/>
        </w:rPr>
        <w:t xml:space="preserve"> T</w:t>
      </w:r>
      <w:r w:rsidR="00BE2038" w:rsidRPr="00CA4ABC">
        <w:rPr>
          <w:rFonts w:cstheme="minorHAnsi"/>
          <w:color w:val="000000" w:themeColor="text1"/>
        </w:rPr>
        <w:t>he feasibility study targeted</w:t>
      </w:r>
      <w:r w:rsidR="00AD1A6E" w:rsidRPr="00CA4ABC">
        <w:rPr>
          <w:rFonts w:cstheme="minorHAnsi"/>
          <w:color w:val="000000" w:themeColor="text1"/>
        </w:rPr>
        <w:t xml:space="preserve"> </w:t>
      </w:r>
      <w:r w:rsidR="00BE2038" w:rsidRPr="00CA4ABC">
        <w:rPr>
          <w:rFonts w:cstheme="minorHAnsi"/>
          <w:color w:val="000000" w:themeColor="text1"/>
        </w:rPr>
        <w:t>people aged 40-65. T</w:t>
      </w:r>
      <w:r w:rsidRPr="00CA4ABC">
        <w:rPr>
          <w:rFonts w:cstheme="minorHAnsi"/>
          <w:color w:val="000000" w:themeColor="text1"/>
        </w:rPr>
        <w:t>he rationale for the target population is that muscle losses commence during the fourth and fifth decade of life</w:t>
      </w:r>
      <w:r w:rsidR="005E41E2" w:rsidRPr="00CA4ABC">
        <w:rPr>
          <w:rFonts w:cstheme="minorHAnsi"/>
          <w:color w:val="000000" w:themeColor="text1"/>
        </w:rPr>
        <w:t>,</w:t>
      </w:r>
      <w:r w:rsidRPr="00CA4ABC">
        <w:rPr>
          <w:rFonts w:cstheme="minorHAnsi"/>
          <w:color w:val="000000" w:themeColor="text1"/>
        </w:rPr>
        <w:t xml:space="preserve"> and it is estimated that 0.5–1% of muscle mass is lost annually from the age of 50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{"citationItems":[{"id":"ITEM-1","itemData":{"DOI":"10.1093/GERONA/52A.5.B267","ISSN":"1079-5006","PMID":"9310077","abstract":"Cross-sectional and longitudinal age-associated reductions in power and isometric strength are described for the upper extremities. Over a 25-year period, repeated measures were taken approximately every 2 years from men and women in the Baltimore Longitudinal Study of Aging (BLSA). The longitudinal measures covered an average 9.6 years, range 1-25 years for men and an average 4.6 years, range 1-8 years for women. Strength and power declined beginning by age 40 in both women and men. Thereafter, power declined abut 10% more than strength in men, while no significant differences were found in women. Age had a statistically independent influence on strength and power measures after adjusting for gender, height, weight, caloric expenditure, and muscle mass. Twenty-five-year longitudinal analyses in man confirmed the declines observed cross-sectionally, while no changes were observed in women over the 4-5 years of longitudinal data available. Further longitudinal studies are needed to understand the relationships between strength and power losses with age in women. The differences between power and strength changes with age in men argue for the importance of factors other than strength affecting power.","author":[{"dropping-particle":"","family":"Metter","given":"E. Jeffrey","non-dropping-particle":"","parse-names":false,"suffix":""},{"dropping-particle":"","family":"Conwit","given":"Robin","non-dropping-particle":"","parse-names":false,"suffix":""},{"dropping-particle":"","family":"Tobin","given":"Jordan","non-dropping-particle":"","parse-names":false,"suffix":""},{"dropping-particle":"","family":"Fozard","given":"James L.","non-dropping-particle":"","parse-names":false,"suffix":""}],"container-title":"The journals of gerontology. Series A, Biological sciences and medical sciences","id":"ITEM-1","issue":"5","issued":{"date-parts":[["1997"]]},"publisher":"J Gerontol A Biol Sci Med Sci","title":"Age-associated loss of power and strength in the upper extremities in women and men","type":"article-journal","volume":"52"},"uris":["http://www.mendeley.com/documents/?uuid=5336ea1d-72fe-3c0e-8e92-905b03af37a0"]}],"mendeley":{"formattedCitation":"(10)","plainTextFormattedCitation":"(10)","previouslyFormattedCitation":"(10)"},"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(10)</w:t>
      </w:r>
      <w:r w:rsidRPr="00CA4ABC">
        <w:rPr>
          <w:rFonts w:cstheme="minorHAnsi"/>
          <w:color w:val="000000" w:themeColor="text1"/>
        </w:rPr>
        <w:fldChar w:fldCharType="end"/>
      </w:r>
      <w:r w:rsidRPr="00CA4ABC">
        <w:rPr>
          <w:rFonts w:cstheme="minorHAnsi"/>
          <w:color w:val="000000" w:themeColor="text1"/>
        </w:rPr>
        <w:t xml:space="preserve">. Elevated dietary protein intake and resistance exercise </w:t>
      </w:r>
      <w:r w:rsidR="00A4495A" w:rsidRPr="00CA4ABC">
        <w:rPr>
          <w:rFonts w:cstheme="minorHAnsi"/>
          <w:color w:val="000000" w:themeColor="text1"/>
        </w:rPr>
        <w:t>are</w:t>
      </w:r>
      <w:r w:rsidRPr="00CA4ABC">
        <w:rPr>
          <w:rFonts w:cstheme="minorHAnsi"/>
          <w:color w:val="000000" w:themeColor="text1"/>
        </w:rPr>
        <w:t xml:space="preserve"> putative mitigation strategies. Moreover, people </w:t>
      </w:r>
      <w:r w:rsidR="002045DA" w:rsidRPr="00CA4ABC">
        <w:rPr>
          <w:rFonts w:cstheme="minorHAnsi"/>
          <w:color w:val="000000" w:themeColor="text1"/>
        </w:rPr>
        <w:t>in this age category frequently lead</w:t>
      </w:r>
      <w:r w:rsidRPr="00CA4ABC">
        <w:rPr>
          <w:rFonts w:cstheme="minorHAnsi"/>
          <w:color w:val="000000" w:themeColor="text1"/>
        </w:rPr>
        <w:t xml:space="preserve"> busy lives</w:t>
      </w:r>
      <w:r w:rsidR="00F15AB8" w:rsidRPr="00CA4ABC">
        <w:rPr>
          <w:rFonts w:cstheme="minorHAnsi"/>
          <w:color w:val="000000" w:themeColor="text1"/>
        </w:rPr>
        <w:t>,</w:t>
      </w:r>
      <w:r w:rsidRPr="00CA4ABC">
        <w:rPr>
          <w:rFonts w:cstheme="minorHAnsi"/>
          <w:color w:val="000000" w:themeColor="text1"/>
        </w:rPr>
        <w:t xml:space="preserve"> often </w:t>
      </w:r>
      <w:r w:rsidR="003E7C99">
        <w:rPr>
          <w:rFonts w:cstheme="minorHAnsi"/>
          <w:color w:val="000000" w:themeColor="text1"/>
        </w:rPr>
        <w:t>juggling work commitments with daily living responsibilities, consequently</w:t>
      </w:r>
      <w:r w:rsidRPr="00CA4ABC">
        <w:rPr>
          <w:rFonts w:cstheme="minorHAnsi"/>
          <w:color w:val="000000" w:themeColor="text1"/>
        </w:rPr>
        <w:t xml:space="preserve"> meaning time constraints are a barrier to engaging in exercise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{"citationItems":[{"id":"ITEM-1","itemData":{"DOI":"10.1037/AMP0000591","ISSN":"0003066X","PMID":"32378943","abstract":"Development is a cumulative, lifelong process, but strikingly little is known about development in midlife. As a consequence, many misconceptions exist about the nature of midlife and the developmental milestones and challenges faced by middle-aged adults. We first review dominant views and empirical research that has debunked false narratives. Next, we discuss major opportunities and challenges of midlife. This includes the unique constellation of roles and life transitions that are distinct from earlier and later life phases as well as shifting trends in mental and physical health and in family composition. We additionally highlight the importance of (historical shifts in) intergenerational dynamics of middle-aged adults with their aging parents, adult children, and grandchildren; financial vulnerabilities that emerge and often accrue from economic failures and labor market volatility; the shrinking social and health care safety net; and the rising costs of raising children. In doing so, we discuss issues of diversity and note similarities and differences in midlife experiences across race or ethnicity, sexual orientation, and socioeconomic status. We consider midlife as a pivotal period that includes a focus on balancing gains and losses, linking earlier and later life periods, and bridging generations. Finally, we propose possibilities for promoting reversibility and resilience with interventions and policy changes. The suggested agenda for future research promises to reconceptualize midlife as a key period of life, with a concerted effort to focus on the diversity of midlife experiences in order to meet the unprecedented challenges and opportunities in the 2020s and beyond.","author":[{"dropping-particle":"","family":"Infurna","given":"Frank J.","non-dropping-particle":"","parse-names":false,"suffix":""},{"dropping-particle":"","family":"Gerstorf","given":"Denis","non-dropping-particle":"","parse-names":false,"suffix":""},{"dropping-particle":"","family":"Lachman","given":"Margie E.","non-dropping-particle":"","parse-names":false,"suffix":""}],"container-title":"The American psychologist","id":"ITEM-1","issue":"4","issued":{"date-parts":[["2020","5","1"]]},"page":"470","publisher":"NIH Public Access","title":"Midlife in the 2020s: Opportunities and Challenges","type":"article-journal","volume":"75"},"uris":["http://www.mendeley.com/documents/?uuid=de8e4261-7dff-321a-b780-0044eb172170"]}],"mendeley":{"formattedCitation":"(263)","plainTextFormattedCitation":"(263)","previouslyFormattedCitation":"(263)"},"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(263)</w:t>
      </w:r>
      <w:r w:rsidRPr="00CA4ABC">
        <w:rPr>
          <w:rFonts w:cstheme="minorHAnsi"/>
          <w:color w:val="000000" w:themeColor="text1"/>
        </w:rPr>
        <w:fldChar w:fldCharType="end"/>
      </w:r>
      <w:r w:rsidRPr="00CA4ABC">
        <w:rPr>
          <w:rFonts w:cstheme="minorHAnsi"/>
          <w:color w:val="000000" w:themeColor="text1"/>
        </w:rPr>
        <w:t xml:space="preserve">. </w:t>
      </w:r>
      <w:r w:rsidR="002045DA" w:rsidRPr="00CA4ABC">
        <w:rPr>
          <w:rFonts w:cstheme="minorHAnsi"/>
          <w:color w:val="000000" w:themeColor="text1"/>
        </w:rPr>
        <w:t>Identifying</w:t>
      </w:r>
      <w:r w:rsidRPr="00CA4ABC">
        <w:rPr>
          <w:rFonts w:cstheme="minorHAnsi"/>
          <w:color w:val="000000" w:themeColor="text1"/>
        </w:rPr>
        <w:t xml:space="preserve"> ways to address this could </w:t>
      </w:r>
      <w:r w:rsidR="00F15AB8" w:rsidRPr="00CA4ABC">
        <w:rPr>
          <w:rFonts w:cstheme="minorHAnsi"/>
          <w:color w:val="000000" w:themeColor="text1"/>
        </w:rPr>
        <w:t>increase</w:t>
      </w:r>
      <w:r w:rsidR="002045DA" w:rsidRPr="00CA4ABC">
        <w:rPr>
          <w:rFonts w:cstheme="minorHAnsi"/>
          <w:color w:val="000000" w:themeColor="text1"/>
        </w:rPr>
        <w:t xml:space="preserve"> </w:t>
      </w:r>
      <w:r w:rsidR="005E41E2" w:rsidRPr="00CA4ABC">
        <w:rPr>
          <w:rFonts w:cstheme="minorHAnsi"/>
          <w:color w:val="000000" w:themeColor="text1"/>
        </w:rPr>
        <w:t xml:space="preserve">the </w:t>
      </w:r>
      <w:r w:rsidR="002045DA" w:rsidRPr="00CA4ABC">
        <w:rPr>
          <w:rFonts w:cstheme="minorHAnsi"/>
          <w:color w:val="000000" w:themeColor="text1"/>
        </w:rPr>
        <w:t xml:space="preserve">uptake of </w:t>
      </w:r>
      <w:r w:rsidRPr="00CA4ABC">
        <w:rPr>
          <w:rFonts w:cstheme="minorHAnsi"/>
          <w:color w:val="000000" w:themeColor="text1"/>
        </w:rPr>
        <w:t xml:space="preserve">resistance training </w:t>
      </w:r>
      <w:r w:rsidR="002045DA" w:rsidRPr="00CA4ABC">
        <w:rPr>
          <w:rFonts w:cstheme="minorHAnsi"/>
          <w:color w:val="000000" w:themeColor="text1"/>
        </w:rPr>
        <w:t>i</w:t>
      </w:r>
      <w:r w:rsidRPr="00CA4ABC">
        <w:rPr>
          <w:rFonts w:cstheme="minorHAnsi"/>
          <w:color w:val="000000" w:themeColor="text1"/>
        </w:rPr>
        <w:t>n this population. Finding convenient and manageable options to increase protein intakes, which do not have appetite implications, is also required.</w:t>
      </w:r>
    </w:p>
    <w:p w14:paraId="0E7D8C6D" w14:textId="77777777" w:rsidR="004C12CF" w:rsidRPr="00CA4ABC" w:rsidRDefault="004C12CF" w:rsidP="004053D7">
      <w:pPr>
        <w:spacing w:line="360" w:lineRule="auto"/>
        <w:rPr>
          <w:rFonts w:cstheme="minorHAnsi"/>
          <w:color w:val="000000" w:themeColor="text1"/>
        </w:rPr>
      </w:pPr>
    </w:p>
    <w:p w14:paraId="0180DF28" w14:textId="7C342866" w:rsidR="004C12CF" w:rsidRPr="00CA4ABC" w:rsidRDefault="00AD1A6E" w:rsidP="004053D7">
      <w:pPr>
        <w:spacing w:line="360" w:lineRule="auto"/>
        <w:rPr>
          <w:rFonts w:cstheme="minorHAnsi"/>
          <w:color w:val="000000" w:themeColor="text1"/>
        </w:rPr>
      </w:pPr>
      <w:r w:rsidRPr="00CA4ABC">
        <w:rPr>
          <w:rFonts w:cstheme="minorHAnsi"/>
          <w:color w:val="000000"/>
          <w:shd w:val="clear" w:color="auto" w:fill="FFFFFF"/>
        </w:rPr>
        <w:t xml:space="preserve">In 2020, the COVID-19 pandemic led to the UK </w:t>
      </w:r>
      <w:r w:rsidR="003E7C99">
        <w:rPr>
          <w:rFonts w:cstheme="minorHAnsi"/>
          <w:color w:val="000000"/>
          <w:shd w:val="clear" w:color="auto" w:fill="FFFFFF"/>
        </w:rPr>
        <w:t>government implementing</w:t>
      </w:r>
      <w:r w:rsidRPr="00CA4ABC">
        <w:rPr>
          <w:rFonts w:cstheme="minorHAnsi"/>
          <w:color w:val="000000"/>
          <w:shd w:val="clear" w:color="auto" w:fill="FFFFFF"/>
        </w:rPr>
        <w:t xml:space="preserve"> lockdown restrictions</w:t>
      </w:r>
      <w:r w:rsidR="004C12CF" w:rsidRPr="00CA4ABC">
        <w:rPr>
          <w:rFonts w:cstheme="minorHAnsi"/>
          <w:color w:val="000000" w:themeColor="text1"/>
        </w:rPr>
        <w:t xml:space="preserve">. These measures included social distancing, </w:t>
      </w:r>
      <w:r w:rsidR="005E41E2" w:rsidRPr="00CA4ABC">
        <w:rPr>
          <w:rFonts w:cstheme="minorHAnsi"/>
          <w:color w:val="000000" w:themeColor="text1"/>
        </w:rPr>
        <w:t>working-from-home</w:t>
      </w:r>
      <w:r w:rsidR="00F15AB8" w:rsidRPr="00CA4ABC">
        <w:rPr>
          <w:rFonts w:cstheme="minorHAnsi"/>
          <w:color w:val="000000" w:themeColor="text1"/>
        </w:rPr>
        <w:t xml:space="preserve"> guidelines </w:t>
      </w:r>
      <w:r w:rsidR="004C12CF" w:rsidRPr="00CA4ABC">
        <w:rPr>
          <w:rFonts w:cstheme="minorHAnsi"/>
          <w:color w:val="000000" w:themeColor="text1"/>
        </w:rPr>
        <w:t xml:space="preserve">and the closure of gyms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{"citationItems":[{"id":"ITEM-1","itemData":{"URL":"https://www.gov.uk/government/speeches/pm-address-to-the-nation-on-coronavirus-23-march-2020","accessed":{"date-parts":[["2021","6","2"]]},"id":"ITEM-1","issued":{"date-parts":[["0"]]},"title":"Prime Minister's statement on coronavirus (COVID-19): 23 March 2020 - GOV.UK","type":"webpage"},"uris":["http://www.mendeley.com/documents/?uuid=8941c078-2722-3f5d-879c-1974f8a2b8cd"]}],"mendeley":{"formattedCitation":"(264)","plainTextFormattedCitation":"(264)","previouslyFormattedCitation":"(264)"},"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(264)</w:t>
      </w:r>
      <w:r w:rsidR="004C12CF" w:rsidRPr="00CA4ABC">
        <w:rPr>
          <w:rFonts w:cstheme="minorHAnsi"/>
          <w:color w:val="000000" w:themeColor="text1"/>
        </w:rPr>
        <w:fldChar w:fldCharType="end"/>
      </w:r>
      <w:r w:rsidR="00F15AB8" w:rsidRPr="00CA4ABC">
        <w:rPr>
          <w:rFonts w:cstheme="minorHAnsi"/>
          <w:color w:val="000000" w:themeColor="text1"/>
        </w:rPr>
        <w:t>.</w:t>
      </w:r>
      <w:r w:rsidR="004C12CF" w:rsidRPr="00CA4ABC">
        <w:rPr>
          <w:rFonts w:cstheme="minorHAnsi"/>
          <w:color w:val="000000" w:themeColor="text1"/>
        </w:rPr>
        <w:t xml:space="preserve"> Alternative home-based exercise approaches became a priority </w:t>
      </w:r>
      <w:r w:rsidR="004C12CF" w:rsidRPr="00CA4ABC">
        <w:rPr>
          <w:rFonts w:cstheme="minorHAnsi"/>
          <w:color w:val="000000" w:themeColor="text1"/>
        </w:rPr>
        <w:lastRenderedPageBreak/>
        <w:t xml:space="preserve">for many with the absence of gym equipment and space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{"citationItems":[{"id":"ITEM-1","itemData":{"id":"ITEM-1","issued":{"date-parts":[["2020"]]},"title":"Active Lives Adult Survey Coronavirus (Covid-19) Report","type":"article-journal"},"uris":["http://www.mendeley.com/documents/?uuid=75be39b4-a121-30fa-8063-33e50e0c7f74"]}],"mendeley":{"formattedCitation":"(265)","plainTextFormattedCitation":"(265)","previouslyFormattedCitation":"(265)"},"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(265)</w:t>
      </w:r>
      <w:r w:rsidR="004C12CF" w:rsidRPr="00CA4ABC">
        <w:rPr>
          <w:rFonts w:cstheme="minorHAnsi"/>
          <w:color w:val="000000" w:themeColor="text1"/>
        </w:rPr>
        <w:fldChar w:fldCharType="end"/>
      </w:r>
      <w:r w:rsidR="004C12CF" w:rsidRPr="00CA4ABC">
        <w:rPr>
          <w:rFonts w:cstheme="minorHAnsi"/>
          <w:color w:val="000000" w:themeColor="text1"/>
        </w:rPr>
        <w:t xml:space="preserve"> and saw the emergence of online workouts such as Joe Wicks</w:t>
      </w:r>
      <w:r w:rsidR="00D647F3" w:rsidRPr="00CA4ABC">
        <w:rPr>
          <w:rFonts w:cstheme="minorHAnsi"/>
          <w:color w:val="000000" w:themeColor="text1"/>
        </w:rPr>
        <w:t xml:space="preserve"> (https://www.thebodycoach.com/blog/pe-with-joe/)</w:t>
      </w:r>
      <w:r w:rsidR="004C12CF" w:rsidRPr="00CA4ABC">
        <w:rPr>
          <w:rFonts w:cstheme="minorHAnsi"/>
          <w:color w:val="000000" w:themeColor="text1"/>
        </w:rPr>
        <w:t xml:space="preserve">, Peloton </w:t>
      </w:r>
      <w:r w:rsidR="00D647F3" w:rsidRPr="00CA4ABC">
        <w:rPr>
          <w:rFonts w:cstheme="minorHAnsi"/>
          <w:color w:val="000000" w:themeColor="text1"/>
        </w:rPr>
        <w:t xml:space="preserve">(https://www.onepeloton.co.uk/) </w:t>
      </w:r>
      <w:r w:rsidR="004C12CF" w:rsidRPr="00CA4ABC">
        <w:rPr>
          <w:rFonts w:cstheme="minorHAnsi"/>
          <w:color w:val="000000" w:themeColor="text1"/>
        </w:rPr>
        <w:t>and</w:t>
      </w:r>
      <w:r w:rsidR="00D647F3" w:rsidRPr="00CA4ABC">
        <w:rPr>
          <w:rFonts w:cstheme="minorHAnsi"/>
          <w:color w:val="000000" w:themeColor="text1"/>
        </w:rPr>
        <w:t xml:space="preserve"> other</w:t>
      </w:r>
      <w:r w:rsidR="004C12CF" w:rsidRPr="00CA4ABC">
        <w:rPr>
          <w:rFonts w:cstheme="minorHAnsi"/>
          <w:color w:val="000000" w:themeColor="text1"/>
        </w:rPr>
        <w:t xml:space="preserve"> </w:t>
      </w:r>
      <w:r w:rsidR="00D647F3" w:rsidRPr="00CA4ABC">
        <w:rPr>
          <w:rFonts w:cstheme="minorHAnsi"/>
          <w:color w:val="000000" w:themeColor="text1"/>
        </w:rPr>
        <w:t xml:space="preserve">digital platforms </w:t>
      </w:r>
      <w:r w:rsidR="00D647F3"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{"citationItems":[{"id":"ITEM-1","itemData":{"DOI":"10.1111/JOCA.12375","ISSN":"17456606","abstract":"By using three areas of well-being, psychological, physical, and social this study aims to explore the perceptions of consumers engaging in digital-physical platforms and communities during the UK COVID-19 lockdown and the impact such participation had on their well-being. Ninety people were recruited via an online study, all were using online workouts, and self-selected to participate. The use of virtual ethnography gave further insight into the functions of these platforms and their role in social connection. Participants discussed the benefits to their mental health, the provision of structure to their day, the social connection it provided, and the alleviation of feelings of isolation. The findings also demonstrate how numerous consumer groups in society could use digital-physical platforms as a potential way of connecting those who are unable to engage in face-to-face settings.","author":[{"dropping-particle":"","family":"Cronshaw","given":"Sue","non-dropping-particle":"","parse-names":false,"suffix":""}],"container-title":"Journal of Consumer Affairs","id":"ITEM-1","issue":"1","issued":{"date-parts":[["2022","3","1"]]},"page":"449-464","publisher":"John Wiley and Sons Inc","title":"Web workouts and consumer well-being: The role of digital-physical activity during the UK COVID-19 lockdown","type":"article-journal","volume":"56"},"uris":["http://www.mendeley.com/documents/?uuid=6c5fb0a1-65f0-3888-9d92-b2935de978f4"]}],"mendeley":{"formattedCitation":"(266)","plainTextFormattedCitation":"(266)","previouslyFormattedCitation":"(266)"},"properties":{"noteIndex":0},"schema":"https://github.com/citation-style-language/schema/raw/master/csl-citation.json"}</w:instrText>
      </w:r>
      <w:r w:rsidR="00D647F3" w:rsidRPr="00CA4ABC">
        <w:rPr>
          <w:rFonts w:cstheme="minorHAnsi"/>
          <w:color w:val="000000" w:themeColor="text1"/>
        </w:rPr>
        <w:fldChar w:fldCharType="separate"/>
      </w:r>
      <w:r w:rsidR="00FF0BCE" w:rsidRPr="00FF0BCE">
        <w:rPr>
          <w:rFonts w:cstheme="minorHAnsi"/>
          <w:noProof/>
          <w:color w:val="000000" w:themeColor="text1"/>
        </w:rPr>
        <w:t>(266)</w:t>
      </w:r>
      <w:r w:rsidR="00D647F3" w:rsidRPr="00CA4ABC">
        <w:rPr>
          <w:rFonts w:cstheme="minorHAnsi"/>
          <w:color w:val="000000" w:themeColor="text1"/>
        </w:rPr>
        <w:fldChar w:fldCharType="end"/>
      </w:r>
      <w:r w:rsidR="004C12CF" w:rsidRPr="00CA4ABC">
        <w:rPr>
          <w:rFonts w:cstheme="minorHAnsi"/>
          <w:color w:val="000000" w:themeColor="text1"/>
        </w:rPr>
        <w:t xml:space="preserve">. Encouraging people to get active </w:t>
      </w:r>
      <w:r w:rsidR="003E7C99">
        <w:rPr>
          <w:rFonts w:cstheme="minorHAnsi"/>
          <w:color w:val="000000" w:themeColor="text1"/>
        </w:rPr>
        <w:t>is important</w:t>
      </w:r>
      <w:r w:rsidR="00A4495A" w:rsidRPr="00CA4ABC">
        <w:rPr>
          <w:rFonts w:cstheme="minorHAnsi"/>
          <w:color w:val="000000" w:themeColor="text1"/>
        </w:rPr>
        <w:t>, particularly</w:t>
      </w:r>
      <w:r w:rsidR="004C12CF" w:rsidRPr="00CA4ABC">
        <w:rPr>
          <w:rFonts w:cstheme="minorHAnsi"/>
          <w:color w:val="000000" w:themeColor="text1"/>
        </w:rPr>
        <w:t xml:space="preserve"> following periods of sedentary behaviour that occurred during lockdown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{"citationItems":[{"id":"ITEM-1","itemData":{"DOI":"10.1136/BMJSEM-2020-000960","ISSN":"2055-7647","abstract":"Objective In March 2020, several countries banned unnecessary outdoor activities during COVID-19, commonly called ‘lockdowns. These lockdowns have the potential to impact associated levels of physical activity and sedentary behaviour. Given the numerous health outcomes associated with physical activity and sedentary behaviour, the aim of this review was to summarise literature that investigated differences in physical activity and sedentary behaviour before vs during the COVID-19 lockdown.\n\nDesign, data sources and eligibility criteria Electronic databases were searched from November 2019 to October 2020 using terms and synonyms relating to physical activity, sedentary behaviour and COVID-19. The coprimary outcomes were changes in physical activity and/or sedentary behaviour captured via device-based measures or self-report tools. Risk of bias was measured using the Newcastle-Ottawa Scale.\n\nResults Sixty six articles met the inclusion criteria and were included in the review (total n=86 981). Changes in physical activity were reported in 64 studies, with the majority of studies reporting decreases in physical activity and increases in sedentary behaviours during their respective lockdowns across several populations, including children and patients with a variety of medical conditions.\n\nConclusion Given the numerous physical and mental benefits of increased physical activity and decreased sedentary behaviour, public health strategies should include the creation and implementation of interventions that promote safe physical activity and reduce sedentary behaviour should other lockdowns occur.","author":[{"dropping-particle":"","family":"Stockwell","given":"Stephanie","non-dropping-particle":"","parse-names":false,"suffix":""},{"dropping-particle":"","family":"Trott","given":"Mike","non-dropping-particle":"","parse-names":false,"suffix":""},{"dropping-particle":"","family":"Tully","given":"Mark","non-dropping-particle":"","parse-names":false,"suffix":""},{"dropping-particle":"","family":"Shin","given":"Jae","non-dropping-particle":"","parse-names":false,"suffix":""},{"dropping-particle":"","family":"Barnett","given":"Yvonne","non-dropping-particle":"","parse-names":false,"suffix":""},{"dropping-particle":"","family":"Butler","given":"Laurie","non-dropping-particle":"","parse-names":false,"suffix":""},{"dropping-particle":"","family":"McDermott","given":"Daragh","non-dropping-particle":"","parse-names":false,"suffix":""},{"dropping-particle":"","family":"Schuch","given":"Felipe","non-dropping-particle":"","parse-names":false,"suffix":""},{"dropping-particle":"","family":"Smith","given":"Lee","non-dropping-particle":"","parse-names":false,"suffix":""}],"container-title":"BMJ Open Sport &amp; Exercise Medicine","id":"ITEM-1","issue":"1","issued":{"date-parts":[["2021","1","1"]]},"page":"e000960","publisher":"BMJ Specialist Journals","title":"Changes in physical activity and sedentary behaviours from before to during the COVID-19 pandemic lockdown: a systematic review","type":"article-journal","volume":"7"},"uris":["http://www.mendeley.com/documents/?uuid=aac61123-a6cf-3524-9830-c8800df89d74"]}],"mendeley":{"formattedCitation":"(267)","plainTextFormattedCitation":"(267)","previouslyFormattedCitation":"(267)"},"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(267)</w:t>
      </w:r>
      <w:r w:rsidR="004C12CF" w:rsidRPr="00CA4ABC">
        <w:rPr>
          <w:rFonts w:cstheme="minorHAnsi"/>
          <w:color w:val="000000" w:themeColor="text1"/>
        </w:rPr>
        <w:fldChar w:fldCharType="end"/>
      </w:r>
      <w:r w:rsidR="004C12CF" w:rsidRPr="00CA4ABC">
        <w:rPr>
          <w:rFonts w:cstheme="minorHAnsi"/>
          <w:color w:val="000000" w:themeColor="text1"/>
        </w:rPr>
        <w:t xml:space="preserve">. In </w:t>
      </w:r>
      <w:r w:rsidR="00F15AB8" w:rsidRPr="00CA4ABC">
        <w:rPr>
          <w:rFonts w:cstheme="minorHAnsi"/>
          <w:color w:val="000000" w:themeColor="text1"/>
        </w:rPr>
        <w:t>u</w:t>
      </w:r>
      <w:r w:rsidR="004C12CF" w:rsidRPr="00CA4ABC">
        <w:rPr>
          <w:rFonts w:cstheme="minorHAnsi"/>
          <w:color w:val="000000" w:themeColor="text1"/>
        </w:rPr>
        <w:t>niversity and clinical research setting</w:t>
      </w:r>
      <w:r w:rsidR="00F15AB8" w:rsidRPr="00CA4ABC">
        <w:rPr>
          <w:rFonts w:cstheme="minorHAnsi"/>
          <w:color w:val="000000" w:themeColor="text1"/>
        </w:rPr>
        <w:t>s</w:t>
      </w:r>
      <w:r w:rsidR="004C12CF" w:rsidRPr="00CA4ABC">
        <w:rPr>
          <w:rFonts w:cstheme="minorHAnsi"/>
          <w:color w:val="000000" w:themeColor="text1"/>
        </w:rPr>
        <w:t>, face</w:t>
      </w:r>
      <w:r w:rsidR="005E41E2" w:rsidRPr="00CA4ABC">
        <w:rPr>
          <w:rFonts w:cstheme="minorHAnsi"/>
          <w:color w:val="000000" w:themeColor="text1"/>
        </w:rPr>
        <w:t>-</w:t>
      </w:r>
      <w:r w:rsidR="004C12CF" w:rsidRPr="00CA4ABC">
        <w:rPr>
          <w:rFonts w:cstheme="minorHAnsi"/>
          <w:color w:val="000000" w:themeColor="text1"/>
        </w:rPr>
        <w:t>to</w:t>
      </w:r>
      <w:r w:rsidR="005E41E2" w:rsidRPr="00CA4ABC">
        <w:rPr>
          <w:rFonts w:cstheme="minorHAnsi"/>
          <w:color w:val="000000" w:themeColor="text1"/>
        </w:rPr>
        <w:t>-f</w:t>
      </w:r>
      <w:r w:rsidR="004C12CF" w:rsidRPr="00CA4ABC">
        <w:rPr>
          <w:rFonts w:cstheme="minorHAnsi"/>
          <w:color w:val="000000" w:themeColor="text1"/>
        </w:rPr>
        <w:t>ace research was halted</w:t>
      </w:r>
      <w:r w:rsidR="00A4495A" w:rsidRPr="00CA4ABC">
        <w:rPr>
          <w:rFonts w:cstheme="minorHAnsi"/>
          <w:color w:val="000000" w:themeColor="text1"/>
        </w:rPr>
        <w:t>. These restrictions remained in place from March 2020-January 2022.</w:t>
      </w:r>
      <w:r w:rsidR="004C12CF" w:rsidRPr="00CA4ABC">
        <w:rPr>
          <w:rFonts w:cstheme="minorHAnsi"/>
          <w:color w:val="000000" w:themeColor="text1"/>
        </w:rPr>
        <w:t xml:space="preserve"> </w:t>
      </w:r>
      <w:r w:rsidR="00A4495A" w:rsidRPr="00CA4ABC">
        <w:rPr>
          <w:rFonts w:cstheme="minorHAnsi"/>
          <w:color w:val="000000" w:themeColor="text1"/>
        </w:rPr>
        <w:t>As such, a necessity for</w:t>
      </w:r>
      <w:r w:rsidR="004C12CF" w:rsidRPr="00CA4ABC">
        <w:rPr>
          <w:rFonts w:cstheme="minorHAnsi"/>
          <w:color w:val="000000" w:themeColor="text1"/>
        </w:rPr>
        <w:t xml:space="preserve"> COVID-19 safe protocols w</w:t>
      </w:r>
      <w:r w:rsidR="005E41E2" w:rsidRPr="00CA4ABC">
        <w:rPr>
          <w:rFonts w:cstheme="minorHAnsi"/>
          <w:color w:val="000000" w:themeColor="text1"/>
        </w:rPr>
        <w:t>as</w:t>
      </w:r>
      <w:r w:rsidR="004C12CF" w:rsidRPr="00CA4ABC">
        <w:rPr>
          <w:rFonts w:cstheme="minorHAnsi"/>
          <w:color w:val="000000" w:themeColor="text1"/>
        </w:rPr>
        <w:t xml:space="preserve"> </w:t>
      </w:r>
      <w:r w:rsidR="00A4495A" w:rsidRPr="00CA4ABC">
        <w:rPr>
          <w:rFonts w:cstheme="minorHAnsi"/>
          <w:color w:val="000000" w:themeColor="text1"/>
        </w:rPr>
        <w:t>required</w:t>
      </w:r>
      <w:r w:rsidR="004C12CF" w:rsidRPr="00CA4ABC">
        <w:rPr>
          <w:rFonts w:cstheme="minorHAnsi"/>
          <w:color w:val="000000" w:themeColor="text1"/>
        </w:rPr>
        <w:t>, meaning alternative, novel remote delivery strategies were necessary to be socially distan</w:t>
      </w:r>
      <w:r w:rsidR="00CE7A37" w:rsidRPr="00CA4ABC">
        <w:rPr>
          <w:rFonts w:cstheme="minorHAnsi"/>
          <w:color w:val="000000" w:themeColor="text1"/>
        </w:rPr>
        <w:t>t</w:t>
      </w:r>
      <w:r w:rsidR="004C12CF" w:rsidRPr="00CA4ABC">
        <w:rPr>
          <w:rFonts w:cstheme="minorHAnsi"/>
          <w:color w:val="000000" w:themeColor="text1"/>
        </w:rPr>
        <w:t xml:space="preserve"> compliant. </w:t>
      </w:r>
      <w:r w:rsidR="00CE7A37" w:rsidRPr="00CA4ABC">
        <w:rPr>
          <w:rFonts w:cstheme="minorHAnsi"/>
          <w:color w:val="000000" w:themeColor="text1"/>
        </w:rPr>
        <w:t>B</w:t>
      </w:r>
      <w:r w:rsidR="004C12CF" w:rsidRPr="00CA4ABC">
        <w:rPr>
          <w:rFonts w:cstheme="minorHAnsi"/>
          <w:color w:val="000000" w:themeColor="text1"/>
        </w:rPr>
        <w:t xml:space="preserve">enefits of </w:t>
      </w:r>
      <w:r w:rsidR="00CE7A37" w:rsidRPr="00CA4ABC">
        <w:rPr>
          <w:rFonts w:cstheme="minorHAnsi"/>
          <w:color w:val="000000" w:themeColor="text1"/>
        </w:rPr>
        <w:t>remote delivery</w:t>
      </w:r>
      <w:r w:rsidR="004C12CF" w:rsidRPr="00CA4ABC">
        <w:rPr>
          <w:rFonts w:cstheme="minorHAnsi"/>
          <w:color w:val="000000" w:themeColor="text1"/>
        </w:rPr>
        <w:t xml:space="preserve"> could include limiting time constraint issues and </w:t>
      </w:r>
      <w:r w:rsidR="003E7C99">
        <w:rPr>
          <w:rFonts w:cstheme="minorHAnsi"/>
          <w:color w:val="000000" w:themeColor="text1"/>
        </w:rPr>
        <w:t>avoiding</w:t>
      </w:r>
      <w:r w:rsidR="004C12CF" w:rsidRPr="00CA4ABC">
        <w:rPr>
          <w:rFonts w:cstheme="minorHAnsi"/>
          <w:color w:val="000000" w:themeColor="text1"/>
        </w:rPr>
        <w:t xml:space="preserve"> intimidating and expensive gym environments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{"citationItems":[{"id":"ITEM-1","itemData":{"URL":"https://www.cdc.gov/physicalactivity/basics/adding-pa/barriers.html","accessed":{"date-parts":[["2022","11","1"]]},"id":"ITEM-1","issued":{"date-parts":[["0"]]},"title":"Overcoming Barriers to Physical Activity | Physical Activity | CDC","type":"webpage"},"uris":["http://www.mendeley.com/documents/?uuid=47560f7a-5837-34f7-9dad-5c931237e35c"]}],"mendeley":{"formattedCitation":"(268)","plainTextFormattedCitation":"(268)","previouslyFormattedCitation":"(268)"},"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(268)</w:t>
      </w:r>
      <w:r w:rsidR="004C12CF" w:rsidRPr="00CA4ABC">
        <w:rPr>
          <w:rFonts w:cstheme="minorHAnsi"/>
          <w:color w:val="000000" w:themeColor="text1"/>
        </w:rPr>
        <w:fldChar w:fldCharType="end"/>
      </w:r>
      <w:r w:rsidR="004C12CF" w:rsidRPr="00CA4ABC">
        <w:rPr>
          <w:rFonts w:cstheme="minorHAnsi"/>
          <w:color w:val="000000" w:themeColor="text1"/>
        </w:rPr>
        <w:t xml:space="preserve">. </w:t>
      </w:r>
    </w:p>
    <w:p w14:paraId="47FDC5CA" w14:textId="77777777" w:rsidR="004C12CF" w:rsidRPr="00CA4ABC" w:rsidRDefault="004C12CF" w:rsidP="004053D7">
      <w:pPr>
        <w:spacing w:line="360" w:lineRule="auto"/>
        <w:rPr>
          <w:rFonts w:cstheme="minorHAnsi"/>
          <w:color w:val="000000" w:themeColor="text1"/>
        </w:rPr>
      </w:pPr>
    </w:p>
    <w:p w14:paraId="6D99C26E" w14:textId="30E7EFF6" w:rsidR="004C12CF" w:rsidRPr="00CA4ABC" w:rsidRDefault="004C12CF" w:rsidP="004053D7">
      <w:pPr>
        <w:pStyle w:val="Heading3"/>
        <w:spacing w:line="360" w:lineRule="auto"/>
        <w:rPr>
          <w:rFonts w:asciiTheme="minorHAnsi" w:hAnsiTheme="minorHAnsi" w:cstheme="minorHAnsi"/>
          <w:color w:val="000000" w:themeColor="text1"/>
        </w:rPr>
      </w:pPr>
      <w:bookmarkStart w:id="198" w:name="_Toc135384331"/>
      <w:r w:rsidRPr="00CA4ABC">
        <w:rPr>
          <w:rFonts w:asciiTheme="minorHAnsi" w:hAnsiTheme="minorHAnsi" w:cstheme="minorHAnsi"/>
          <w:color w:val="000000" w:themeColor="text1"/>
        </w:rPr>
        <w:t>5.1.2 Feasibility study definitions and guidelines</w:t>
      </w:r>
      <w:bookmarkEnd w:id="198"/>
    </w:p>
    <w:p w14:paraId="00605F01" w14:textId="4C5D5506" w:rsidR="004C12CF" w:rsidRPr="00CA4ABC" w:rsidRDefault="00911388" w:rsidP="003019D5">
      <w:pPr>
        <w:spacing w:line="360" w:lineRule="auto"/>
        <w:ind w:firstLine="720"/>
        <w:rPr>
          <w:rFonts w:cstheme="minorHAnsi"/>
          <w:color w:val="000000" w:themeColor="text1"/>
        </w:rPr>
      </w:pPr>
      <w:r w:rsidRPr="00CA4ABC">
        <w:rPr>
          <w:rFonts w:cstheme="minorHAnsi"/>
          <w:color w:val="000000" w:themeColor="text1"/>
        </w:rPr>
        <w:t xml:space="preserve">Feasibility studies require </w:t>
      </w:r>
      <w:r w:rsidR="004C12CF" w:rsidRPr="00CA4ABC">
        <w:rPr>
          <w:rFonts w:cstheme="minorHAnsi"/>
          <w:color w:val="000000" w:themeColor="text1"/>
        </w:rPr>
        <w:t>clear</w:t>
      </w:r>
      <w:r w:rsidRPr="00CA4ABC">
        <w:rPr>
          <w:rFonts w:cstheme="minorHAnsi"/>
          <w:color w:val="000000" w:themeColor="text1"/>
        </w:rPr>
        <w:t>ly</w:t>
      </w:r>
      <w:r w:rsidR="004C12CF" w:rsidRPr="00CA4ABC">
        <w:rPr>
          <w:rFonts w:cstheme="minorHAnsi"/>
          <w:color w:val="000000" w:themeColor="text1"/>
        </w:rPr>
        <w:t xml:space="preserve"> defined objectives, which need to be met before the next stage of the study development go</w:t>
      </w:r>
      <w:r w:rsidRPr="00CA4ABC">
        <w:rPr>
          <w:rFonts w:cstheme="minorHAnsi"/>
          <w:color w:val="000000" w:themeColor="text1"/>
        </w:rPr>
        <w:t>es</w:t>
      </w:r>
      <w:r w:rsidR="004C12CF" w:rsidRPr="00CA4ABC">
        <w:rPr>
          <w:rFonts w:cstheme="minorHAnsi"/>
          <w:color w:val="000000" w:themeColor="text1"/>
        </w:rPr>
        <w:t xml:space="preserve"> ahead.</w:t>
      </w:r>
      <w:r w:rsidR="00AD1A6E" w:rsidRPr="00CA4ABC">
        <w:rPr>
          <w:rFonts w:cstheme="minorHAnsi"/>
          <w:color w:val="000000" w:themeColor="text1"/>
        </w:rPr>
        <w:t xml:space="preserve"> </w:t>
      </w:r>
      <w:r w:rsidR="00AD1A6E" w:rsidRPr="00CA4ABC">
        <w:rPr>
          <w:rFonts w:cstheme="minorHAnsi"/>
          <w:color w:val="000000"/>
          <w:shd w:val="clear" w:color="auto" w:fill="FFFFFF"/>
        </w:rPr>
        <w:t>The UK National Institute for Health Research (NIHR) state that feasibility studies occur early in the research process and are ‘</w:t>
      </w:r>
      <w:r w:rsidR="00AD1A6E" w:rsidRPr="00CA4ABC">
        <w:rPr>
          <w:rFonts w:cstheme="minorHAnsi"/>
          <w:i/>
          <w:iCs/>
          <w:color w:val="000000"/>
          <w:shd w:val="clear" w:color="auto" w:fill="FFFFFF"/>
        </w:rPr>
        <w:t xml:space="preserve">a version of the main study that is run in miniature to test whether the main study components can all work together’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{"citationItems":[{"id":"ITEM-1","itemData":{"DOI":"10.1371/journal.pone.0150205","abstract":"We describe a framework for defining pilot and feasibility studies focusing on studies conducted in preparation for a randomised controlled trial. To develop the framework, we undertook a Delphi survey; ran an open meeting at a trial methodology conference; conducted a review of definitions outside the health research context; consulted experts at an international consensus meeting; and reviewed 27 empirical pilot or feasibility studies. We initially adopted mutually exclusive definitions of pilot and feasibility studies. However, some Delphi survey respondents and the majority of open meeting attendees disagreed with the idea of mutually exclusive definitions. Their viewpoint was supported by definitions outside the health research context, the use of the terms 'pilot' and 'feasibility' in the literature, and participants at the international consensus meeting. In our framework, pilot studies are a subset of feasibility studies, rather than the two being mutually exclusive. A feasibility study asks whether something can be done, should we proceed with it, and if so, how. A pilot study asks the same questions but also has a specific design feature: in a pilot study a future study, or part of a future study, is conducted on a smaller scale. We suggest that to facilitate their identification, these studies should be clearly identified using the terms 'feasibility' or 'pilot' as appropriate. This should include feasibility studies that are largely qualitative; we found these difficult to identify in electronic searches because researchers rarely used the term 'feasibility' in the title or abstract of such studies. Investigators should also report appropriate objectives and methods related to feasibility; and give clear confirmation that their study is in preparation for a future randomised controlled trial designed to assess the effect of an intervention.","author":[{"dropping-particle":"","family":"Eldridge","given":"Sandra M","non-dropping-particle":"","parse-names":false,"suffix":""},{"dropping-particle":"","family":"Lancaster","given":"Gillian A","non-dropping-particle":"","parse-names":false,"suffix":""},{"dropping-particle":"","family":"Campbell","given":"Michael J","non-dropping-particle":"","parse-names":false,"suffix":""},{"dropping-particle":"","family":"Thabane","given":"Lehana","non-dropping-particle":"","parse-names":false,"suffix":""},{"dropping-particle":"","family":"Hopewell","given":"Sally","non-dropping-particle":"","parse-names":false,"suffix":""},{"dropping-particle":"","family":"Coleman","given":"Claire L","non-dropping-particle":"","parse-names":false,"suffix":""},{"dropping-particle":"","family":"Bond","given":"Christine M","non-dropping-particle":"","parse-names":false,"suffix":""}],"id":"ITEM-1","issued":{"date-parts":[["2016"]]},"title":"Defining Feasibility and Pilot Studies in Preparation for Randomised Controlled Trials: Development of a Conceptual Framework","type":"article-journal"},"uris":["http://www.mendeley.com/documents/?uuid=c71b6298-7e6f-3a36-9d32-c71a5d69fe5e"]}],"mendeley":{"formattedCitation":"(269)","plainTextFormattedCitation":"(269)","previouslyFormattedCitation":"(269)"},"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(269)</w:t>
      </w:r>
      <w:r w:rsidR="004C12CF" w:rsidRPr="00CA4ABC">
        <w:rPr>
          <w:rFonts w:cstheme="minorHAnsi"/>
          <w:color w:val="000000" w:themeColor="text1"/>
        </w:rPr>
        <w:fldChar w:fldCharType="end"/>
      </w:r>
      <w:r w:rsidR="004C12CF" w:rsidRPr="00CA4ABC">
        <w:rPr>
          <w:rFonts w:cstheme="minorHAnsi"/>
          <w:color w:val="000000" w:themeColor="text1"/>
        </w:rPr>
        <w:t xml:space="preserve">. </w:t>
      </w:r>
      <w:r w:rsidRPr="00CA4ABC">
        <w:rPr>
          <w:rFonts w:cstheme="minorHAnsi"/>
          <w:color w:val="000000" w:themeColor="text1"/>
        </w:rPr>
        <w:t xml:space="preserve">The main study is then </w:t>
      </w:r>
      <w:r w:rsidR="003E7C99">
        <w:rPr>
          <w:rFonts w:cstheme="minorHAnsi"/>
          <w:color w:val="000000" w:themeColor="text1"/>
        </w:rPr>
        <w:t>more extensive</w:t>
      </w:r>
      <w:r w:rsidRPr="00CA4ABC">
        <w:rPr>
          <w:rFonts w:cstheme="minorHAnsi"/>
          <w:color w:val="000000" w:themeColor="text1"/>
        </w:rPr>
        <w:t xml:space="preserve"> and more comprehensive in nature.</w:t>
      </w:r>
      <w:r w:rsidR="003019D5" w:rsidRPr="00CA4ABC">
        <w:rPr>
          <w:rFonts w:cstheme="minorHAnsi"/>
          <w:color w:val="000000" w:themeColor="text1"/>
        </w:rPr>
        <w:t xml:space="preserve"> Moreover, t</w:t>
      </w:r>
      <w:r w:rsidR="004C12CF" w:rsidRPr="00CA4ABC">
        <w:rPr>
          <w:rFonts w:cstheme="minorHAnsi"/>
          <w:color w:val="000000" w:themeColor="text1"/>
        </w:rPr>
        <w:t xml:space="preserve">he aims and objectives of feasibility studies differ from those of randomised control trials. The main focus for feasibility trials is to ascertain if </w:t>
      </w:r>
      <w:r w:rsidR="003E7C99">
        <w:rPr>
          <w:rFonts w:cstheme="minorHAnsi"/>
          <w:color w:val="000000" w:themeColor="text1"/>
        </w:rPr>
        <w:t>extending a proposed study to a full RCT is possible</w:t>
      </w:r>
      <w:r w:rsidR="004C12CF" w:rsidRPr="00CA4ABC">
        <w:rPr>
          <w:rFonts w:cstheme="minorHAnsi"/>
          <w:color w:val="000000" w:themeColor="text1"/>
        </w:rPr>
        <w:t xml:space="preserve">. The questions to address </w:t>
      </w:r>
      <w:r w:rsidR="00CE7A37" w:rsidRPr="00CA4ABC">
        <w:rPr>
          <w:rFonts w:cstheme="minorHAnsi"/>
          <w:color w:val="000000" w:themeColor="text1"/>
        </w:rPr>
        <w:t>with a feasibility study include</w:t>
      </w:r>
      <w:r w:rsidR="004C12CF" w:rsidRPr="00CA4ABC">
        <w:rPr>
          <w:rFonts w:cstheme="minorHAnsi"/>
          <w:color w:val="000000" w:themeColor="text1"/>
        </w:rPr>
        <w:t xml:space="preserve"> whether </w:t>
      </w:r>
      <w:r w:rsidR="00AD1A6E" w:rsidRPr="00CA4ABC">
        <w:rPr>
          <w:rFonts w:cstheme="minorHAnsi"/>
          <w:color w:val="000000" w:themeColor="text1"/>
        </w:rPr>
        <w:t>a</w:t>
      </w:r>
      <w:r w:rsidR="004C12CF" w:rsidRPr="00CA4ABC">
        <w:rPr>
          <w:rFonts w:cstheme="minorHAnsi"/>
          <w:color w:val="000000" w:themeColor="text1"/>
        </w:rPr>
        <w:t xml:space="preserve"> future trial can be done, should be done, and if so, how</w:t>
      </w:r>
      <w:r w:rsidR="00CE7A37" w:rsidRPr="00CA4ABC">
        <w:rPr>
          <w:rFonts w:cstheme="minorHAnsi"/>
          <w:color w:val="000000" w:themeColor="text1"/>
        </w:rPr>
        <w:t>?</w:t>
      </w:r>
      <w:r w:rsidR="004C12CF" w:rsidRPr="00CA4ABC">
        <w:rPr>
          <w:rFonts w:cstheme="minorHAnsi"/>
          <w:color w:val="000000" w:themeColor="text1"/>
        </w:rPr>
        <w:t xml:space="preserve">  Po</w:t>
      </w:r>
      <w:r w:rsidR="003E7C99">
        <w:rPr>
          <w:rFonts w:cstheme="minorHAnsi"/>
          <w:color w:val="000000" w:themeColor="text1"/>
        </w:rPr>
        <w:t>tential</w:t>
      </w:r>
      <w:r w:rsidR="004C12CF" w:rsidRPr="00CA4ABC">
        <w:rPr>
          <w:rFonts w:cstheme="minorHAnsi"/>
          <w:color w:val="000000" w:themeColor="text1"/>
        </w:rPr>
        <w:t xml:space="preserve"> uncertainties could include: 1) the acceptability of the intervention to the users and how much they adhere to </w:t>
      </w:r>
      <w:r w:rsidR="00CE7A37" w:rsidRPr="00CA4ABC">
        <w:rPr>
          <w:rFonts w:cstheme="minorHAnsi"/>
          <w:color w:val="000000" w:themeColor="text1"/>
        </w:rPr>
        <w:t>it</w:t>
      </w:r>
      <w:r w:rsidR="004C12CF" w:rsidRPr="00CA4ABC">
        <w:rPr>
          <w:rFonts w:cstheme="minorHAnsi"/>
          <w:color w:val="000000" w:themeColor="text1"/>
        </w:rPr>
        <w:t>; 2) the willingness of patients to be randomised and 3) the willing</w:t>
      </w:r>
      <w:r w:rsidR="00AD1A6E" w:rsidRPr="00CA4ABC">
        <w:rPr>
          <w:rFonts w:cstheme="minorHAnsi"/>
          <w:color w:val="000000" w:themeColor="text1"/>
        </w:rPr>
        <w:t>ness</w:t>
      </w:r>
      <w:r w:rsidR="004C12CF" w:rsidRPr="00CA4ABC">
        <w:rPr>
          <w:rFonts w:cstheme="minorHAnsi"/>
          <w:color w:val="000000" w:themeColor="text1"/>
        </w:rPr>
        <w:t xml:space="preserve"> of clinicians to randomise patients; 4) the choice of primary outcomes and their characteristics; 5) the choice of an adequate comparator; 6) follow-up rates, responses to questionnaires and adherence/compliance rates; 7) the time needed to collect and analyse data; 8) the practicality of delivering the intervention, including considerations for the proposed setting. </w:t>
      </w:r>
    </w:p>
    <w:p w14:paraId="0C294DB5" w14:textId="77777777" w:rsidR="004C12CF" w:rsidRPr="00CA4ABC" w:rsidRDefault="004C12CF" w:rsidP="004053D7">
      <w:pPr>
        <w:spacing w:line="360" w:lineRule="auto"/>
        <w:rPr>
          <w:rFonts w:cstheme="minorHAnsi"/>
          <w:color w:val="000000" w:themeColor="text1"/>
        </w:rPr>
      </w:pPr>
    </w:p>
    <w:p w14:paraId="2796CFE8" w14:textId="48B1D1BD" w:rsidR="004C12CF" w:rsidRPr="00CA4ABC" w:rsidRDefault="004C12CF" w:rsidP="004053D7">
      <w:pPr>
        <w:spacing w:line="360" w:lineRule="auto"/>
        <w:rPr>
          <w:rFonts w:cstheme="minorHAnsi"/>
          <w:color w:val="000000" w:themeColor="text1"/>
        </w:rPr>
      </w:pPr>
      <w:r w:rsidRPr="00CA4ABC">
        <w:rPr>
          <w:rFonts w:cstheme="minorHAnsi"/>
          <w:color w:val="000000" w:themeColor="text1"/>
        </w:rPr>
        <w:t>In 2015, the BMC created a new journal</w:t>
      </w:r>
      <w:r w:rsidR="003E7C99">
        <w:rPr>
          <w:rFonts w:cstheme="minorHAnsi"/>
          <w:color w:val="000000" w:themeColor="text1"/>
        </w:rPr>
        <w:t>,</w:t>
      </w:r>
      <w:r w:rsidRPr="00CA4ABC">
        <w:rPr>
          <w:rFonts w:cstheme="minorHAnsi"/>
          <w:color w:val="000000" w:themeColor="text1"/>
        </w:rPr>
        <w:t xml:space="preserve"> </w:t>
      </w:r>
      <w:r w:rsidRPr="00CA4ABC">
        <w:rPr>
          <w:rFonts w:cstheme="minorHAnsi"/>
          <w:i/>
          <w:iCs/>
          <w:color w:val="000000" w:themeColor="text1"/>
        </w:rPr>
        <w:t>Pilot and Feasibility Studies</w:t>
      </w:r>
      <w:r w:rsidR="003E7C99">
        <w:rPr>
          <w:rFonts w:cstheme="minorHAnsi"/>
          <w:i/>
          <w:iCs/>
          <w:color w:val="000000" w:themeColor="text1"/>
        </w:rPr>
        <w:t xml:space="preserve">, </w:t>
      </w:r>
      <w:r w:rsidR="003E7C99" w:rsidRPr="003E7C99">
        <w:rPr>
          <w:rFonts w:cstheme="minorHAnsi"/>
          <w:color w:val="000000" w:themeColor="text1"/>
        </w:rPr>
        <w:t>leading</w:t>
      </w:r>
      <w:r w:rsidRPr="003E7C99">
        <w:rPr>
          <w:rFonts w:cstheme="minorHAnsi"/>
          <w:color w:val="000000" w:themeColor="text1"/>
        </w:rPr>
        <w:t xml:space="preserve"> </w:t>
      </w:r>
      <w:r w:rsidRPr="00CA4ABC">
        <w:rPr>
          <w:rFonts w:cstheme="minorHAnsi"/>
          <w:color w:val="000000" w:themeColor="text1"/>
        </w:rPr>
        <w:t xml:space="preserve">to a rise in the number of studies published in this field. It also highlights the relevance of feasibility work. This is further supported by the Consolidated Standards of Reporting Trials (CONSORT) </w:t>
      </w:r>
      <w:r w:rsidRPr="00CA4ABC">
        <w:rPr>
          <w:rFonts w:cstheme="minorHAnsi"/>
          <w:color w:val="000000" w:themeColor="text1"/>
        </w:rPr>
        <w:lastRenderedPageBreak/>
        <w:t xml:space="preserve">extending their guidelines to include feasibility trials in 2016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{"citationItems":[{"id":"ITEM-1","itemData":{"DOI":"10.1371/journal.pone.0150205","abstract":"We describe a framework for defining pilot and feasibility studies focusing on studies conducted in preparation for a randomised controlled trial. To develop the framework, we undertook a Delphi survey; ran an open meeting at a trial methodology conference; conducted a review of definitions outside the health research context; consulted experts at an international consensus meeting; and reviewed 27 empirical pilot or feasibility studies. We initially adopted mutually exclusive definitions of pilot and feasibility studies. However, some Delphi survey respondents and the majority of open meeting attendees disagreed with the idea of mutually exclusive definitions. Their viewpoint was supported by definitions outside the health research context, the use of the terms 'pilot' and 'feasibility' in the literature, and participants at the international consensus meeting. In our framework, pilot studies are a subset of feasibility studies, rather than the two being mutually exclusive. A feasibility study asks whether something can be done, should we proceed with it, and if so, how. A pilot study asks the same questions but also has a specific design feature: in a pilot study a future study, or part of a future study, is conducted on a smaller scale. We suggest that to facilitate their identification, these studies should be clearly identified using the terms 'feasibility' or 'pilot' as appropriate. This should include feasibility studies that are largely qualitative; we found these difficult to identify in electronic searches because researchers rarely used the term 'feasibility' in the title or abstract of such studies. Investigators should also report appropriate objectives and methods related to feasibility; and give clear confirmation that their study is in preparation for a future randomised controlled trial designed to assess the effect of an intervention.","author":[{"dropping-particle":"","family":"Eldridge","given":"Sandra M","non-dropping-particle":"","parse-names":false,"suffix":""},{"dropping-particle":"","family":"Lancaster","given":"Gillian A","non-dropping-particle":"","parse-names":false,"suffix":""},{"dropping-particle":"","family":"Campbell","given":"Michael J","non-dropping-particle":"","parse-names":false,"suffix":""},{"dropping-particle":"","family":"Thabane","given":"Lehana","non-dropping-particle":"","parse-names":false,"suffix":""},{"dropping-particle":"","family":"Hopewell","given":"Sally","non-dropping-particle":"","parse-names":false,"suffix":""},{"dropping-particle":"","family":"Coleman","given":"Claire L","non-dropping-particle":"","parse-names":false,"suffix":""},{"dropping-particle":"","family":"Bond","given":"Christine M","non-dropping-particle":"","parse-names":false,"suffix":""}],"id":"ITEM-1","issued":{"date-parts":[["2016"]]},"title":"Defining Feasibility and Pilot Studies in Preparation for Randomised Controlled Trials: Development of a Conceptual Framework","type":"article-journal"},"uris":["http://www.mendeley.com/documents/?uuid=c71b6298-7e6f-3a36-9d32-c71a5d69fe5e"]}],"mendeley":{"formattedCitation":"(269)","plainTextFormattedCitation":"(269)","previouslyFormattedCitation":"(269)"},"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(269)</w:t>
      </w:r>
      <w:r w:rsidRPr="00CA4ABC">
        <w:rPr>
          <w:rFonts w:cstheme="minorHAnsi"/>
          <w:color w:val="000000" w:themeColor="text1"/>
        </w:rPr>
        <w:fldChar w:fldCharType="end"/>
      </w:r>
      <w:r w:rsidRPr="00CA4ABC">
        <w:rPr>
          <w:rFonts w:cstheme="minorHAnsi"/>
          <w:color w:val="000000" w:themeColor="text1"/>
        </w:rPr>
        <w:t xml:space="preserve">. </w:t>
      </w:r>
      <w:r w:rsidR="003E7C99">
        <w:rPr>
          <w:rFonts w:cstheme="minorHAnsi"/>
          <w:color w:val="000000" w:themeColor="text1"/>
        </w:rPr>
        <w:t xml:space="preserve">Establishing a working group that produces methodology papers for randomised pilot and feasibility trials has also been progressive in providing guidelines to aid researchers in planning and reporting </w:t>
      </w:r>
      <w:r w:rsidRPr="00CA4ABC">
        <w:rPr>
          <w:rFonts w:cstheme="minorHAnsi"/>
          <w:color w:val="000000" w:themeColor="text1"/>
        </w:rPr>
        <w:t>these trials.</w:t>
      </w:r>
    </w:p>
    <w:p w14:paraId="5FB2AD25" w14:textId="77777777" w:rsidR="004C12CF" w:rsidRPr="00CA4ABC" w:rsidRDefault="004C12CF" w:rsidP="004053D7">
      <w:pPr>
        <w:spacing w:line="360" w:lineRule="auto"/>
        <w:rPr>
          <w:rFonts w:cstheme="minorHAnsi"/>
          <w:color w:val="000000" w:themeColor="text1"/>
        </w:rPr>
      </w:pPr>
    </w:p>
    <w:p w14:paraId="64A94609" w14:textId="64BDFEDB" w:rsidR="004C12CF" w:rsidRPr="00CA4ABC" w:rsidRDefault="002045DA" w:rsidP="004053D7">
      <w:pPr>
        <w:spacing w:line="360" w:lineRule="auto"/>
        <w:rPr>
          <w:rFonts w:cstheme="minorHAnsi"/>
          <w:color w:val="000000" w:themeColor="text1"/>
        </w:rPr>
      </w:pPr>
      <w:r w:rsidRPr="00CA4ABC">
        <w:rPr>
          <w:rFonts w:cstheme="minorHAnsi"/>
          <w:color w:val="000000" w:themeColor="text1"/>
        </w:rPr>
        <w:t>This chapter describes an</w:t>
      </w:r>
      <w:r w:rsidR="004C12CF" w:rsidRPr="00CA4ABC">
        <w:rPr>
          <w:rFonts w:cstheme="minorHAnsi"/>
          <w:color w:val="000000" w:themeColor="text1"/>
        </w:rPr>
        <w:t xml:space="preserve"> intervention trial designed to assess if it is feasible to deliver a resistance exercise programme remotely so that volunteers</w:t>
      </w:r>
      <w:r w:rsidR="00CC77C1">
        <w:rPr>
          <w:rFonts w:cstheme="minorHAnsi"/>
          <w:color w:val="000000" w:themeColor="text1"/>
        </w:rPr>
        <w:t xml:space="preserve"> can complete it</w:t>
      </w:r>
      <w:r w:rsidR="004C12CF" w:rsidRPr="00CA4ABC">
        <w:rPr>
          <w:rFonts w:cstheme="minorHAnsi"/>
          <w:color w:val="000000" w:themeColor="text1"/>
        </w:rPr>
        <w:t xml:space="preserve"> in their own homes. A protein supplementation component was also delivered</w:t>
      </w:r>
      <w:r w:rsidR="00A37448" w:rsidRPr="00CA4ABC">
        <w:rPr>
          <w:rFonts w:cstheme="minorHAnsi"/>
          <w:color w:val="000000" w:themeColor="text1"/>
        </w:rPr>
        <w:t xml:space="preserve">, with </w:t>
      </w:r>
      <w:r w:rsidR="004C12CF" w:rsidRPr="00CA4ABC">
        <w:rPr>
          <w:rFonts w:cstheme="minorHAnsi"/>
          <w:color w:val="000000" w:themeColor="text1"/>
        </w:rPr>
        <w:t xml:space="preserve">two dosing strategies </w:t>
      </w:r>
      <w:r w:rsidR="00A37448" w:rsidRPr="00CA4ABC">
        <w:rPr>
          <w:rFonts w:cstheme="minorHAnsi"/>
          <w:color w:val="000000" w:themeColor="text1"/>
        </w:rPr>
        <w:t>being</w:t>
      </w:r>
      <w:r w:rsidR="004C12CF" w:rsidRPr="00CA4ABC">
        <w:rPr>
          <w:rFonts w:cstheme="minorHAnsi"/>
          <w:color w:val="000000" w:themeColor="text1"/>
        </w:rPr>
        <w:t xml:space="preserve"> trialled. The study aimed to assess recruitment, adherence and acceptability of the trial and to further consider the feasibility muscle parameter assessments.</w:t>
      </w:r>
      <w:r w:rsidR="004C12CF" w:rsidRPr="00CA4ABC">
        <w:rPr>
          <w:rFonts w:cstheme="minorHAnsi"/>
          <w:color w:val="000000" w:themeColor="text1"/>
          <w:sz w:val="26"/>
          <w:szCs w:val="26"/>
        </w:rPr>
        <w:t xml:space="preserve"> </w:t>
      </w:r>
      <w:r w:rsidR="004C12CF" w:rsidRPr="00CA4ABC">
        <w:rPr>
          <w:rFonts w:cstheme="minorHAnsi"/>
          <w:color w:val="000000" w:themeColor="text1"/>
        </w:rPr>
        <w:t xml:space="preserve"> </w:t>
      </w:r>
    </w:p>
    <w:p w14:paraId="4CF0A47B" w14:textId="77777777" w:rsidR="004C12CF" w:rsidRPr="00CA4ABC" w:rsidRDefault="004C12CF" w:rsidP="004053D7">
      <w:pPr>
        <w:spacing w:line="360" w:lineRule="auto"/>
        <w:rPr>
          <w:rFonts w:cstheme="minorHAnsi"/>
          <w:color w:val="000000" w:themeColor="text1"/>
        </w:rPr>
      </w:pPr>
    </w:p>
    <w:p w14:paraId="46E2DB06" w14:textId="6283186E" w:rsidR="004C12CF" w:rsidRPr="00CA4ABC" w:rsidRDefault="004C12CF" w:rsidP="004053D7">
      <w:pPr>
        <w:pStyle w:val="Heading3"/>
        <w:spacing w:line="360" w:lineRule="auto"/>
        <w:rPr>
          <w:rFonts w:asciiTheme="minorHAnsi" w:hAnsiTheme="minorHAnsi" w:cstheme="minorHAnsi"/>
          <w:color w:val="000000" w:themeColor="text1"/>
        </w:rPr>
      </w:pPr>
      <w:bookmarkStart w:id="199" w:name="_Toc135384332"/>
      <w:r w:rsidRPr="00CA4ABC">
        <w:rPr>
          <w:rFonts w:asciiTheme="minorHAnsi" w:hAnsiTheme="minorHAnsi" w:cstheme="minorHAnsi"/>
          <w:color w:val="000000" w:themeColor="text1"/>
        </w:rPr>
        <w:t>5.1.3 Primary aim: To assess the acceptability and adherence to a remotely delivered home-based exercise and protein intervention trial in middle-aged adults (aged 40-65 years)</w:t>
      </w:r>
      <w:bookmarkEnd w:id="199"/>
      <w:r w:rsidRPr="00CA4ABC">
        <w:rPr>
          <w:rFonts w:asciiTheme="minorHAnsi" w:hAnsiTheme="minorHAnsi" w:cstheme="minorHAnsi"/>
          <w:color w:val="000000" w:themeColor="text1"/>
        </w:rPr>
        <w:t xml:space="preserve"> </w:t>
      </w:r>
    </w:p>
    <w:p w14:paraId="07F954F1" w14:textId="77777777" w:rsidR="004C12CF" w:rsidRPr="00CA4ABC" w:rsidRDefault="004C12CF" w:rsidP="004053D7">
      <w:pPr>
        <w:spacing w:line="360" w:lineRule="auto"/>
        <w:rPr>
          <w:rFonts w:cstheme="minorHAnsi"/>
          <w:color w:val="000000" w:themeColor="text1"/>
        </w:rPr>
      </w:pPr>
    </w:p>
    <w:p w14:paraId="033C5A47" w14:textId="57D52EDB" w:rsidR="004C12CF" w:rsidRPr="00CA4ABC" w:rsidRDefault="004C12CF" w:rsidP="004053D7">
      <w:pPr>
        <w:pStyle w:val="Heading3"/>
        <w:spacing w:line="360" w:lineRule="auto"/>
        <w:rPr>
          <w:rFonts w:asciiTheme="minorHAnsi" w:hAnsiTheme="minorHAnsi" w:cstheme="minorHAnsi"/>
          <w:color w:val="000000" w:themeColor="text1"/>
        </w:rPr>
      </w:pPr>
      <w:bookmarkStart w:id="200" w:name="_Toc127527467"/>
      <w:bookmarkStart w:id="201" w:name="_Toc135384333"/>
      <w:r w:rsidRPr="00CA4ABC">
        <w:rPr>
          <w:rFonts w:asciiTheme="minorHAnsi" w:hAnsiTheme="minorHAnsi" w:cstheme="minorHAnsi"/>
          <w:color w:val="000000" w:themeColor="text1"/>
        </w:rPr>
        <w:t>5.1.4 Secondary aims: Explore further data collected during the trial, including muscle parameter measurements, dietary intakes, physical activity levels and appetite measures.</w:t>
      </w:r>
      <w:bookmarkEnd w:id="200"/>
      <w:bookmarkEnd w:id="201"/>
      <w:r w:rsidRPr="00CA4ABC">
        <w:rPr>
          <w:rFonts w:asciiTheme="minorHAnsi" w:hAnsiTheme="minorHAnsi" w:cstheme="minorHAnsi"/>
          <w:color w:val="000000" w:themeColor="text1"/>
        </w:rPr>
        <w:t xml:space="preserve"> </w:t>
      </w:r>
    </w:p>
    <w:p w14:paraId="3D5FF62A" w14:textId="77777777" w:rsidR="004C12CF" w:rsidRPr="00CA4ABC" w:rsidRDefault="004C12CF" w:rsidP="004053D7">
      <w:pPr>
        <w:spacing w:line="360" w:lineRule="auto"/>
        <w:rPr>
          <w:rFonts w:cstheme="minorHAnsi"/>
          <w:color w:val="000000" w:themeColor="text1"/>
        </w:rPr>
      </w:pPr>
    </w:p>
    <w:p w14:paraId="25736EB8" w14:textId="7253707F" w:rsidR="004C12CF" w:rsidRPr="00CA4ABC" w:rsidRDefault="004C12CF" w:rsidP="004053D7">
      <w:pPr>
        <w:pStyle w:val="Heading3"/>
        <w:spacing w:line="360" w:lineRule="auto"/>
        <w:rPr>
          <w:rFonts w:asciiTheme="minorHAnsi" w:hAnsiTheme="minorHAnsi" w:cstheme="minorHAnsi"/>
          <w:color w:val="000000" w:themeColor="text1"/>
        </w:rPr>
      </w:pPr>
      <w:bookmarkStart w:id="202" w:name="_Toc135384334"/>
      <w:r w:rsidRPr="00CA4ABC">
        <w:rPr>
          <w:rFonts w:asciiTheme="minorHAnsi" w:hAnsiTheme="minorHAnsi" w:cstheme="minorHAnsi"/>
          <w:color w:val="000000" w:themeColor="text1"/>
        </w:rPr>
        <w:t>5.1.5 Objectives:</w:t>
      </w:r>
      <w:bookmarkEnd w:id="202"/>
    </w:p>
    <w:p w14:paraId="586B61EF" w14:textId="5F1BB9AC" w:rsidR="004C12CF" w:rsidRPr="00CA4ABC" w:rsidRDefault="004C12CF">
      <w:pPr>
        <w:pStyle w:val="ListParagraph"/>
        <w:numPr>
          <w:ilvl w:val="0"/>
          <w:numId w:val="17"/>
        </w:numPr>
        <w:spacing w:line="360" w:lineRule="auto"/>
        <w:rPr>
          <w:rFonts w:cstheme="minorHAnsi"/>
          <w:color w:val="000000" w:themeColor="text1"/>
        </w:rPr>
      </w:pPr>
      <w:r w:rsidRPr="00CA4ABC">
        <w:rPr>
          <w:rFonts w:cstheme="minorHAnsi"/>
          <w:color w:val="000000" w:themeColor="text1"/>
        </w:rPr>
        <w:t>To design a parallel 3-arm remotely delivered protein and exercise intervention trial</w:t>
      </w:r>
      <w:r w:rsidR="00CE7A37" w:rsidRPr="00CA4ABC">
        <w:rPr>
          <w:rFonts w:cstheme="minorHAnsi"/>
          <w:color w:val="000000" w:themeColor="text1"/>
        </w:rPr>
        <w:t>.</w:t>
      </w:r>
      <w:r w:rsidRPr="00CA4ABC">
        <w:rPr>
          <w:rFonts w:cstheme="minorHAnsi"/>
          <w:color w:val="000000" w:themeColor="text1"/>
        </w:rPr>
        <w:t xml:space="preserve"> </w:t>
      </w:r>
    </w:p>
    <w:p w14:paraId="2A98E68A" w14:textId="77777777" w:rsidR="004C12CF" w:rsidRPr="00CA4ABC" w:rsidRDefault="004C12CF">
      <w:pPr>
        <w:pStyle w:val="ListParagraph"/>
        <w:numPr>
          <w:ilvl w:val="0"/>
          <w:numId w:val="17"/>
        </w:numPr>
        <w:spacing w:line="360" w:lineRule="auto"/>
        <w:rPr>
          <w:rFonts w:cstheme="minorHAnsi"/>
          <w:color w:val="000000" w:themeColor="text1"/>
        </w:rPr>
      </w:pPr>
      <w:r w:rsidRPr="00CA4ABC">
        <w:rPr>
          <w:rFonts w:cstheme="minorHAnsi"/>
          <w:color w:val="000000" w:themeColor="text1"/>
        </w:rPr>
        <w:t>To recruit middle-aged adults to the trial within a defined timeframe.</w:t>
      </w:r>
    </w:p>
    <w:p w14:paraId="46D1185F" w14:textId="45AEE06A" w:rsidR="004C12CF" w:rsidRPr="00CA4ABC" w:rsidRDefault="004C12CF">
      <w:pPr>
        <w:pStyle w:val="ListParagraph"/>
        <w:numPr>
          <w:ilvl w:val="0"/>
          <w:numId w:val="17"/>
        </w:numPr>
        <w:spacing w:line="360" w:lineRule="auto"/>
        <w:rPr>
          <w:rFonts w:cstheme="minorHAnsi"/>
          <w:color w:val="000000" w:themeColor="text1"/>
        </w:rPr>
      </w:pPr>
      <w:r w:rsidRPr="00CA4ABC">
        <w:rPr>
          <w:rFonts w:cstheme="minorHAnsi"/>
          <w:color w:val="000000" w:themeColor="text1"/>
        </w:rPr>
        <w:t>To collect data to assess the feasibility of the intervention in terms of recruitment, adherence and acceptability</w:t>
      </w:r>
      <w:r w:rsidR="00CE7A37" w:rsidRPr="00CA4ABC">
        <w:rPr>
          <w:rFonts w:cstheme="minorHAnsi"/>
          <w:color w:val="000000" w:themeColor="text1"/>
        </w:rPr>
        <w:t>.</w:t>
      </w:r>
    </w:p>
    <w:p w14:paraId="5EA0BEFD" w14:textId="5827D44A" w:rsidR="004C12CF" w:rsidRPr="00CA4ABC" w:rsidRDefault="004C12CF">
      <w:pPr>
        <w:pStyle w:val="ListParagraph"/>
        <w:numPr>
          <w:ilvl w:val="0"/>
          <w:numId w:val="17"/>
        </w:numPr>
        <w:spacing w:line="360" w:lineRule="auto"/>
        <w:rPr>
          <w:rFonts w:cstheme="minorHAnsi"/>
          <w:color w:val="000000" w:themeColor="text1"/>
        </w:rPr>
      </w:pPr>
      <w:r w:rsidRPr="00CA4ABC">
        <w:rPr>
          <w:rFonts w:cstheme="minorHAnsi"/>
          <w:color w:val="000000" w:themeColor="text1"/>
        </w:rPr>
        <w:t>To conduct semi-structure</w:t>
      </w:r>
      <w:r w:rsidR="00A4495A" w:rsidRPr="00CA4ABC">
        <w:rPr>
          <w:rFonts w:cstheme="minorHAnsi"/>
          <w:color w:val="000000" w:themeColor="text1"/>
        </w:rPr>
        <w:t>d</w:t>
      </w:r>
      <w:r w:rsidRPr="00CA4ABC">
        <w:rPr>
          <w:rFonts w:cstheme="minorHAnsi"/>
          <w:color w:val="000000" w:themeColor="text1"/>
        </w:rPr>
        <w:t xml:space="preserve"> face</w:t>
      </w:r>
      <w:r w:rsidR="00A37448" w:rsidRPr="00CA4ABC">
        <w:rPr>
          <w:rFonts w:cstheme="minorHAnsi"/>
          <w:color w:val="000000" w:themeColor="text1"/>
        </w:rPr>
        <w:t>-</w:t>
      </w:r>
      <w:r w:rsidRPr="00CA4ABC">
        <w:rPr>
          <w:rFonts w:cstheme="minorHAnsi"/>
          <w:color w:val="000000" w:themeColor="text1"/>
        </w:rPr>
        <w:t>to</w:t>
      </w:r>
      <w:r w:rsidR="00A37448" w:rsidRPr="00CA4ABC">
        <w:rPr>
          <w:rFonts w:cstheme="minorHAnsi"/>
          <w:color w:val="000000" w:themeColor="text1"/>
        </w:rPr>
        <w:t>-</w:t>
      </w:r>
      <w:r w:rsidRPr="00CA4ABC">
        <w:rPr>
          <w:rFonts w:cstheme="minorHAnsi"/>
          <w:color w:val="000000" w:themeColor="text1"/>
        </w:rPr>
        <w:t xml:space="preserve">face interviews </w:t>
      </w:r>
      <w:r w:rsidR="00A4495A" w:rsidRPr="00CA4ABC">
        <w:rPr>
          <w:rFonts w:cstheme="minorHAnsi"/>
          <w:color w:val="000000" w:themeColor="text1"/>
        </w:rPr>
        <w:t>and</w:t>
      </w:r>
      <w:r w:rsidRPr="00CA4ABC">
        <w:rPr>
          <w:rFonts w:cstheme="minorHAnsi"/>
          <w:color w:val="000000" w:themeColor="text1"/>
        </w:rPr>
        <w:t xml:space="preserve"> undertake qualitative analysis to </w:t>
      </w:r>
      <w:r w:rsidR="00A4495A" w:rsidRPr="00CA4ABC">
        <w:rPr>
          <w:rFonts w:cstheme="minorHAnsi"/>
          <w:color w:val="000000" w:themeColor="text1"/>
        </w:rPr>
        <w:t>further understand the</w:t>
      </w:r>
      <w:r w:rsidRPr="00CA4ABC">
        <w:rPr>
          <w:rFonts w:cstheme="minorHAnsi"/>
          <w:color w:val="000000" w:themeColor="text1"/>
        </w:rPr>
        <w:t xml:space="preserve"> feasibility of the trial.</w:t>
      </w:r>
    </w:p>
    <w:p w14:paraId="57CBDEE1" w14:textId="1D0E0C03" w:rsidR="004C12CF" w:rsidRPr="00CA4ABC" w:rsidRDefault="004C12CF">
      <w:pPr>
        <w:pStyle w:val="ListParagraph"/>
        <w:numPr>
          <w:ilvl w:val="0"/>
          <w:numId w:val="17"/>
        </w:numPr>
        <w:spacing w:line="360" w:lineRule="auto"/>
        <w:rPr>
          <w:rFonts w:cstheme="minorHAnsi"/>
          <w:color w:val="000000" w:themeColor="text1"/>
        </w:rPr>
      </w:pPr>
      <w:r w:rsidRPr="00CA4ABC">
        <w:rPr>
          <w:rFonts w:cstheme="minorHAnsi"/>
          <w:color w:val="000000" w:themeColor="text1"/>
        </w:rPr>
        <w:t xml:space="preserve">To </w:t>
      </w:r>
      <w:r w:rsidR="00A37448" w:rsidRPr="00CA4ABC">
        <w:rPr>
          <w:rFonts w:cstheme="minorHAnsi"/>
          <w:color w:val="000000" w:themeColor="text1"/>
        </w:rPr>
        <w:t>assess</w:t>
      </w:r>
      <w:r w:rsidRPr="00CA4ABC">
        <w:rPr>
          <w:rFonts w:cstheme="minorHAnsi"/>
          <w:color w:val="000000" w:themeColor="text1"/>
        </w:rPr>
        <w:t xml:space="preserve"> muscle </w:t>
      </w:r>
      <w:r w:rsidR="00A37448" w:rsidRPr="00CA4ABC">
        <w:rPr>
          <w:rFonts w:cstheme="minorHAnsi"/>
          <w:color w:val="000000" w:themeColor="text1"/>
        </w:rPr>
        <w:t>parameters and take</w:t>
      </w:r>
      <w:r w:rsidRPr="00CA4ABC">
        <w:rPr>
          <w:rFonts w:cstheme="minorHAnsi"/>
          <w:color w:val="000000" w:themeColor="text1"/>
        </w:rPr>
        <w:t xml:space="preserve"> dietary intake, physical activity level and appetite rating measurements before</w:t>
      </w:r>
      <w:r w:rsidR="009B3CE3">
        <w:rPr>
          <w:rFonts w:cstheme="minorHAnsi"/>
          <w:color w:val="000000" w:themeColor="text1"/>
        </w:rPr>
        <w:t>, during</w:t>
      </w:r>
      <w:r w:rsidRPr="00CA4ABC">
        <w:rPr>
          <w:rFonts w:cstheme="minorHAnsi"/>
          <w:color w:val="000000" w:themeColor="text1"/>
        </w:rPr>
        <w:t xml:space="preserve"> and after the intervention</w:t>
      </w:r>
      <w:r w:rsidR="00E778DF" w:rsidRPr="00CA4ABC">
        <w:rPr>
          <w:rFonts w:cstheme="minorHAnsi"/>
          <w:color w:val="000000" w:themeColor="text1"/>
        </w:rPr>
        <w:t>.</w:t>
      </w:r>
    </w:p>
    <w:p w14:paraId="433237F4" w14:textId="5B00B932" w:rsidR="004C12CF" w:rsidRPr="00CA4ABC" w:rsidRDefault="004C12CF" w:rsidP="004053D7">
      <w:pPr>
        <w:pStyle w:val="Heading2"/>
        <w:spacing w:line="360" w:lineRule="auto"/>
        <w:rPr>
          <w:rFonts w:asciiTheme="minorHAnsi" w:eastAsia="Times New Roman" w:hAnsiTheme="minorHAnsi" w:cstheme="minorHAnsi"/>
          <w:color w:val="000000" w:themeColor="text1"/>
          <w:lang w:eastAsia="en-GB"/>
        </w:rPr>
      </w:pPr>
      <w:bookmarkStart w:id="203" w:name="_Toc135384335"/>
      <w:r w:rsidRPr="00CA4ABC">
        <w:rPr>
          <w:rFonts w:asciiTheme="minorHAnsi" w:eastAsia="Times New Roman" w:hAnsiTheme="minorHAnsi" w:cstheme="minorHAnsi"/>
          <w:color w:val="000000" w:themeColor="text1"/>
          <w:lang w:eastAsia="en-GB"/>
        </w:rPr>
        <w:lastRenderedPageBreak/>
        <w:t>5.2 Methods</w:t>
      </w:r>
      <w:bookmarkEnd w:id="203"/>
      <w:r w:rsidRPr="00CA4ABC">
        <w:rPr>
          <w:rFonts w:asciiTheme="minorHAnsi" w:eastAsia="Times New Roman" w:hAnsiTheme="minorHAnsi" w:cstheme="minorHAnsi"/>
          <w:color w:val="000000" w:themeColor="text1"/>
          <w:lang w:eastAsia="en-GB"/>
        </w:rPr>
        <w:t xml:space="preserve"> </w:t>
      </w:r>
    </w:p>
    <w:p w14:paraId="10EBA70D" w14:textId="631609EF" w:rsidR="00E8340C" w:rsidRPr="00CA4ABC" w:rsidRDefault="004C12CF" w:rsidP="00E8340C">
      <w:pPr>
        <w:pStyle w:val="Heading3"/>
        <w:spacing w:line="360" w:lineRule="auto"/>
        <w:rPr>
          <w:rFonts w:asciiTheme="minorHAnsi" w:eastAsia="Times New Roman" w:hAnsiTheme="minorHAnsi" w:cstheme="minorHAnsi"/>
          <w:color w:val="000000" w:themeColor="text1"/>
        </w:rPr>
      </w:pPr>
      <w:bookmarkStart w:id="204" w:name="_Toc135384336"/>
      <w:r w:rsidRPr="00CA4ABC">
        <w:rPr>
          <w:rFonts w:asciiTheme="minorHAnsi" w:eastAsia="Times New Roman" w:hAnsiTheme="minorHAnsi" w:cstheme="minorHAnsi"/>
          <w:color w:val="000000" w:themeColor="text1"/>
        </w:rPr>
        <w:t>5.2.1 Ethics and Consent</w:t>
      </w:r>
      <w:bookmarkEnd w:id="204"/>
      <w:r w:rsidRPr="00CA4ABC">
        <w:rPr>
          <w:rFonts w:asciiTheme="minorHAnsi" w:eastAsia="Times New Roman" w:hAnsiTheme="minorHAnsi" w:cstheme="minorHAnsi"/>
          <w:color w:val="000000" w:themeColor="text1"/>
        </w:rPr>
        <w:t xml:space="preserve"> </w:t>
      </w:r>
    </w:p>
    <w:p w14:paraId="310D82A8" w14:textId="7D5F03F6" w:rsidR="004C12CF" w:rsidRPr="00CA4ABC" w:rsidRDefault="004C12CF" w:rsidP="00391367">
      <w:pPr>
        <w:pStyle w:val="Heading3"/>
        <w:spacing w:line="360" w:lineRule="auto"/>
        <w:ind w:firstLine="720"/>
        <w:rPr>
          <w:rFonts w:asciiTheme="minorHAnsi" w:eastAsia="Times New Roman" w:hAnsiTheme="minorHAnsi" w:cstheme="minorHAnsi"/>
          <w:color w:val="000000" w:themeColor="text1"/>
        </w:rPr>
      </w:pPr>
      <w:bookmarkStart w:id="205" w:name="_Toc125879932"/>
      <w:bookmarkStart w:id="206" w:name="_Toc127044438"/>
      <w:bookmarkStart w:id="207" w:name="_Toc127527471"/>
      <w:bookmarkStart w:id="208" w:name="_Toc127967627"/>
      <w:bookmarkStart w:id="209" w:name="_Toc135384337"/>
      <w:r w:rsidRPr="00CA4ABC">
        <w:rPr>
          <w:rFonts w:asciiTheme="minorHAnsi" w:eastAsia="Times New Roman" w:hAnsiTheme="minorHAnsi" w:cstheme="minorHAnsi"/>
          <w:color w:val="000000" w:themeColor="text1"/>
        </w:rPr>
        <w:t>Ethic</w:t>
      </w:r>
      <w:r w:rsidR="00EF53FB" w:rsidRPr="00CA4ABC">
        <w:rPr>
          <w:rFonts w:asciiTheme="minorHAnsi" w:eastAsia="Times New Roman" w:hAnsiTheme="minorHAnsi" w:cstheme="minorHAnsi"/>
          <w:color w:val="000000" w:themeColor="text1"/>
        </w:rPr>
        <w:t xml:space="preserve">al approval was granted by the Medical School, </w:t>
      </w:r>
      <w:r w:rsidRPr="00CA4ABC">
        <w:rPr>
          <w:rFonts w:asciiTheme="minorHAnsi" w:eastAsia="Times New Roman" w:hAnsiTheme="minorHAnsi" w:cstheme="minorHAnsi"/>
          <w:color w:val="000000" w:themeColor="text1"/>
        </w:rPr>
        <w:t>University of Sheffield ethics committee (</w:t>
      </w:r>
      <w:r w:rsidR="00EF53FB" w:rsidRPr="00CA4ABC">
        <w:rPr>
          <w:rFonts w:asciiTheme="minorHAnsi" w:eastAsia="Times New Roman" w:hAnsiTheme="minorHAnsi" w:cstheme="minorHAnsi"/>
          <w:color w:val="000000" w:themeColor="text1"/>
        </w:rPr>
        <w:t>application</w:t>
      </w:r>
      <w:r w:rsidRPr="00CA4ABC">
        <w:rPr>
          <w:rFonts w:asciiTheme="minorHAnsi" w:eastAsia="Times New Roman" w:hAnsiTheme="minorHAnsi" w:cstheme="minorHAnsi"/>
          <w:color w:val="000000" w:themeColor="text1"/>
        </w:rPr>
        <w:t xml:space="preserve"> number: 037031) (appendix 8.) A risk assessment (appendix 9) was also approved by the University of Sheffield, Oncology and Metabolism department. This included COVID-19 safety measures, to reflect the most up</w:t>
      </w:r>
      <w:r w:rsidR="002D58C8"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to</w:t>
      </w:r>
      <w:r w:rsidR="002D58C8"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date restrictions. Participant information sheets (appendix 10) were sent to all interested volunteers so they could ensure they met eligibility criteria (</w:t>
      </w:r>
      <w:r w:rsidRPr="00CA4ABC">
        <w:rPr>
          <w:rFonts w:asciiTheme="minorHAnsi" w:eastAsia="Times New Roman" w:hAnsiTheme="minorHAnsi" w:cstheme="minorHAnsi"/>
          <w:color w:val="000000" w:themeColor="text1"/>
        </w:rPr>
        <w:fldChar w:fldCharType="begin"/>
      </w:r>
      <w:r w:rsidRPr="00CA4ABC">
        <w:rPr>
          <w:rFonts w:asciiTheme="minorHAnsi" w:eastAsia="Times New Roman" w:hAnsiTheme="minorHAnsi" w:cstheme="minorHAnsi"/>
          <w:color w:val="000000" w:themeColor="text1"/>
        </w:rPr>
        <w:instrText xml:space="preserve"> REF _Ref122443771 \h  \* MERGEFORMAT </w:instrText>
      </w:r>
      <w:r w:rsidRPr="00CA4ABC">
        <w:rPr>
          <w:rFonts w:asciiTheme="minorHAnsi" w:eastAsia="Times New Roman" w:hAnsiTheme="minorHAnsi" w:cstheme="minorHAnsi"/>
          <w:color w:val="000000" w:themeColor="text1"/>
        </w:rPr>
      </w:r>
      <w:r w:rsidRPr="00CA4ABC">
        <w:rPr>
          <w:rFonts w:asciiTheme="minorHAnsi" w:eastAsia="Times New Roman" w:hAnsiTheme="minorHAnsi" w:cstheme="minorHAnsi"/>
          <w:color w:val="000000" w:themeColor="text1"/>
        </w:rPr>
        <w:fldChar w:fldCharType="separate"/>
      </w:r>
      <w:r w:rsidR="005D4657" w:rsidRPr="00CA4ABC">
        <w:rPr>
          <w:rFonts w:asciiTheme="minorHAnsi" w:hAnsiTheme="minorHAnsi" w:cstheme="minorHAnsi"/>
          <w:color w:val="000000" w:themeColor="text1"/>
        </w:rPr>
        <w:t xml:space="preserve">Table </w:t>
      </w:r>
      <w:r w:rsidR="005D4657" w:rsidRPr="00CA4ABC">
        <w:rPr>
          <w:rFonts w:asciiTheme="minorHAnsi" w:hAnsiTheme="minorHAnsi" w:cstheme="minorHAnsi"/>
          <w:noProof/>
          <w:color w:val="000000" w:themeColor="text1"/>
        </w:rPr>
        <w:t>16</w:t>
      </w:r>
      <w:r w:rsidRPr="00CA4ABC">
        <w:rPr>
          <w:rFonts w:asciiTheme="minorHAnsi" w:eastAsia="Times New Roman" w:hAnsiTheme="minorHAnsi" w:cstheme="minorHAnsi"/>
          <w:color w:val="000000" w:themeColor="text1"/>
        </w:rPr>
        <w:fldChar w:fldCharType="end"/>
      </w:r>
      <w:r w:rsidRPr="00CA4ABC">
        <w:rPr>
          <w:rFonts w:asciiTheme="minorHAnsi" w:eastAsia="Times New Roman" w:hAnsiTheme="minorHAnsi" w:cstheme="minorHAnsi"/>
          <w:color w:val="000000" w:themeColor="text1"/>
        </w:rPr>
        <w:t>) and were satisfied with the study requirements. If happy to proceed, face</w:t>
      </w:r>
      <w:r w:rsidR="002D58C8"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to</w:t>
      </w:r>
      <w:r w:rsidR="002D58C8"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face contact between the researcher and the participant was made and written informed consent to engage in the trial was obtained (appendix 11.)</w:t>
      </w:r>
      <w:bookmarkEnd w:id="205"/>
      <w:bookmarkEnd w:id="206"/>
      <w:bookmarkEnd w:id="207"/>
      <w:bookmarkEnd w:id="208"/>
      <w:bookmarkEnd w:id="209"/>
    </w:p>
    <w:tbl>
      <w:tblPr>
        <w:tblStyle w:val="TableGrid"/>
        <w:tblpPr w:leftFromText="180" w:rightFromText="180" w:vertAnchor="text" w:horzAnchor="margin" w:tblpX="-445" w:tblpY="382"/>
        <w:tblW w:w="10060" w:type="dxa"/>
        <w:tblLook w:val="04A0" w:firstRow="1" w:lastRow="0" w:firstColumn="1" w:lastColumn="0" w:noHBand="0" w:noVBand="1"/>
      </w:tblPr>
      <w:tblGrid>
        <w:gridCol w:w="3406"/>
        <w:gridCol w:w="6654"/>
      </w:tblGrid>
      <w:tr w:rsidR="002A567C" w:rsidRPr="00CA4ABC" w14:paraId="61F3B619" w14:textId="77777777" w:rsidTr="002A567C">
        <w:tc>
          <w:tcPr>
            <w:tcW w:w="3406" w:type="dxa"/>
          </w:tcPr>
          <w:p w14:paraId="63045CDB" w14:textId="77777777" w:rsidR="00D92CE4" w:rsidRPr="00CA4ABC" w:rsidRDefault="00D92CE4" w:rsidP="002A567C">
            <w:pPr>
              <w:spacing w:before="100" w:beforeAutospacing="1" w:after="100" w:afterAutospacing="1"/>
              <w:jc w:val="center"/>
              <w:rPr>
                <w:rFonts w:eastAsia="Times New Roman" w:cstheme="minorHAnsi"/>
                <w:b/>
                <w:bCs/>
                <w:color w:val="000000" w:themeColor="text1"/>
                <w:sz w:val="20"/>
                <w:szCs w:val="20"/>
                <w:lang w:eastAsia="en-GB"/>
              </w:rPr>
            </w:pPr>
            <w:r w:rsidRPr="00CA4ABC">
              <w:rPr>
                <w:rFonts w:eastAsia="Times New Roman" w:cstheme="minorHAnsi"/>
                <w:b/>
                <w:bCs/>
                <w:color w:val="000000" w:themeColor="text1"/>
                <w:sz w:val="20"/>
                <w:szCs w:val="20"/>
                <w:lang w:eastAsia="en-GB"/>
              </w:rPr>
              <w:t>Inclusion criteria</w:t>
            </w:r>
          </w:p>
        </w:tc>
        <w:tc>
          <w:tcPr>
            <w:tcW w:w="6654" w:type="dxa"/>
          </w:tcPr>
          <w:p w14:paraId="396B3C43" w14:textId="77777777" w:rsidR="00D92CE4" w:rsidRPr="00CA4ABC" w:rsidRDefault="00D92CE4" w:rsidP="002A567C">
            <w:pPr>
              <w:spacing w:before="100" w:beforeAutospacing="1" w:after="100" w:afterAutospacing="1"/>
              <w:jc w:val="center"/>
              <w:rPr>
                <w:rFonts w:eastAsia="Times New Roman" w:cstheme="minorHAnsi"/>
                <w:b/>
                <w:bCs/>
                <w:color w:val="000000" w:themeColor="text1"/>
                <w:sz w:val="20"/>
                <w:szCs w:val="20"/>
                <w:lang w:eastAsia="en-GB"/>
              </w:rPr>
            </w:pPr>
            <w:r w:rsidRPr="00CA4ABC">
              <w:rPr>
                <w:rFonts w:eastAsia="Times New Roman" w:cstheme="minorHAnsi"/>
                <w:b/>
                <w:bCs/>
                <w:color w:val="000000" w:themeColor="text1"/>
                <w:sz w:val="20"/>
                <w:szCs w:val="20"/>
                <w:lang w:eastAsia="en-GB"/>
              </w:rPr>
              <w:t>Exclusion criteria</w:t>
            </w:r>
          </w:p>
        </w:tc>
      </w:tr>
      <w:tr w:rsidR="002A567C" w:rsidRPr="00CA4ABC" w14:paraId="040A5C85" w14:textId="77777777" w:rsidTr="002A567C">
        <w:trPr>
          <w:trHeight w:val="308"/>
        </w:trPr>
        <w:tc>
          <w:tcPr>
            <w:tcW w:w="3406" w:type="dxa"/>
          </w:tcPr>
          <w:p w14:paraId="5D9DBC2A"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Community-dwelling men and women</w:t>
            </w:r>
          </w:p>
        </w:tc>
        <w:tc>
          <w:tcPr>
            <w:tcW w:w="6654" w:type="dxa"/>
          </w:tcPr>
          <w:p w14:paraId="0748845B"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Possibility of pregnancy</w:t>
            </w:r>
          </w:p>
        </w:tc>
      </w:tr>
      <w:tr w:rsidR="002A567C" w:rsidRPr="00CA4ABC" w14:paraId="6711E8F0" w14:textId="77777777" w:rsidTr="002A567C">
        <w:tc>
          <w:tcPr>
            <w:tcW w:w="3406" w:type="dxa"/>
          </w:tcPr>
          <w:p w14:paraId="1C8C1C68"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40-65 years-old</w:t>
            </w:r>
          </w:p>
        </w:tc>
        <w:tc>
          <w:tcPr>
            <w:tcW w:w="6654" w:type="dxa"/>
          </w:tcPr>
          <w:p w14:paraId="462A7D33"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Having a pacemaker</w:t>
            </w:r>
          </w:p>
        </w:tc>
      </w:tr>
      <w:tr w:rsidR="002A567C" w:rsidRPr="00CA4ABC" w14:paraId="3604C4B2" w14:textId="77777777" w:rsidTr="002A567C">
        <w:tc>
          <w:tcPr>
            <w:tcW w:w="3406" w:type="dxa"/>
          </w:tcPr>
          <w:p w14:paraId="3522301B"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Access to a tablet/computer and internet</w:t>
            </w:r>
          </w:p>
        </w:tc>
        <w:tc>
          <w:tcPr>
            <w:tcW w:w="6654" w:type="dxa"/>
          </w:tcPr>
          <w:p w14:paraId="7B9C4B61"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Experienced significant weight loss of &gt;5% of their body weight in the past 6 months</w:t>
            </w:r>
          </w:p>
        </w:tc>
      </w:tr>
      <w:tr w:rsidR="002A567C" w:rsidRPr="00CA4ABC" w14:paraId="6B5F2D8F" w14:textId="77777777" w:rsidTr="002A567C">
        <w:trPr>
          <w:trHeight w:val="384"/>
        </w:trPr>
        <w:tc>
          <w:tcPr>
            <w:tcW w:w="3406" w:type="dxa"/>
          </w:tcPr>
          <w:p w14:paraId="6FFAAF43"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Body Mass Index (BMI) between 18-30kg/m</w:t>
            </w:r>
            <w:r w:rsidRPr="00CA4ABC">
              <w:rPr>
                <w:rFonts w:cstheme="minorHAnsi"/>
                <w:color w:val="000000" w:themeColor="text1"/>
                <w:sz w:val="20"/>
                <w:szCs w:val="20"/>
                <w:vertAlign w:val="superscript"/>
              </w:rPr>
              <w:t>2</w:t>
            </w:r>
          </w:p>
        </w:tc>
        <w:tc>
          <w:tcPr>
            <w:tcW w:w="6654" w:type="dxa"/>
          </w:tcPr>
          <w:p w14:paraId="7F228BEE"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Suffered from COVID-19 infection within the past 2 months</w:t>
            </w:r>
          </w:p>
        </w:tc>
      </w:tr>
      <w:tr w:rsidR="002A567C" w:rsidRPr="00CA4ABC" w14:paraId="307D703A" w14:textId="77777777" w:rsidTr="002A567C">
        <w:tc>
          <w:tcPr>
            <w:tcW w:w="3406" w:type="dxa"/>
            <w:vMerge w:val="restart"/>
          </w:tcPr>
          <w:p w14:paraId="3D63A9C8"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Two COVID-19 vaccinations</w:t>
            </w:r>
          </w:p>
        </w:tc>
        <w:tc>
          <w:tcPr>
            <w:tcW w:w="6654" w:type="dxa"/>
          </w:tcPr>
          <w:p w14:paraId="3375279D" w14:textId="70B91A31"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Having any form of cardiovascular</w:t>
            </w:r>
            <w:r w:rsidR="00A4495A" w:rsidRPr="00CA4ABC">
              <w:rPr>
                <w:rFonts w:cstheme="minorHAnsi"/>
                <w:color w:val="000000" w:themeColor="text1"/>
                <w:sz w:val="20"/>
                <w:szCs w:val="20"/>
              </w:rPr>
              <w:t xml:space="preserve"> disease</w:t>
            </w:r>
          </w:p>
        </w:tc>
      </w:tr>
      <w:tr w:rsidR="002A567C" w:rsidRPr="00CA4ABC" w14:paraId="66885C27" w14:textId="77777777" w:rsidTr="002A567C">
        <w:tc>
          <w:tcPr>
            <w:tcW w:w="3406" w:type="dxa"/>
            <w:vMerge/>
          </w:tcPr>
          <w:p w14:paraId="574731C4"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p>
        </w:tc>
        <w:tc>
          <w:tcPr>
            <w:tcW w:w="6654" w:type="dxa"/>
          </w:tcPr>
          <w:p w14:paraId="614D1E18"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Having respiratory, metabolic (i.e. diabetes) or kidney issues</w:t>
            </w:r>
          </w:p>
        </w:tc>
      </w:tr>
      <w:tr w:rsidR="002A567C" w:rsidRPr="00CA4ABC" w14:paraId="2C32B821" w14:textId="77777777" w:rsidTr="002A567C">
        <w:tc>
          <w:tcPr>
            <w:tcW w:w="3406" w:type="dxa"/>
            <w:vMerge/>
          </w:tcPr>
          <w:p w14:paraId="1844316B"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p>
        </w:tc>
        <w:tc>
          <w:tcPr>
            <w:tcW w:w="6654" w:type="dxa"/>
          </w:tcPr>
          <w:p w14:paraId="0B2882E8"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eastAsia="Times New Roman" w:cstheme="minorHAnsi"/>
                <w:color w:val="000000" w:themeColor="text1"/>
                <w:sz w:val="20"/>
                <w:szCs w:val="20"/>
                <w:lang w:eastAsia="en-GB"/>
              </w:rPr>
              <w:t>Being on</w:t>
            </w:r>
            <w:r w:rsidRPr="00CA4ABC">
              <w:rPr>
                <w:rFonts w:cstheme="minorHAnsi"/>
                <w:color w:val="000000" w:themeColor="text1"/>
                <w:sz w:val="20"/>
                <w:szCs w:val="20"/>
              </w:rPr>
              <w:t xml:space="preserve"> anti-clotting medication</w:t>
            </w:r>
          </w:p>
        </w:tc>
      </w:tr>
      <w:tr w:rsidR="002A567C" w:rsidRPr="00CA4ABC" w14:paraId="0146E5A1" w14:textId="77777777" w:rsidTr="002A567C">
        <w:tc>
          <w:tcPr>
            <w:tcW w:w="3406" w:type="dxa"/>
            <w:vMerge/>
          </w:tcPr>
          <w:p w14:paraId="30CE8628"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p>
        </w:tc>
        <w:tc>
          <w:tcPr>
            <w:tcW w:w="6654" w:type="dxa"/>
          </w:tcPr>
          <w:p w14:paraId="7DFD80E6"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r w:rsidRPr="00CA4ABC">
              <w:rPr>
                <w:rFonts w:cstheme="minorHAnsi"/>
                <w:color w:val="000000" w:themeColor="text1"/>
                <w:sz w:val="20"/>
                <w:szCs w:val="20"/>
              </w:rPr>
              <w:t>Vegan/vegetarian</w:t>
            </w:r>
          </w:p>
        </w:tc>
      </w:tr>
      <w:tr w:rsidR="002A567C" w:rsidRPr="00CA4ABC" w14:paraId="6B2846B6" w14:textId="77777777" w:rsidTr="002A567C">
        <w:tc>
          <w:tcPr>
            <w:tcW w:w="3406" w:type="dxa"/>
            <w:vMerge/>
          </w:tcPr>
          <w:p w14:paraId="17E3FE86" w14:textId="77777777" w:rsidR="00D92CE4" w:rsidRPr="00CA4ABC" w:rsidRDefault="00D92CE4" w:rsidP="002A567C">
            <w:pPr>
              <w:spacing w:before="100" w:beforeAutospacing="1" w:after="100" w:afterAutospacing="1"/>
              <w:rPr>
                <w:rFonts w:eastAsia="Times New Roman" w:cstheme="minorHAnsi"/>
                <w:color w:val="000000" w:themeColor="text1"/>
                <w:sz w:val="20"/>
                <w:szCs w:val="20"/>
                <w:lang w:eastAsia="en-GB"/>
              </w:rPr>
            </w:pPr>
          </w:p>
        </w:tc>
        <w:tc>
          <w:tcPr>
            <w:tcW w:w="6654" w:type="dxa"/>
          </w:tcPr>
          <w:p w14:paraId="20A81487" w14:textId="77777777" w:rsidR="00D92CE4" w:rsidRPr="00CA4ABC" w:rsidRDefault="00D92CE4" w:rsidP="002A567C">
            <w:pPr>
              <w:spacing w:before="100" w:beforeAutospacing="1" w:after="100" w:afterAutospacing="1"/>
              <w:rPr>
                <w:rFonts w:cstheme="minorHAnsi"/>
                <w:color w:val="000000" w:themeColor="text1"/>
                <w:sz w:val="20"/>
                <w:szCs w:val="20"/>
              </w:rPr>
            </w:pPr>
            <w:r w:rsidRPr="00CA4ABC">
              <w:rPr>
                <w:rFonts w:cstheme="minorHAnsi"/>
                <w:color w:val="000000" w:themeColor="text1"/>
                <w:sz w:val="20"/>
                <w:szCs w:val="20"/>
              </w:rPr>
              <w:t>A current or history of disordered eating</w:t>
            </w:r>
          </w:p>
        </w:tc>
      </w:tr>
    </w:tbl>
    <w:p w14:paraId="6E5A2F1C" w14:textId="7AAD5BB3"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Eligibility criteria: </w:t>
      </w:r>
    </w:p>
    <w:p w14:paraId="67A3CD79" w14:textId="4B0F0C06" w:rsidR="002A567C" w:rsidRPr="00532B46" w:rsidRDefault="002A567C" w:rsidP="00C95D04">
      <w:pPr>
        <w:pStyle w:val="Caption"/>
        <w:keepNext/>
        <w:spacing w:line="360" w:lineRule="auto"/>
        <w:rPr>
          <w:rFonts w:cstheme="minorHAnsi"/>
          <w:i w:val="0"/>
          <w:iCs w:val="0"/>
          <w:color w:val="000000" w:themeColor="text1"/>
          <w:sz w:val="24"/>
          <w:szCs w:val="24"/>
        </w:rPr>
      </w:pPr>
      <w:bookmarkStart w:id="210" w:name="_Ref122443771"/>
      <w:bookmarkStart w:id="211" w:name="_Toc122956581"/>
      <w:r w:rsidRPr="00532B46">
        <w:rPr>
          <w:rFonts w:cstheme="minorHAnsi"/>
          <w:i w:val="0"/>
          <w:iCs w:val="0"/>
          <w:color w:val="000000" w:themeColor="text1"/>
          <w:sz w:val="24"/>
          <w:szCs w:val="24"/>
        </w:rPr>
        <w:t xml:space="preserve">Table </w:t>
      </w:r>
      <w:r w:rsidRPr="00532B46">
        <w:rPr>
          <w:rFonts w:cstheme="minorHAnsi"/>
          <w:i w:val="0"/>
          <w:iCs w:val="0"/>
          <w:color w:val="000000" w:themeColor="text1"/>
          <w:sz w:val="24"/>
          <w:szCs w:val="24"/>
        </w:rPr>
        <w:fldChar w:fldCharType="begin"/>
      </w:r>
      <w:r w:rsidRPr="00532B46">
        <w:rPr>
          <w:rFonts w:cstheme="minorHAnsi"/>
          <w:i w:val="0"/>
          <w:iCs w:val="0"/>
          <w:color w:val="000000" w:themeColor="text1"/>
          <w:sz w:val="24"/>
          <w:szCs w:val="24"/>
        </w:rPr>
        <w:instrText xml:space="preserve"> SEQ Table \* ARABIC </w:instrText>
      </w:r>
      <w:r w:rsidRPr="00532B46">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17</w:t>
      </w:r>
      <w:r w:rsidRPr="00532B46">
        <w:rPr>
          <w:rFonts w:cstheme="minorHAnsi"/>
          <w:i w:val="0"/>
          <w:iCs w:val="0"/>
          <w:color w:val="000000" w:themeColor="text1"/>
          <w:sz w:val="24"/>
          <w:szCs w:val="24"/>
        </w:rPr>
        <w:fldChar w:fldCharType="end"/>
      </w:r>
      <w:bookmarkEnd w:id="210"/>
      <w:r w:rsidR="003E7EFD" w:rsidRPr="00532B46">
        <w:rPr>
          <w:rFonts w:cstheme="minorHAnsi"/>
          <w:i w:val="0"/>
          <w:iCs w:val="0"/>
          <w:color w:val="000000" w:themeColor="text1"/>
          <w:sz w:val="24"/>
          <w:szCs w:val="24"/>
        </w:rPr>
        <w:t>. I</w:t>
      </w:r>
      <w:r w:rsidRPr="00532B46">
        <w:rPr>
          <w:rFonts w:eastAsia="Times New Roman" w:cstheme="minorHAnsi"/>
          <w:i w:val="0"/>
          <w:iCs w:val="0"/>
          <w:color w:val="000000" w:themeColor="text1"/>
          <w:sz w:val="24"/>
          <w:szCs w:val="24"/>
          <w:lang w:eastAsia="en-GB"/>
        </w:rPr>
        <w:t>nclusion and exclusion criteria for participants enrolled in the feasibility trial.</w:t>
      </w:r>
      <w:bookmarkEnd w:id="211"/>
    </w:p>
    <w:p w14:paraId="4C797C45" w14:textId="5AB1CA50" w:rsidR="00E8340C" w:rsidRPr="00CA4ABC" w:rsidRDefault="00E8340C" w:rsidP="00E8340C">
      <w:pPr>
        <w:pStyle w:val="Heading3"/>
        <w:spacing w:line="360" w:lineRule="auto"/>
        <w:rPr>
          <w:rFonts w:asciiTheme="minorHAnsi" w:eastAsia="Times New Roman" w:hAnsiTheme="minorHAnsi" w:cstheme="minorHAnsi"/>
          <w:color w:val="000000" w:themeColor="text1"/>
        </w:rPr>
      </w:pPr>
      <w:bookmarkStart w:id="212" w:name="_Toc135384338"/>
      <w:r w:rsidRPr="00CA4ABC">
        <w:rPr>
          <w:rFonts w:asciiTheme="minorHAnsi" w:eastAsia="Times New Roman" w:hAnsiTheme="minorHAnsi" w:cstheme="minorHAnsi"/>
          <w:color w:val="000000" w:themeColor="text1"/>
        </w:rPr>
        <w:t xml:space="preserve">5.2.2 </w:t>
      </w:r>
      <w:r w:rsidR="004C12CF" w:rsidRPr="00CA4ABC">
        <w:rPr>
          <w:rFonts w:asciiTheme="minorHAnsi" w:eastAsia="Times New Roman" w:hAnsiTheme="minorHAnsi" w:cstheme="minorHAnsi"/>
          <w:color w:val="000000" w:themeColor="text1"/>
        </w:rPr>
        <w:t>Study recruitment</w:t>
      </w:r>
      <w:bookmarkEnd w:id="212"/>
    </w:p>
    <w:p w14:paraId="04ED979B" w14:textId="5F384848" w:rsidR="004C12CF" w:rsidRPr="00CA4ABC" w:rsidRDefault="00BB5E6B" w:rsidP="00E8340C">
      <w:pPr>
        <w:pStyle w:val="Heading3"/>
        <w:spacing w:line="360" w:lineRule="auto"/>
        <w:ind w:firstLine="360"/>
        <w:rPr>
          <w:rFonts w:asciiTheme="minorHAnsi" w:eastAsia="Times New Roman" w:hAnsiTheme="minorHAnsi" w:cstheme="minorHAnsi"/>
          <w:color w:val="000000" w:themeColor="text1"/>
        </w:rPr>
      </w:pPr>
      <w:bookmarkStart w:id="213" w:name="_Toc125879934"/>
      <w:bookmarkStart w:id="214" w:name="_Toc127044440"/>
      <w:bookmarkStart w:id="215" w:name="_Toc127527473"/>
      <w:bookmarkStart w:id="216" w:name="_Toc127967629"/>
      <w:bookmarkStart w:id="217" w:name="_Toc135384339"/>
      <w:r>
        <w:rPr>
          <w:rFonts w:asciiTheme="minorHAnsi" w:eastAsia="Times New Roman" w:hAnsiTheme="minorHAnsi" w:cstheme="minorHAnsi"/>
          <w:color w:val="000000" w:themeColor="text1"/>
        </w:rPr>
        <w:t xml:space="preserve">Recruitment targets were based on hosting a complete class size and being manageable dependent on the resources of the study (n=12). </w:t>
      </w:r>
      <w:r w:rsidR="004C12CF" w:rsidRPr="00CA4ABC">
        <w:rPr>
          <w:rFonts w:asciiTheme="minorHAnsi" w:eastAsia="Times New Roman" w:hAnsiTheme="minorHAnsi" w:cstheme="minorHAnsi"/>
          <w:color w:val="000000" w:themeColor="text1"/>
        </w:rPr>
        <w:t>Participants were recruited to the study via social media (Facebook) boosted advertising</w:t>
      </w:r>
      <w:r w:rsidR="00CE7A37" w:rsidRPr="00CA4ABC">
        <w:rPr>
          <w:rFonts w:asciiTheme="minorHAnsi" w:eastAsia="Times New Roman" w:hAnsiTheme="minorHAnsi" w:cstheme="minorHAnsi"/>
          <w:color w:val="000000" w:themeColor="text1"/>
        </w:rPr>
        <w:t>. This was</w:t>
      </w:r>
      <w:r w:rsidR="002D58C8" w:rsidRPr="00CA4ABC">
        <w:rPr>
          <w:rFonts w:asciiTheme="minorHAnsi" w:eastAsia="Times New Roman" w:hAnsiTheme="minorHAnsi" w:cstheme="minorHAnsi"/>
          <w:color w:val="000000" w:themeColor="text1"/>
        </w:rPr>
        <w:t xml:space="preserve"> </w:t>
      </w:r>
      <w:r w:rsidR="004C12CF" w:rsidRPr="00CA4ABC">
        <w:rPr>
          <w:rFonts w:asciiTheme="minorHAnsi" w:eastAsia="Times New Roman" w:hAnsiTheme="minorHAnsi" w:cstheme="minorHAnsi"/>
          <w:color w:val="000000" w:themeColor="text1"/>
        </w:rPr>
        <w:t xml:space="preserve">linked to </w:t>
      </w:r>
      <w:r w:rsidR="00C95D04" w:rsidRPr="00CA4ABC">
        <w:rPr>
          <w:rFonts w:asciiTheme="minorHAnsi" w:eastAsia="Times New Roman" w:hAnsiTheme="minorHAnsi" w:cstheme="minorHAnsi"/>
          <w:color w:val="000000" w:themeColor="text1"/>
        </w:rPr>
        <w:t xml:space="preserve">a </w:t>
      </w:r>
      <w:r w:rsidR="004C12CF" w:rsidRPr="00CA4ABC">
        <w:rPr>
          <w:rFonts w:asciiTheme="minorHAnsi" w:eastAsia="Times New Roman" w:hAnsiTheme="minorHAnsi" w:cstheme="minorHAnsi"/>
          <w:color w:val="000000" w:themeColor="text1"/>
        </w:rPr>
        <w:t xml:space="preserve">dedicated research group webpage and an electronic poster (appendix 12.) </w:t>
      </w:r>
      <w:r w:rsidR="003F19C2" w:rsidRPr="00CA4ABC">
        <w:rPr>
          <w:rFonts w:asciiTheme="minorHAnsi" w:eastAsia="Times New Roman" w:hAnsiTheme="minorHAnsi" w:cstheme="minorHAnsi"/>
          <w:color w:val="000000" w:themeColor="text1"/>
        </w:rPr>
        <w:t>The advert</w:t>
      </w:r>
      <w:r w:rsidR="004C12CF" w:rsidRPr="00CA4ABC">
        <w:rPr>
          <w:rFonts w:asciiTheme="minorHAnsi" w:eastAsia="Times New Roman" w:hAnsiTheme="minorHAnsi" w:cstheme="minorHAnsi"/>
          <w:color w:val="000000" w:themeColor="text1"/>
        </w:rPr>
        <w:t xml:space="preserve"> target</w:t>
      </w:r>
      <w:r w:rsidR="003F19C2" w:rsidRPr="00CA4ABC">
        <w:rPr>
          <w:rFonts w:asciiTheme="minorHAnsi" w:eastAsia="Times New Roman" w:hAnsiTheme="minorHAnsi" w:cstheme="minorHAnsi"/>
          <w:color w:val="000000" w:themeColor="text1"/>
        </w:rPr>
        <w:t>ed</w:t>
      </w:r>
      <w:r w:rsidR="004C12CF" w:rsidRPr="00CA4ABC">
        <w:rPr>
          <w:rFonts w:asciiTheme="minorHAnsi" w:eastAsia="Times New Roman" w:hAnsiTheme="minorHAnsi" w:cstheme="minorHAnsi"/>
          <w:color w:val="000000" w:themeColor="text1"/>
        </w:rPr>
        <w:t xml:space="preserve"> 40-</w:t>
      </w:r>
      <w:r w:rsidR="00AB5EC2" w:rsidRPr="00CA4ABC">
        <w:rPr>
          <w:rFonts w:asciiTheme="minorHAnsi" w:eastAsia="Times New Roman" w:hAnsiTheme="minorHAnsi" w:cstheme="minorHAnsi"/>
          <w:color w:val="000000" w:themeColor="text1"/>
        </w:rPr>
        <w:t>65-year-olds</w:t>
      </w:r>
      <w:r w:rsidR="004C12CF" w:rsidRPr="00CA4ABC">
        <w:rPr>
          <w:rFonts w:asciiTheme="minorHAnsi" w:eastAsia="Times New Roman" w:hAnsiTheme="minorHAnsi" w:cstheme="minorHAnsi"/>
          <w:color w:val="000000" w:themeColor="text1"/>
        </w:rPr>
        <w:t xml:space="preserve"> in Sheffield +45km, England</w:t>
      </w:r>
      <w:r w:rsidR="003F19C2" w:rsidRPr="00CA4ABC">
        <w:rPr>
          <w:rFonts w:asciiTheme="minorHAnsi" w:eastAsia="Times New Roman" w:hAnsiTheme="minorHAnsi" w:cstheme="minorHAnsi"/>
          <w:color w:val="000000" w:themeColor="text1"/>
        </w:rPr>
        <w:t xml:space="preserve"> and</w:t>
      </w:r>
      <w:r w:rsidR="004C12CF" w:rsidRPr="00CA4ABC">
        <w:rPr>
          <w:rFonts w:asciiTheme="minorHAnsi" w:eastAsia="Times New Roman" w:hAnsiTheme="minorHAnsi" w:cstheme="minorHAnsi"/>
          <w:color w:val="000000" w:themeColor="text1"/>
        </w:rPr>
        <w:t xml:space="preserve"> was active for 27 days, from 03.01.22-31.01.22</w:t>
      </w:r>
      <w:r w:rsidR="003F19C2" w:rsidRPr="00CA4ABC">
        <w:rPr>
          <w:rFonts w:asciiTheme="minorHAnsi" w:eastAsia="Times New Roman" w:hAnsiTheme="minorHAnsi" w:cstheme="minorHAnsi"/>
          <w:color w:val="000000" w:themeColor="text1"/>
        </w:rPr>
        <w:t xml:space="preserve">. In </w:t>
      </w:r>
      <w:r w:rsidR="004C12CF" w:rsidRPr="00CA4ABC">
        <w:rPr>
          <w:rFonts w:asciiTheme="minorHAnsi" w:eastAsia="Times New Roman" w:hAnsiTheme="minorHAnsi" w:cstheme="minorHAnsi"/>
          <w:color w:val="000000" w:themeColor="text1"/>
        </w:rPr>
        <w:t>total</w:t>
      </w:r>
      <w:r w:rsidR="003F19C2" w:rsidRPr="00CA4ABC">
        <w:rPr>
          <w:rFonts w:asciiTheme="minorHAnsi" w:eastAsia="Times New Roman" w:hAnsiTheme="minorHAnsi" w:cstheme="minorHAnsi"/>
          <w:color w:val="000000" w:themeColor="text1"/>
        </w:rPr>
        <w:t>,</w:t>
      </w:r>
      <w:r w:rsidR="004C12CF" w:rsidRPr="00CA4ABC">
        <w:rPr>
          <w:rFonts w:asciiTheme="minorHAnsi" w:eastAsia="Times New Roman" w:hAnsiTheme="minorHAnsi" w:cstheme="minorHAnsi"/>
          <w:color w:val="000000" w:themeColor="text1"/>
        </w:rPr>
        <w:t xml:space="preserve"> £30 was spent on the post. The words: muscle, university, vegetarianism, ageing, physical fitness, protein, weight training, veganism, research or physical exercise were included in the audience details.</w:t>
      </w:r>
      <w:bookmarkEnd w:id="213"/>
      <w:bookmarkEnd w:id="214"/>
      <w:bookmarkEnd w:id="215"/>
      <w:bookmarkEnd w:id="216"/>
      <w:bookmarkEnd w:id="217"/>
    </w:p>
    <w:p w14:paraId="21560AAF" w14:textId="77777777" w:rsidR="00E8340C" w:rsidRPr="00CA4ABC" w:rsidRDefault="00E8340C" w:rsidP="00E8340C">
      <w:pPr>
        <w:rPr>
          <w:rFonts w:cstheme="minorHAnsi"/>
          <w:lang w:eastAsia="en-GB"/>
        </w:rPr>
      </w:pPr>
    </w:p>
    <w:p w14:paraId="657ECFAB" w14:textId="169502A3" w:rsidR="00E8340C" w:rsidRPr="00CA4ABC" w:rsidRDefault="004C12CF" w:rsidP="00E8340C">
      <w:pPr>
        <w:pStyle w:val="Heading3"/>
        <w:spacing w:line="360" w:lineRule="auto"/>
        <w:rPr>
          <w:rFonts w:asciiTheme="minorHAnsi" w:hAnsiTheme="minorHAnsi" w:cstheme="minorHAnsi"/>
          <w:color w:val="000000" w:themeColor="text1"/>
        </w:rPr>
      </w:pPr>
      <w:bookmarkStart w:id="218" w:name="_Toc135384340"/>
      <w:r w:rsidRPr="00CA4ABC">
        <w:rPr>
          <w:rFonts w:asciiTheme="minorHAnsi" w:eastAsia="Times New Roman" w:hAnsiTheme="minorHAnsi" w:cstheme="minorHAnsi"/>
          <w:color w:val="000000" w:themeColor="text1"/>
        </w:rPr>
        <w:lastRenderedPageBreak/>
        <w:t xml:space="preserve">5.2.3 </w:t>
      </w:r>
      <w:r w:rsidRPr="00CA4ABC">
        <w:rPr>
          <w:rFonts w:asciiTheme="minorHAnsi" w:hAnsiTheme="minorHAnsi" w:cstheme="minorHAnsi"/>
          <w:color w:val="000000" w:themeColor="text1"/>
        </w:rPr>
        <w:t>Designing the resistance training programme</w:t>
      </w:r>
      <w:bookmarkEnd w:id="218"/>
      <w:r w:rsidRPr="00CA4ABC">
        <w:rPr>
          <w:rFonts w:asciiTheme="minorHAnsi" w:hAnsiTheme="minorHAnsi" w:cstheme="minorHAnsi"/>
          <w:color w:val="000000" w:themeColor="text1"/>
        </w:rPr>
        <w:t xml:space="preserve"> </w:t>
      </w:r>
    </w:p>
    <w:p w14:paraId="3BB780D7" w14:textId="3EED405E" w:rsidR="004C12CF" w:rsidRPr="00CA4ABC" w:rsidRDefault="004C12CF" w:rsidP="00E8340C">
      <w:pPr>
        <w:pStyle w:val="Heading3"/>
        <w:spacing w:line="360" w:lineRule="auto"/>
        <w:ind w:firstLine="720"/>
        <w:rPr>
          <w:rFonts w:asciiTheme="minorHAnsi" w:hAnsiTheme="minorHAnsi" w:cstheme="minorHAnsi"/>
          <w:color w:val="000000" w:themeColor="text1"/>
        </w:rPr>
      </w:pPr>
      <w:bookmarkStart w:id="219" w:name="_Toc125879936"/>
      <w:bookmarkStart w:id="220" w:name="_Toc127044442"/>
      <w:bookmarkStart w:id="221" w:name="_Toc127527475"/>
      <w:bookmarkStart w:id="222" w:name="_Toc127967631"/>
      <w:bookmarkStart w:id="223" w:name="_Toc135384341"/>
      <w:r w:rsidRPr="00CA4ABC">
        <w:rPr>
          <w:rFonts w:asciiTheme="minorHAnsi" w:hAnsiTheme="minorHAnsi" w:cstheme="minorHAnsi"/>
          <w:color w:val="000000" w:themeColor="text1"/>
        </w:rPr>
        <w:t>The resistance training programme was designed to be appropriate for beginners and was delivered by ET</w:t>
      </w:r>
      <w:r w:rsidR="00EF53FB" w:rsidRPr="00CA4ABC">
        <w:rPr>
          <w:rFonts w:asciiTheme="minorHAnsi" w:hAnsiTheme="minorHAnsi" w:cstheme="minorHAnsi"/>
          <w:color w:val="000000" w:themeColor="text1"/>
        </w:rPr>
        <w:t xml:space="preserve"> </w:t>
      </w:r>
      <w:r w:rsidR="00EF53FB"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Level 3 personal train</w:t>
      </w:r>
      <w:r w:rsidR="00EF53FB" w:rsidRPr="00CA4ABC">
        <w:rPr>
          <w:rFonts w:asciiTheme="minorHAnsi" w:eastAsia="Times New Roman" w:hAnsiTheme="minorHAnsi" w:cstheme="minorHAnsi"/>
          <w:color w:val="000000" w:themeColor="text1"/>
        </w:rPr>
        <w:t>er,</w:t>
      </w:r>
      <w:r w:rsidRPr="00CA4ABC">
        <w:rPr>
          <w:rFonts w:asciiTheme="minorHAnsi" w:eastAsia="Times New Roman" w:hAnsiTheme="minorHAnsi" w:cstheme="minorHAnsi"/>
          <w:color w:val="000000" w:themeColor="text1"/>
        </w:rPr>
        <w:t xml:space="preserve"> NASM</w:t>
      </w:r>
      <w:r w:rsidR="00EF53FB" w:rsidRPr="00CA4ABC">
        <w:rPr>
          <w:rFonts w:asciiTheme="minorHAnsi" w:eastAsia="Times New Roman" w:hAnsiTheme="minorHAnsi" w:cstheme="minorHAnsi"/>
          <w:color w:val="000000" w:themeColor="text1"/>
        </w:rPr>
        <w:t xml:space="preserve"> and Level 3 diploma for exercise referral, train fitness international, certificates in appendix</w:t>
      </w:r>
      <w:r w:rsidRPr="00CA4ABC">
        <w:rPr>
          <w:rFonts w:asciiTheme="minorHAnsi" w:eastAsia="Times New Roman" w:hAnsiTheme="minorHAnsi" w:cstheme="minorHAnsi"/>
          <w:color w:val="000000" w:themeColor="text1"/>
        </w:rPr>
        <w:t>). ACSM guidelines for exercise prescription</w:t>
      </w:r>
      <w:r w:rsidR="00D102D9" w:rsidRPr="00CA4ABC">
        <w:rPr>
          <w:rFonts w:asciiTheme="minorHAnsi" w:eastAsia="Times New Roman" w:hAnsiTheme="minorHAnsi" w:cstheme="minorHAnsi"/>
          <w:color w:val="000000" w:themeColor="text1"/>
        </w:rPr>
        <w:t xml:space="preserve"> for</w:t>
      </w:r>
      <w:r w:rsidRPr="00CA4ABC">
        <w:rPr>
          <w:rFonts w:asciiTheme="minorHAnsi" w:eastAsia="Times New Roman" w:hAnsiTheme="minorHAnsi" w:cstheme="minorHAnsi"/>
          <w:color w:val="000000" w:themeColor="text1"/>
        </w:rPr>
        <w:t xml:space="preserve"> novice athletes were used </w:t>
      </w:r>
      <w:r w:rsidRPr="00CA4ABC">
        <w:rPr>
          <w:rFonts w:asciiTheme="minorHAnsi" w:eastAsia="Times New Roman" w:hAnsiTheme="minorHAnsi" w:cstheme="minorHAnsi"/>
          <w:color w:val="000000" w:themeColor="text1"/>
        </w:rPr>
        <w:fldChar w:fldCharType="begin" w:fldLock="1"/>
      </w:r>
      <w:r w:rsidR="00821D82">
        <w:rPr>
          <w:rFonts w:asciiTheme="minorHAnsi" w:eastAsia="Times New Roman" w:hAnsiTheme="minorHAnsi" w:cstheme="minorHAnsi"/>
          <w:color w:val="000000" w:themeColor="text1"/>
        </w:rPr>
        <w:instrText>ADDIN CSL_CITATION {"citationItems":[{"id":"ITEM-1","itemData":{"DOI":"10.1249/MSS.0B013E3181915670","ISSN":"1530-0315","PMID":"19204579","abstract":"In order to stimulate further adaptation toward specific training goals, progressive resistance training (RT) protocols are necessary. The optimal characteristics of strength-specific programs include the use of concentric (CON), eccentric (ECC), and isometric muscle actions and the performance of bilateral and unilateral single- and multiple-joint exercises. In addition, it is recommended that strength programs sequence exercises to optimize the preservation of exercise intensity (large before small muscle group exercises, multiple-joint exercises before single-joint exercises, and higher-intensity before lower-intensity exercises). For novice (untrained individuals with no RT experience or who have not trained for several years) training, it is recommended that loads correspond to a repetition range of an 8-12 repetition maximum (RM). For intermediate (individuals with approximately 6 months of consistent RT experience) to advanced (individuals with years of RT experience) training, it is recommended that individuals use a wider loading range from 1 to 12 RM in a periodized fashion with eventual emphasis on heavy loading (1-6 RM) using 3- to 5-min rest periods between sets performed at a moderate contraction velocity (1-2 s CON; 1-2 s ECC). When training at a specific RM load, it is recommended that 2-10% increase in load be applied when the individual can perform the current workload for one to two repetitions over the desired number. The recommendation for training frequency is 2-3 d·wk-1 for novice training, 3-4 d·wk-1 for intermediate training, and 4-5 d·wk-1 for advanced training. Similar program designs are recommended for hypertrophy training with respect to exercise selection and frequency. For loading, it is recommended that loads corresponding to 1-12 RM be used in periodized fashion with emphasis on the 6-12 RM zone using 1- to 2-min rest periods between sets at a moderate velocity. Higher volume, multiple-set programs are recommended for maximizing hypertrophy. Progression in power training entails two general loading strategies: 1) strength training and 2) use of light loads (0-60% of 1 RM for lower body exercises; 30-60% of 1 RM for upper body exercises) performed at a fast contraction velocity with 3-5 min of rest between sets for multiple sets per exercise (three to five sets). It is also recommended that emphasis be placed on multiple-joint exercises especially those involving the total body. For local muscular endurance training, it …","container-title":"Medicine and science in sports and exercise","id":"ITEM-1","issue":"3","issued":{"date-parts":[["2009","3"]]},"page":"687-708","publisher":"Med Sci Sports Exerc","title":"American College of Sports Medicine position stand. Progression models in resistance training for healthy adults","type":"article-journal","volume":"41"},"uris":["http://www.mendeley.com/documents/?uuid=00fd1457-9b88-3c05-96da-f619168f3bed"]}],"mendeley":{"formattedCitation":"(240)","plainTextFormattedCitation":"(240)","previouslyFormattedCitation":"(240)"},"properties":{"noteIndex":0},"schema":"https://github.com/citation-style-language/schema/raw/master/csl-citation.json"}</w:instrText>
      </w:r>
      <w:r w:rsidRPr="00CA4ABC">
        <w:rPr>
          <w:rFonts w:asciiTheme="minorHAnsi" w:eastAsia="Times New Roman" w:hAnsiTheme="minorHAnsi" w:cstheme="minorHAnsi"/>
          <w:color w:val="000000" w:themeColor="text1"/>
        </w:rPr>
        <w:fldChar w:fldCharType="separate"/>
      </w:r>
      <w:r w:rsidR="00FF0BCE" w:rsidRPr="00FF0BCE">
        <w:rPr>
          <w:rFonts w:asciiTheme="minorHAnsi" w:eastAsia="Times New Roman" w:hAnsiTheme="minorHAnsi" w:cstheme="minorHAnsi"/>
          <w:noProof/>
          <w:color w:val="000000" w:themeColor="text1"/>
        </w:rPr>
        <w:t>(240)</w:t>
      </w:r>
      <w:r w:rsidRPr="00CA4ABC">
        <w:rPr>
          <w:rFonts w:asciiTheme="minorHAnsi" w:eastAsia="Times New Roman" w:hAnsiTheme="minorHAnsi" w:cstheme="minorHAnsi"/>
          <w:color w:val="000000" w:themeColor="text1"/>
        </w:rPr>
        <w:fldChar w:fldCharType="end"/>
      </w:r>
      <w:r w:rsidRPr="00CA4ABC">
        <w:rPr>
          <w:rFonts w:asciiTheme="minorHAnsi" w:eastAsia="Times New Roman" w:hAnsiTheme="minorHAnsi" w:cstheme="minorHAnsi"/>
          <w:color w:val="000000" w:themeColor="text1"/>
        </w:rPr>
        <w:t>. These state</w:t>
      </w:r>
      <w:r w:rsidR="00D102D9" w:rsidRPr="00CA4ABC">
        <w:rPr>
          <w:rFonts w:asciiTheme="minorHAnsi" w:eastAsia="Times New Roman" w:hAnsiTheme="minorHAnsi" w:cstheme="minorHAnsi"/>
          <w:color w:val="000000" w:themeColor="text1"/>
        </w:rPr>
        <w:t xml:space="preserve"> that</w:t>
      </w:r>
      <w:r w:rsidRPr="00CA4ABC">
        <w:rPr>
          <w:rFonts w:asciiTheme="minorHAnsi" w:eastAsia="Times New Roman" w:hAnsiTheme="minorHAnsi" w:cstheme="minorHAnsi"/>
          <w:color w:val="000000" w:themeColor="text1"/>
        </w:rPr>
        <w:t xml:space="preserve"> 8-12 repetitions should be co</w:t>
      </w:r>
      <w:r w:rsidR="00D102D9" w:rsidRPr="00CA4ABC">
        <w:rPr>
          <w:rFonts w:asciiTheme="minorHAnsi" w:eastAsia="Times New Roman" w:hAnsiTheme="minorHAnsi" w:cstheme="minorHAnsi"/>
          <w:color w:val="000000" w:themeColor="text1"/>
        </w:rPr>
        <w:t>mpleted for 1-3 sets, per exercise</w:t>
      </w:r>
      <w:r w:rsidRPr="00CA4ABC">
        <w:rPr>
          <w:rFonts w:asciiTheme="minorHAnsi" w:eastAsia="Times New Roman" w:hAnsiTheme="minorHAnsi" w:cstheme="minorHAnsi"/>
          <w:color w:val="000000" w:themeColor="text1"/>
        </w:rPr>
        <w:t xml:space="preserve">. For the programme, </w:t>
      </w:r>
      <w:r w:rsidR="00AB5EC2" w:rsidRPr="00CA4ABC">
        <w:rPr>
          <w:rFonts w:asciiTheme="minorHAnsi" w:eastAsia="Times New Roman" w:hAnsiTheme="minorHAnsi" w:cstheme="minorHAnsi"/>
          <w:color w:val="000000" w:themeColor="text1"/>
        </w:rPr>
        <w:t xml:space="preserve">the </w:t>
      </w:r>
      <w:r w:rsidRPr="00CA4ABC">
        <w:rPr>
          <w:rFonts w:asciiTheme="minorHAnsi" w:eastAsia="Times New Roman" w:hAnsiTheme="minorHAnsi" w:cstheme="minorHAnsi"/>
          <w:color w:val="000000" w:themeColor="text1"/>
        </w:rPr>
        <w:t xml:space="preserve">rep range started at 8, increasing to 10 by week three and 12 by week </w:t>
      </w:r>
      <w:r w:rsidR="00D102D9" w:rsidRPr="00CA4ABC">
        <w:rPr>
          <w:rFonts w:asciiTheme="minorHAnsi" w:eastAsia="Times New Roman" w:hAnsiTheme="minorHAnsi" w:cstheme="minorHAnsi"/>
          <w:color w:val="000000" w:themeColor="text1"/>
        </w:rPr>
        <w:t>five</w:t>
      </w:r>
      <w:r w:rsidRPr="00CA4ABC">
        <w:rPr>
          <w:rFonts w:asciiTheme="minorHAnsi" w:eastAsia="Times New Roman" w:hAnsiTheme="minorHAnsi" w:cstheme="minorHAnsi"/>
          <w:color w:val="000000" w:themeColor="text1"/>
        </w:rPr>
        <w:t>.</w:t>
      </w:r>
      <w:bookmarkEnd w:id="219"/>
      <w:bookmarkEnd w:id="220"/>
      <w:bookmarkEnd w:id="221"/>
      <w:bookmarkEnd w:id="222"/>
      <w:bookmarkEnd w:id="223"/>
      <w:r w:rsidRPr="00CA4ABC">
        <w:rPr>
          <w:rFonts w:asciiTheme="minorHAnsi" w:hAnsiTheme="minorHAnsi" w:cstheme="minorHAnsi"/>
          <w:color w:val="000000" w:themeColor="text1"/>
        </w:rPr>
        <w:t xml:space="preserve"> </w:t>
      </w:r>
    </w:p>
    <w:p w14:paraId="064272C1" w14:textId="6AF9FA11" w:rsidR="004C12CF" w:rsidRPr="00CA4ABC" w:rsidRDefault="004C12CF" w:rsidP="00EF53FB">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It was an aim of the resistance training programme to </w:t>
      </w:r>
      <w:r w:rsidR="00EF53FB" w:rsidRPr="00CA4ABC">
        <w:rPr>
          <w:rFonts w:eastAsia="Times New Roman" w:cstheme="minorHAnsi"/>
          <w:color w:val="000000" w:themeColor="text1"/>
          <w:lang w:eastAsia="en-GB"/>
        </w:rPr>
        <w:t xml:space="preserve">deliver a home-based exercise </w:t>
      </w:r>
      <w:r w:rsidR="00D102D9" w:rsidRPr="00CA4ABC">
        <w:rPr>
          <w:rFonts w:eastAsia="Times New Roman" w:cstheme="minorHAnsi"/>
          <w:color w:val="000000" w:themeColor="text1"/>
          <w:lang w:eastAsia="en-GB"/>
        </w:rPr>
        <w:t>work out. Moreover</w:t>
      </w:r>
      <w:r w:rsidR="00EF53FB" w:rsidRPr="00CA4ABC">
        <w:rPr>
          <w:rFonts w:eastAsia="Times New Roman" w:cstheme="minorHAnsi"/>
          <w:color w:val="000000" w:themeColor="text1"/>
          <w:lang w:eastAsia="en-GB"/>
        </w:rPr>
        <w:t xml:space="preserve"> </w:t>
      </w:r>
      <w:r w:rsidR="00D102D9" w:rsidRPr="00CA4ABC">
        <w:rPr>
          <w:rFonts w:eastAsia="Times New Roman" w:cstheme="minorHAnsi"/>
          <w:color w:val="000000" w:themeColor="text1"/>
          <w:lang w:eastAsia="en-GB"/>
        </w:rPr>
        <w:t>ensuring the programme was appropriate for</w:t>
      </w:r>
      <w:r w:rsidRPr="00CA4ABC">
        <w:rPr>
          <w:rFonts w:eastAsia="Times New Roman" w:cstheme="minorHAnsi"/>
          <w:color w:val="000000" w:themeColor="text1"/>
          <w:lang w:eastAsia="en-GB"/>
        </w:rPr>
        <w:t xml:space="preserve"> middle-older adults </w:t>
      </w:r>
      <w:r w:rsidR="00D102D9" w:rsidRPr="00CA4ABC">
        <w:rPr>
          <w:rFonts w:eastAsia="Times New Roman" w:cstheme="minorHAnsi"/>
          <w:color w:val="000000" w:themeColor="text1"/>
          <w:lang w:eastAsia="en-GB"/>
        </w:rPr>
        <w:t>whilst still requiring</w:t>
      </w:r>
      <w:r w:rsidRPr="00CA4ABC">
        <w:rPr>
          <w:rFonts w:eastAsia="Times New Roman" w:cstheme="minorHAnsi"/>
          <w:color w:val="000000" w:themeColor="text1"/>
          <w:lang w:eastAsia="en-GB"/>
        </w:rPr>
        <w:t xml:space="preserve"> li</w:t>
      </w:r>
      <w:r w:rsidR="00EF53FB" w:rsidRPr="00CA4ABC">
        <w:rPr>
          <w:rFonts w:eastAsia="Times New Roman" w:cstheme="minorHAnsi"/>
          <w:color w:val="000000" w:themeColor="text1"/>
          <w:lang w:eastAsia="en-GB"/>
        </w:rPr>
        <w:t>mited</w:t>
      </w:r>
      <w:r w:rsidRPr="00CA4ABC">
        <w:rPr>
          <w:rFonts w:eastAsia="Times New Roman" w:cstheme="minorHAnsi"/>
          <w:color w:val="000000" w:themeColor="text1"/>
          <w:lang w:eastAsia="en-GB"/>
        </w:rPr>
        <w:t xml:space="preserve"> equipment/space</w:t>
      </w:r>
      <w:r w:rsidR="00D102D9" w:rsidRPr="00CA4ABC">
        <w:rPr>
          <w:rFonts w:eastAsia="Times New Roman" w:cstheme="minorHAnsi"/>
          <w:color w:val="000000" w:themeColor="text1"/>
          <w:lang w:eastAsia="en-GB"/>
        </w:rPr>
        <w:t xml:space="preserve"> was an objective</w:t>
      </w:r>
      <w:r w:rsidRPr="00CA4ABC">
        <w:rPr>
          <w:rFonts w:eastAsia="Times New Roman" w:cstheme="minorHAnsi"/>
          <w:color w:val="000000" w:themeColor="text1"/>
          <w:lang w:eastAsia="en-GB"/>
        </w:rPr>
        <w:t xml:space="preserve">. </w:t>
      </w:r>
      <w:r w:rsidR="00EF53FB" w:rsidRPr="00CA4ABC">
        <w:rPr>
          <w:rFonts w:eastAsia="Times New Roman" w:cstheme="minorHAnsi"/>
          <w:color w:val="000000" w:themeColor="text1"/>
          <w:lang w:eastAsia="en-GB"/>
        </w:rPr>
        <w:t xml:space="preserve">A range of </w:t>
      </w:r>
      <w:r w:rsidR="00D102D9" w:rsidRPr="00CA4ABC">
        <w:rPr>
          <w:rFonts w:eastAsia="Times New Roman" w:cstheme="minorHAnsi"/>
          <w:color w:val="000000" w:themeColor="text1"/>
          <w:lang w:eastAsia="en-GB"/>
        </w:rPr>
        <w:t xml:space="preserve">resistance </w:t>
      </w:r>
      <w:r w:rsidR="00EF53FB" w:rsidRPr="00CA4ABC">
        <w:rPr>
          <w:rFonts w:eastAsia="Times New Roman" w:cstheme="minorHAnsi"/>
          <w:color w:val="000000" w:themeColor="text1"/>
          <w:lang w:eastAsia="en-GB"/>
        </w:rPr>
        <w:t>exercise</w:t>
      </w:r>
      <w:r w:rsidR="0077085B">
        <w:rPr>
          <w:rFonts w:eastAsia="Times New Roman" w:cstheme="minorHAnsi"/>
          <w:color w:val="000000" w:themeColor="text1"/>
          <w:lang w:eastAsia="en-GB"/>
        </w:rPr>
        <w:t xml:space="preserve"> </w:t>
      </w:r>
      <w:r w:rsidR="00EF53FB" w:rsidRPr="00CA4ABC">
        <w:rPr>
          <w:rFonts w:eastAsia="Times New Roman" w:cstheme="minorHAnsi"/>
          <w:color w:val="000000" w:themeColor="text1"/>
          <w:lang w:eastAsia="en-GB"/>
        </w:rPr>
        <w:t xml:space="preserve">equipment </w:t>
      </w:r>
      <w:r w:rsidR="0077085B">
        <w:rPr>
          <w:rFonts w:eastAsia="Times New Roman" w:cstheme="minorHAnsi"/>
          <w:color w:val="000000" w:themeColor="text1"/>
          <w:lang w:eastAsia="en-GB"/>
        </w:rPr>
        <w:t xml:space="preserve">was </w:t>
      </w:r>
      <w:r w:rsidR="00EF53FB" w:rsidRPr="00CA4ABC">
        <w:rPr>
          <w:rFonts w:eastAsia="Times New Roman" w:cstheme="minorHAnsi"/>
          <w:color w:val="000000" w:themeColor="text1"/>
          <w:lang w:eastAsia="en-GB"/>
        </w:rPr>
        <w:t xml:space="preserve">considered. </w:t>
      </w:r>
      <w:r w:rsidRPr="00CA4ABC">
        <w:rPr>
          <w:rFonts w:cstheme="minorHAnsi"/>
          <w:color w:val="000000" w:themeColor="text1"/>
        </w:rPr>
        <w:t xml:space="preserve">In 2019, a summary of RCT research that compared elastic resistance training (tubes and bands) to conventional resistance training was conducted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{"citationItems":[{"id":"ITEM-1","itemData":{"DOI":"10.1177/2050312119831116","ISSN":"2050-3121","abstract":"Given the practicality and low cost of using elastic resistance in training for different populations and its effectiveness in a range of outcomes, a comparison with conventional devices could clarify and quantify the benefits provided by both mode. To compare the effects of resistance training with elastic devices (tubes and Thera-Bands) and conventional devices (weight machines and dumbbells) on the outcome muscular strength. A search was performed in the databases PubMed/MEDLINE, EMBASE, PEDro (Physiotherapy Evidence Database), and CENTRAL (Cochrane Central Register of Controlled Trials) from the earliest records up to 20 December 2017. Data were pooled into a meta-analysis and described as standardized mean difference with a 95% confidence interval (registration number: CRD42016042152). Eight studies were included. The results of the meta-analysis demonstrated no superiority between the methods analyzed for upper limb (standardized mean difference = −0.011; 95% confidence interval = −0.40, 0.19; p = 0.48) or lower limb muscular strength (standardized mean difference = 0.09; 95% confidence interval = −0.18, 0.35; p = 0.52). Elastic resistance training is able to promote similar strength gains to conventional resistance training, in different population profiles and using diverse protocols.","author":[{"dropping-particle":"","family":"Lopes","given":"Jaqueline Santos Silva","non-dropping-particle":"","parse-names":false,"suffix":""},{"dropping-particle":"","family":"Machado","given":"Aryane Flauzino","non-dropping-particle":"","parse-names":false,"suffix":""},{"dropping-particle":"","family":"Micheletti","given":"Jéssica Kirsch","non-dropping-particle":"","parse-names":false,"suffix":""},{"dropping-particle":"","family":"Almeida","given":"Aline Castilho","non-dropping-particle":"de","parse-names":false,"suffix":""},{"dropping-particle":"","family":"Cavina","given":"Allysiê Priscila","non-dropping-particle":"","parse-names":false,"suffix":""},{"dropping-particle":"","family":"Pastre","given":"Carlos Marcelo","non-dropping-particle":"","parse-names":false,"suffix":""}],"container-title":"SAGE Open Medicine","id":"ITEM-1","issued":{"date-parts":[["2019","1"]]},"page":"205031211983111","publisher":"SAGE Publications","title":"Effects of training with elastic resistance versus conventional resistance on muscular strength: A systematic review and meta-analysis","type":"article-journal","volume":"7"},"uris":["http://www.mendeley.com/documents/?uuid=f82a2185-ff73-3137-ab94-ac7790645fa5"]}],"mendeley":{"formattedCitation":"(270)","plainTextFormattedCitation":"(270)","previouslyFormattedCitation":"(270)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(270)</w:t>
      </w:r>
      <w:r w:rsidRPr="00CA4ABC">
        <w:rPr>
          <w:rFonts w:cstheme="minorHAnsi"/>
          <w:color w:val="000000" w:themeColor="text1"/>
        </w:rPr>
        <w:fldChar w:fldCharType="end"/>
      </w:r>
      <w:r w:rsidRPr="00CA4ABC">
        <w:rPr>
          <w:rFonts w:cstheme="minorHAnsi"/>
          <w:color w:val="000000" w:themeColor="text1"/>
        </w:rPr>
        <w:t xml:space="preserve">. Conventional resistance training was defined as protocols using weight machines and/or </w:t>
      </w:r>
      <w:r w:rsidR="00F570E0" w:rsidRPr="00CA4ABC">
        <w:rPr>
          <w:rFonts w:cstheme="minorHAnsi"/>
          <w:color w:val="000000" w:themeColor="text1"/>
        </w:rPr>
        <w:t>dumbbells</w:t>
      </w:r>
      <w:r w:rsidRPr="00CA4ABC">
        <w:rPr>
          <w:rFonts w:cstheme="minorHAnsi"/>
          <w:color w:val="000000" w:themeColor="text1"/>
        </w:rPr>
        <w:t>. They included eight articles in their analysis, all of which included muscular strength as an outcome measurement. It was concluded, from the meta-analysis results, that no superiority was displayed between elastic and conventional resistance training practices for both upper body strength (standardi</w:t>
      </w:r>
      <w:r w:rsidR="00AB5EC2" w:rsidRPr="00CA4ABC">
        <w:rPr>
          <w:rFonts w:cstheme="minorHAnsi"/>
          <w:color w:val="000000" w:themeColor="text1"/>
        </w:rPr>
        <w:t>s</w:t>
      </w:r>
      <w:r w:rsidRPr="00CA4ABC">
        <w:rPr>
          <w:rFonts w:cstheme="minorHAnsi"/>
          <w:color w:val="000000" w:themeColor="text1"/>
        </w:rPr>
        <w:t>ed mean difference</w:t>
      </w:r>
      <w:r w:rsidR="00AB5EC2" w:rsidRPr="00CA4ABC">
        <w:rPr>
          <w:rFonts w:cstheme="minorHAnsi"/>
          <w:color w:val="000000" w:themeColor="text1"/>
        </w:rPr>
        <w:t xml:space="preserve">: </w:t>
      </w:r>
      <w:r w:rsidRPr="00CA4ABC">
        <w:rPr>
          <w:rFonts w:cstheme="minorHAnsi"/>
          <w:color w:val="000000" w:themeColor="text1"/>
        </w:rPr>
        <w:t>−0.011;  95%  CI=−0.40, 0.19;  p=0.48)  and lower body strength (standardi</w:t>
      </w:r>
      <w:r w:rsidR="00AB5EC2" w:rsidRPr="00CA4ABC">
        <w:rPr>
          <w:rFonts w:cstheme="minorHAnsi"/>
          <w:color w:val="000000" w:themeColor="text1"/>
        </w:rPr>
        <w:t>s</w:t>
      </w:r>
      <w:r w:rsidRPr="00CA4ABC">
        <w:rPr>
          <w:rFonts w:cstheme="minorHAnsi"/>
          <w:color w:val="000000" w:themeColor="text1"/>
        </w:rPr>
        <w:t>ed mean differenc</w:t>
      </w:r>
      <w:r w:rsidR="00AB5EC2" w:rsidRPr="00CA4ABC">
        <w:rPr>
          <w:rFonts w:cstheme="minorHAnsi"/>
          <w:color w:val="000000" w:themeColor="text1"/>
        </w:rPr>
        <w:t xml:space="preserve">e: </w:t>
      </w:r>
      <w:r w:rsidRPr="00CA4ABC">
        <w:rPr>
          <w:rFonts w:cstheme="minorHAnsi"/>
          <w:color w:val="000000" w:themeColor="text1"/>
        </w:rPr>
        <w:t xml:space="preserve">0.09; 95% CI= −0.18, 0.35; p=0.52), respectively, suggesting </w:t>
      </w:r>
      <w:r w:rsidR="007944E5">
        <w:rPr>
          <w:rFonts w:cstheme="minorHAnsi"/>
          <w:color w:val="000000" w:themeColor="text1"/>
        </w:rPr>
        <w:t>either protocol can achieve similar strength gains</w:t>
      </w:r>
      <w:r w:rsidRPr="00CA4ABC">
        <w:rPr>
          <w:rFonts w:cstheme="minorHAnsi"/>
          <w:color w:val="000000" w:themeColor="text1"/>
        </w:rPr>
        <w:t xml:space="preserve">. Notwithstanding,  this review did emphasise the importance of </w:t>
      </w:r>
      <w:r w:rsidR="00420A96" w:rsidRPr="00CA4ABC">
        <w:rPr>
          <w:rFonts w:cstheme="minorHAnsi"/>
          <w:color w:val="000000" w:themeColor="text1"/>
        </w:rPr>
        <w:t>ensuring</w:t>
      </w:r>
      <w:r w:rsidRPr="00CA4ABC">
        <w:rPr>
          <w:rFonts w:cstheme="minorHAnsi"/>
          <w:color w:val="000000" w:themeColor="text1"/>
        </w:rPr>
        <w:t xml:space="preserve"> the protocol was sufficient and appropriate for the population</w:t>
      </w:r>
      <w:r w:rsidR="00420A96" w:rsidRPr="00CA4ABC">
        <w:rPr>
          <w:rFonts w:cstheme="minorHAnsi"/>
          <w:color w:val="000000" w:themeColor="text1"/>
        </w:rPr>
        <w:t>. Still, it</w:t>
      </w:r>
      <w:r w:rsidRPr="00CA4ABC">
        <w:rPr>
          <w:rFonts w:cstheme="minorHAnsi"/>
          <w:color w:val="000000" w:themeColor="text1"/>
        </w:rPr>
        <w:t xml:space="preserve"> highlighted the benefits of elastic devices, in both clinical and scientific practice, </w:t>
      </w:r>
      <w:r w:rsidR="007944E5">
        <w:rPr>
          <w:rFonts w:cstheme="minorHAnsi"/>
          <w:color w:val="000000" w:themeColor="text1"/>
        </w:rPr>
        <w:t>mainly</w:t>
      </w:r>
      <w:r w:rsidRPr="00CA4ABC">
        <w:rPr>
          <w:rFonts w:cstheme="minorHAnsi"/>
          <w:color w:val="000000" w:themeColor="text1"/>
        </w:rPr>
        <w:t xml:space="preserve"> owing to their low costs and easy accessibility</w:t>
      </w:r>
      <w:r w:rsidR="0077085B">
        <w:rPr>
          <w:rFonts w:cstheme="minorHAnsi"/>
          <w:color w:val="000000" w:themeColor="text1"/>
        </w:rPr>
        <w:t xml:space="preserve"> and supported their use for this research.</w:t>
      </w:r>
    </w:p>
    <w:p w14:paraId="1B9EA471" w14:textId="77777777" w:rsidR="000D43AA" w:rsidRPr="00CA4ABC" w:rsidRDefault="000D43AA" w:rsidP="004053D7">
      <w:pPr>
        <w:spacing w:line="360" w:lineRule="auto"/>
        <w:rPr>
          <w:rFonts w:cstheme="minorHAnsi"/>
          <w:color w:val="000000" w:themeColor="text1"/>
        </w:rPr>
      </w:pPr>
    </w:p>
    <w:p w14:paraId="27F0AA25" w14:textId="47A7842E" w:rsidR="004C12CF" w:rsidRPr="00CA4ABC" w:rsidRDefault="004C12CF" w:rsidP="004053D7">
      <w:pPr>
        <w:spacing w:line="360" w:lineRule="auto"/>
        <w:rPr>
          <w:rFonts w:cstheme="minorHAnsi"/>
          <w:color w:val="000000" w:themeColor="text1"/>
        </w:rPr>
      </w:pPr>
      <w:r w:rsidRPr="00CA4ABC">
        <w:rPr>
          <w:rFonts w:cstheme="minorHAnsi"/>
          <w:color w:val="000000" w:themeColor="text1"/>
        </w:rPr>
        <w:t>Exercise videos were pre-recorded</w:t>
      </w:r>
      <w:r w:rsidR="00EF53FB" w:rsidRPr="00CA4ABC">
        <w:rPr>
          <w:rFonts w:cstheme="minorHAnsi"/>
          <w:color w:val="000000" w:themeColor="text1"/>
        </w:rPr>
        <w:t xml:space="preserve"> using </w:t>
      </w:r>
      <w:r w:rsidR="00443790" w:rsidRPr="00CA4ABC">
        <w:rPr>
          <w:rFonts w:cstheme="minorHAnsi"/>
          <w:color w:val="000000" w:themeColor="text1"/>
        </w:rPr>
        <w:t>Panopto software (Version 5.5.0)</w:t>
      </w:r>
      <w:r w:rsidR="00AB5EC2" w:rsidRPr="00CA4ABC">
        <w:rPr>
          <w:rFonts w:cstheme="minorHAnsi"/>
          <w:color w:val="000000" w:themeColor="text1"/>
        </w:rPr>
        <w:t>. V</w:t>
      </w:r>
      <w:r w:rsidRPr="00CA4ABC">
        <w:rPr>
          <w:rFonts w:cstheme="minorHAnsi"/>
          <w:color w:val="000000" w:themeColor="text1"/>
        </w:rPr>
        <w:t>olunteers were invited to log on to a video</w:t>
      </w:r>
      <w:r w:rsidR="00420A96" w:rsidRPr="00CA4ABC">
        <w:rPr>
          <w:rFonts w:cstheme="minorHAnsi"/>
          <w:color w:val="000000" w:themeColor="text1"/>
        </w:rPr>
        <w:t xml:space="preserve"> </w:t>
      </w:r>
      <w:r w:rsidRPr="00CA4ABC">
        <w:rPr>
          <w:rFonts w:cstheme="minorHAnsi"/>
          <w:color w:val="000000" w:themeColor="text1"/>
        </w:rPr>
        <w:t>call platform (</w:t>
      </w:r>
      <w:r w:rsidR="00420A96" w:rsidRPr="00CA4ABC">
        <w:rPr>
          <w:rFonts w:cstheme="minorHAnsi"/>
          <w:color w:val="000000" w:themeColor="text1"/>
        </w:rPr>
        <w:t>G</w:t>
      </w:r>
      <w:r w:rsidRPr="00CA4ABC">
        <w:rPr>
          <w:rFonts w:cstheme="minorHAnsi"/>
          <w:color w:val="000000" w:themeColor="text1"/>
        </w:rPr>
        <w:t>oogle</w:t>
      </w:r>
      <w:r w:rsidR="00420A96" w:rsidRPr="00CA4ABC">
        <w:rPr>
          <w:rFonts w:cstheme="minorHAnsi"/>
          <w:color w:val="000000" w:themeColor="text1"/>
        </w:rPr>
        <w:t xml:space="preserve"> M</w:t>
      </w:r>
      <w:r w:rsidRPr="00CA4ABC">
        <w:rPr>
          <w:rFonts w:cstheme="minorHAnsi"/>
          <w:color w:val="000000" w:themeColor="text1"/>
        </w:rPr>
        <w:t xml:space="preserve">eets) and join a live session where the video </w:t>
      </w:r>
      <w:r w:rsidR="007944E5">
        <w:rPr>
          <w:rFonts w:cstheme="minorHAnsi"/>
          <w:color w:val="000000" w:themeColor="text1"/>
        </w:rPr>
        <w:t>was</w:t>
      </w:r>
      <w:r w:rsidRPr="00CA4ABC">
        <w:rPr>
          <w:rFonts w:cstheme="minorHAnsi"/>
          <w:color w:val="000000" w:themeColor="text1"/>
        </w:rPr>
        <w:t xml:space="preserve"> played </w:t>
      </w:r>
      <w:r w:rsidR="007944E5">
        <w:rPr>
          <w:rFonts w:cstheme="minorHAnsi"/>
          <w:color w:val="000000" w:themeColor="text1"/>
        </w:rPr>
        <w:t xml:space="preserve">whilst an instructor was available </w:t>
      </w:r>
      <w:r w:rsidRPr="00CA4ABC">
        <w:rPr>
          <w:rFonts w:cstheme="minorHAnsi"/>
          <w:color w:val="000000" w:themeColor="text1"/>
        </w:rPr>
        <w:t xml:space="preserve">for guidance. If </w:t>
      </w:r>
      <w:r w:rsidR="00D102D9" w:rsidRPr="00CA4ABC">
        <w:rPr>
          <w:rFonts w:cstheme="minorHAnsi"/>
          <w:color w:val="000000" w:themeColor="text1"/>
        </w:rPr>
        <w:t xml:space="preserve">live attendance was not possible, video </w:t>
      </w:r>
      <w:r w:rsidR="00420A96" w:rsidRPr="00CA4ABC">
        <w:rPr>
          <w:rFonts w:cstheme="minorHAnsi"/>
          <w:color w:val="000000"/>
          <w:shd w:val="clear" w:color="auto" w:fill="FFFFFF"/>
        </w:rPr>
        <w:t xml:space="preserve">recordings </w:t>
      </w:r>
      <w:r w:rsidRPr="00CA4ABC">
        <w:rPr>
          <w:rFonts w:cstheme="minorHAnsi"/>
          <w:color w:val="000000" w:themeColor="text1"/>
        </w:rPr>
        <w:t xml:space="preserve">were </w:t>
      </w:r>
      <w:r w:rsidR="00B13917" w:rsidRPr="00CA4ABC">
        <w:rPr>
          <w:rFonts w:cstheme="minorHAnsi"/>
          <w:color w:val="000000" w:themeColor="text1"/>
        </w:rPr>
        <w:t>emailed to participants</w:t>
      </w:r>
      <w:r w:rsidR="00D102D9" w:rsidRPr="00CA4ABC">
        <w:rPr>
          <w:rFonts w:cstheme="minorHAnsi"/>
          <w:color w:val="000000" w:themeColor="text1"/>
        </w:rPr>
        <w:t xml:space="preserve"> to do independently</w:t>
      </w:r>
      <w:r w:rsidRPr="00CA4ABC">
        <w:rPr>
          <w:rFonts w:cstheme="minorHAnsi"/>
          <w:color w:val="000000" w:themeColor="text1"/>
        </w:rPr>
        <w:t>. All exercises were designed to be suitable to do at home.</w:t>
      </w:r>
      <w:r w:rsidR="000D43AA" w:rsidRPr="00CA4ABC">
        <w:rPr>
          <w:rFonts w:cstheme="minorHAnsi"/>
          <w:color w:val="000000" w:themeColor="text1"/>
        </w:rPr>
        <w:t xml:space="preserve"> The focus was a hypertrophy-based format</w:t>
      </w:r>
      <w:r w:rsidR="00D17DAC" w:rsidRPr="00CA4ABC">
        <w:rPr>
          <w:rFonts w:cstheme="minorHAnsi"/>
          <w:color w:val="000000" w:themeColor="text1"/>
        </w:rPr>
        <w:t xml:space="preserve"> </w:t>
      </w:r>
      <w:r w:rsidR="000D43AA"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{"citationItems":[{"id":"ITEM-1","itemData":{"ISBN":"1492561347","author":[{"dropping-particle":"","family":"Gibson","given":"Ann L.","non-dropping-particle":"","parse-names":false,"suffix":""},{"dropping-particle":"","family":"Wagner","given":"Dale R.","non-dropping-particle":"","parse-names":false,"suffix":""},{"dropping-particle":"","family":"Heyward","given":"Vivian H.","non-dropping-particle":"","parse-names":false,"suffix":""}],"id":"ITEM-1","issued":{"date-parts":[["2019"]]},"page":"349-373","title":"Assessing Balance and Designing Balance Programs. In: Advanced fitness assessment and exercise prescription","type":"article-journal"},"uris":["http://www.mendeley.com/documents/?uuid=a8c5f2ce-6619-3730-8554-d333bada0346"]}],"mendeley":{"formattedCitation":"(271)","plainTextFormattedCitation":"(271)","previouslyFormattedCitation":"(271)"},"properties":{"noteIndex":0},"schema":"https://github.com/citation-style-language/schema/raw/master/csl-citation.json"}</w:instrText>
      </w:r>
      <w:r w:rsidR="000D43AA" w:rsidRPr="00CA4ABC">
        <w:rPr>
          <w:rFonts w:cstheme="minorHAnsi"/>
          <w:color w:val="000000" w:themeColor="text1"/>
        </w:rPr>
        <w:fldChar w:fldCharType="separate"/>
      </w:r>
      <w:r w:rsidR="00FF0BCE" w:rsidRPr="00FF0BCE">
        <w:rPr>
          <w:rFonts w:cstheme="minorHAnsi"/>
          <w:noProof/>
          <w:color w:val="000000" w:themeColor="text1"/>
        </w:rPr>
        <w:t>(271)</w:t>
      </w:r>
      <w:r w:rsidR="000D43AA" w:rsidRPr="00CA4ABC">
        <w:rPr>
          <w:rFonts w:cstheme="minorHAnsi"/>
          <w:color w:val="000000" w:themeColor="text1"/>
        </w:rPr>
        <w:fldChar w:fldCharType="end"/>
      </w:r>
      <w:r w:rsidR="000D43AA" w:rsidRPr="00CA4ABC">
        <w:rPr>
          <w:rFonts w:cstheme="minorHAnsi"/>
          <w:color w:val="000000" w:themeColor="text1"/>
        </w:rPr>
        <w:t xml:space="preserve">. Intensity, duration and frequency were modified across the 6-weeks to feed into the </w:t>
      </w:r>
      <w:r w:rsidR="000D43AA" w:rsidRPr="00CA4ABC">
        <w:rPr>
          <w:rFonts w:cstheme="minorHAnsi"/>
          <w:color w:val="000000" w:themeColor="text1"/>
        </w:rPr>
        <w:lastRenderedPageBreak/>
        <w:t xml:space="preserve">key </w:t>
      </w:r>
      <w:r w:rsidR="007944E5">
        <w:rPr>
          <w:rFonts w:cstheme="minorHAnsi"/>
          <w:color w:val="000000" w:themeColor="text1"/>
        </w:rPr>
        <w:t>progression features and</w:t>
      </w:r>
      <w:r w:rsidR="000D43AA" w:rsidRPr="00CA4ABC">
        <w:rPr>
          <w:rFonts w:cstheme="minorHAnsi"/>
          <w:color w:val="000000" w:themeColor="text1"/>
        </w:rPr>
        <w:t xml:space="preserve"> prevent strength changes</w:t>
      </w:r>
      <w:r w:rsidR="00D17DAC" w:rsidRPr="00CA4ABC">
        <w:rPr>
          <w:rFonts w:cstheme="minorHAnsi"/>
          <w:color w:val="000000" w:themeColor="text1"/>
        </w:rPr>
        <w:t xml:space="preserve"> from</w:t>
      </w:r>
      <w:r w:rsidR="000D43AA" w:rsidRPr="00CA4ABC">
        <w:rPr>
          <w:rFonts w:cstheme="minorHAnsi"/>
          <w:color w:val="000000" w:themeColor="text1"/>
        </w:rPr>
        <w:t xml:space="preserve"> plateauing. </w:t>
      </w:r>
      <w:r w:rsidRPr="00CA4ABC">
        <w:rPr>
          <w:rFonts w:cstheme="minorHAnsi"/>
          <w:color w:val="000000" w:themeColor="text1"/>
        </w:rPr>
        <w:t xml:space="preserve">The order of exercises was </w:t>
      </w:r>
      <w:r w:rsidR="000D43AA" w:rsidRPr="00CA4ABC">
        <w:rPr>
          <w:rFonts w:cstheme="minorHAnsi"/>
          <w:color w:val="000000" w:themeColor="text1"/>
        </w:rPr>
        <w:t>also selected</w:t>
      </w:r>
      <w:r w:rsidRPr="00CA4ABC">
        <w:rPr>
          <w:rFonts w:cstheme="minorHAnsi"/>
          <w:color w:val="000000" w:themeColor="text1"/>
        </w:rPr>
        <w:t xml:space="preserve"> to promote muscle balance. </w:t>
      </w:r>
      <w:r w:rsidR="00E02608">
        <w:rPr>
          <w:rFonts w:cstheme="minorHAnsi"/>
          <w:color w:val="000000" w:themeColor="text1"/>
        </w:rPr>
        <w:t>The</w:t>
      </w:r>
      <w:r w:rsidRPr="00CA4ABC">
        <w:rPr>
          <w:rFonts w:cstheme="minorHAnsi"/>
          <w:color w:val="000000" w:themeColor="text1"/>
        </w:rPr>
        <w:t xml:space="preserve"> ratio between opposing muscle groups (agonists vs antagonists), contralateral (right vs left) and upper vs lower body was considered to ensure a total body workout. Each session commenced with multiple joint exercises to engage more muscle groups, followed by single joint exercises. </w:t>
      </w:r>
      <w:r w:rsidR="00420A96" w:rsidRPr="00CA4ABC">
        <w:rPr>
          <w:rFonts w:cstheme="minorHAnsi"/>
          <w:color w:val="000000"/>
          <w:shd w:val="clear" w:color="auto" w:fill="FFFFFF"/>
        </w:rPr>
        <w:t xml:space="preserve">Successive exercises did not target the same muscle groups, particularly as it is anticipated that participants were novice lifters, so avoidance of muscle fatigue was necessary. </w:t>
      </w:r>
      <w:r w:rsidRPr="00CA4ABC">
        <w:rPr>
          <w:rFonts w:cstheme="minorHAnsi"/>
          <w:color w:val="000000" w:themeColor="text1"/>
        </w:rPr>
        <w:t>Some</w:t>
      </w:r>
      <w:r w:rsidR="00420A96" w:rsidRPr="00CA4ABC">
        <w:rPr>
          <w:rFonts w:cstheme="minorHAnsi"/>
          <w:color w:val="000000" w:themeColor="text1"/>
        </w:rPr>
        <w:t xml:space="preserve"> s</w:t>
      </w:r>
      <w:r w:rsidRPr="00CA4ABC">
        <w:rPr>
          <w:rFonts w:cstheme="minorHAnsi"/>
          <w:color w:val="000000" w:themeColor="text1"/>
        </w:rPr>
        <w:t>essions were targeted at particular muscle groups (i.e. upper or lower body) to reach more intricate and deeper muscle</w:t>
      </w:r>
      <w:r w:rsidR="00D17DAC" w:rsidRPr="00CA4ABC">
        <w:rPr>
          <w:rFonts w:cstheme="minorHAnsi"/>
          <w:color w:val="000000" w:themeColor="text1"/>
        </w:rPr>
        <w:t>s</w:t>
      </w:r>
      <w:r w:rsidRPr="00CA4ABC">
        <w:rPr>
          <w:rFonts w:cstheme="minorHAnsi"/>
          <w:color w:val="000000" w:themeColor="text1"/>
        </w:rPr>
        <w:t xml:space="preserve">. </w:t>
      </w:r>
      <w:r w:rsidR="00C03A77" w:rsidRPr="00CA4ABC">
        <w:rPr>
          <w:rFonts w:cstheme="minorHAnsi"/>
          <w:color w:val="000000"/>
          <w:shd w:val="clear" w:color="auto" w:fill="FFFFFF"/>
        </w:rPr>
        <w:t>Movements were designed to reflect functional activities and work key muscles involved in daily tasks such as stair climbing.</w:t>
      </w:r>
    </w:p>
    <w:p w14:paraId="56BC1EBD" w14:textId="02E0ADAB"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It has also been documented that balance improvements can reduce </w:t>
      </w:r>
      <w:r w:rsidR="002B3093" w:rsidRPr="00CA4ABC">
        <w:rPr>
          <w:rFonts w:eastAsia="Times New Roman" w:cstheme="minorHAnsi"/>
          <w:color w:val="000000" w:themeColor="text1"/>
          <w:lang w:eastAsia="en-GB"/>
        </w:rPr>
        <w:t>fall</w:t>
      </w:r>
      <w:r w:rsidRPr="00CA4ABC">
        <w:rPr>
          <w:rFonts w:eastAsia="Times New Roman" w:cstheme="minorHAnsi"/>
          <w:color w:val="000000" w:themeColor="text1"/>
          <w:lang w:eastAsia="en-GB"/>
        </w:rPr>
        <w:t xml:space="preserve"> incidence </w:t>
      </w:r>
      <w:r w:rsidRPr="00CA4ABC">
        <w:rPr>
          <w:rFonts w:eastAsia="Times New Roman" w:cstheme="minorHAnsi"/>
          <w:color w:val="000000" w:themeColor="text1"/>
          <w:lang w:eastAsia="en-GB"/>
        </w:rPr>
        <w:fldChar w:fldCharType="begin" w:fldLock="1"/>
      </w:r>
      <w:r w:rsidR="00821D82">
        <w:rPr>
          <w:rFonts w:eastAsia="Times New Roman" w:cstheme="minorHAnsi"/>
          <w:color w:val="000000" w:themeColor="text1"/>
          <w:lang w:eastAsia="en-GB"/>
        </w:rPr>
        <w:instrText>ADDIN CSL_CITATION {"citationItems":[{"id":"ITEM-1","itemData":{"DOI":"10.1002/14651858.CD007146.PUB3/MEDIA/CDSR/CD007146/IMAGE_N/NCD007146-CMP-025.03.SVG","ISSN":"1469493X","PMID":"22972103","abstract":"Background: Approximately 30% of people over 65 years of age living in the community fall each year. This is an update of a Cochrane review first published in 2009. Objectives: To assess the effects of interventions designed to reduce the incidence of falls in older people living in the community. Search methods: We searched the Cochrane Bone, Joint and Muscle Trauma Group Specialised Register (February 2012), CENTRAL (The Cochrane Library 2012, Issue 3), MEDLINE (1946 to March 2012), EMBASE (1947 to March 2012), CINAHL (1982 to February 2012), and online trial registers. Selection criteria: Randomised trials of interventions to reduce falls in community-dwelling older people. Data collection and analysis: Two review authors independently assessed risk of bias and extracted data. We used a rate ratio (RaR) and 95% confidence interval (CI) to compare the rate of falls (e.g. falls per person year) between intervention and control groups. For risk of falling, we used a risk ratio (RR) and 95% CI based on the number of people falling (fallers) in each group. We pooled data where appropriate. Main results: We included 159 trials with 79,193 participants. Most trials compared a fall prevention intervention with no intervention or an intervention not expected to reduce falls. The most common interventions tested were exercise as a single intervention (59 trials) and multifactorial programmes (40 trials). Sixty-two per cent (99/159) of trials were at low risk of bias for sequence generation, 60% for attrition bias for falls (66/110), 73% for attrition bias for fallers (96/131), and only 38% (60/159) for allocation concealment. Multiple-component group exercise significantly reduced rate of falls (RaR 0.71, 95% CI 0.63 to 0.82; 16 trials; 3622 participants) and risk of falling (RR 0.85, 95% CI 0.76 to 0.96; 22 trials; 5333 participants), as did multiple-component home-based exercise (RaR 0.68, 95% CI 0.58 to 0.80; 7 trials; 951 participants and RR 0.78, 95% CI 0.64 to 0.94; 6 trials; 714 participants). For Tai Chi, the reduction in rate of falls bordered on statistical significance (RaR 0.72, 95% CI 0.52 to 1.00; 5 trials; 1563 participants) but Tai Chi did significantly reduce risk of falling (RR 0.71, 95% CI 0.57 to 0.87; 6 trials; 1625 participants). Overall, exercise interventions significantly reduced the risk of sustaining a fall-related fracture (RR 0.34, 95% CI 0.18 to 0.63; 6 trials; 810 participants). Multifactorial interventions, which include individ…","author":[{"dropping-particle":"","family":"Gillespie","given":"Lesley D.","non-dropping-particle":"","parse-names":false,"suffix":""},{"dropping-particle":"","family":"Robertson","given":"M. Clare","non-dropping-particle":"","parse-names":false,"suffix":""},{"dropping-particle":"","family":"Gillespie","given":"William J.","non-dropping-particle":"","parse-names":false,"suffix":""},{"dropping-particle":"","family":"Sherrington","given":"Catherine","non-dropping-particle":"","parse-names":false,"suffix":""},{"dropping-particle":"","family":"Gates","given":"Simon","non-dropping-particle":"","parse-names":false,"suffix":""},{"dropping-particle":"","family":"Clemson","given":"Lindy M.","non-dropping-particle":"","parse-names":false,"suffix":""},{"dropping-particle":"","family":"Lamb","given":"Sarah E.","non-dropping-particle":"","parse-names":false,"suffix":""}],"container-title":"Cochrane Database of Systematic Reviews","id":"ITEM-1","issue":"9","issued":{"date-parts":[["2012","9","12"]]},"publisher":"John Wiley and Sons Ltd","title":"Interventions for preventing falls in older people living in the community","type":"article-journal","volume":"2012"},"uris":["http://www.mendeley.com/documents/?uuid=67ab0ceb-17f1-335e-8ee7-2d6c4330dd06"]}],"mendeley":{"formattedCitation":"(272)","plainTextFormattedCitation":"(272)","previouslyFormattedCitation":"(272)"},"properties":{"noteIndex":0},"schema":"https://github.com/citation-style-language/schema/raw/master/csl-citation.json"}</w:instrText>
      </w:r>
      <w:r w:rsidRPr="00CA4ABC">
        <w:rPr>
          <w:rFonts w:eastAsia="Times New Roman" w:cstheme="minorHAnsi"/>
          <w:color w:val="000000" w:themeColor="text1"/>
          <w:lang w:eastAsia="en-GB"/>
        </w:rPr>
        <w:fldChar w:fldCharType="separate"/>
      </w:r>
      <w:r w:rsidR="00FF0BCE" w:rsidRPr="00FF0BCE">
        <w:rPr>
          <w:rFonts w:eastAsia="Times New Roman" w:cstheme="minorHAnsi"/>
          <w:noProof/>
          <w:color w:val="000000" w:themeColor="text1"/>
          <w:lang w:eastAsia="en-GB"/>
        </w:rPr>
        <w:t>(272)</w:t>
      </w:r>
      <w:r w:rsidRPr="00CA4ABC">
        <w:rPr>
          <w:rFonts w:eastAsia="Times New Roman" w:cstheme="minorHAnsi"/>
          <w:color w:val="000000" w:themeColor="text1"/>
          <w:lang w:eastAsia="en-GB"/>
        </w:rPr>
        <w:fldChar w:fldCharType="end"/>
      </w:r>
      <w:r w:rsidRPr="00CA4ABC">
        <w:rPr>
          <w:rFonts w:eastAsia="Times New Roman" w:cstheme="minorHAnsi"/>
          <w:color w:val="000000" w:themeColor="text1"/>
          <w:lang w:eastAsia="en-GB"/>
        </w:rPr>
        <w:t xml:space="preserve">. The NHS encourage strength and balance exercises and </w:t>
      </w:r>
      <w:r w:rsidR="002B3093" w:rsidRPr="00CA4ABC">
        <w:rPr>
          <w:rFonts w:eastAsia="Times New Roman" w:cstheme="minorHAnsi"/>
          <w:color w:val="000000" w:themeColor="text1"/>
          <w:lang w:eastAsia="en-GB"/>
        </w:rPr>
        <w:t>has</w:t>
      </w:r>
      <w:r w:rsidRPr="00CA4ABC">
        <w:rPr>
          <w:rFonts w:eastAsia="Times New Roman" w:cstheme="minorHAnsi"/>
          <w:color w:val="000000" w:themeColor="text1"/>
          <w:lang w:eastAsia="en-GB"/>
        </w:rPr>
        <w:t xml:space="preserve"> developed webpage</w:t>
      </w:r>
      <w:r w:rsidR="00C00CE0"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 xml:space="preserve"> with guidance </w:t>
      </w:r>
      <w:r w:rsidR="00C00CE0" w:rsidRPr="00CA4ABC">
        <w:rPr>
          <w:rFonts w:eastAsia="Times New Roman" w:cstheme="minorHAnsi"/>
          <w:color w:val="000000" w:themeColor="text1"/>
          <w:lang w:eastAsia="en-GB"/>
        </w:rPr>
        <w:t xml:space="preserve">about </w:t>
      </w:r>
      <w:r w:rsidRPr="00CA4ABC">
        <w:rPr>
          <w:rFonts w:eastAsia="Times New Roman" w:cstheme="minorHAnsi"/>
          <w:color w:val="000000" w:themeColor="text1"/>
          <w:lang w:eastAsia="en-GB"/>
        </w:rPr>
        <w:t>different exercises individuals can aim to complete at home</w:t>
      </w:r>
      <w:r w:rsidR="00C00CE0" w:rsidRPr="00CA4ABC">
        <w:rPr>
          <w:rFonts w:eastAsia="Times New Roman" w:cstheme="minorHAnsi"/>
          <w:color w:val="000000" w:themeColor="text1"/>
          <w:lang w:eastAsia="en-GB"/>
        </w:rPr>
        <w:t xml:space="preserve"> (</w:t>
      </w:r>
      <w:hyperlink r:id="rId41" w:history="1">
        <w:r w:rsidR="00C00CE0" w:rsidRPr="00CA4ABC">
          <w:rPr>
            <w:rStyle w:val="Hyperlink"/>
            <w:rFonts w:eastAsia="Times New Roman" w:cstheme="minorHAnsi"/>
            <w:lang w:eastAsia="en-GB"/>
          </w:rPr>
          <w:t>https://www.nhs.uk/live-well/exercise/strength-and-flexibility-exercises/balance-exercises/</w:t>
        </w:r>
      </w:hyperlink>
      <w:r w:rsidR="00CC45F0" w:rsidRPr="00CA4ABC">
        <w:rPr>
          <w:rFonts w:eastAsia="Times New Roman" w:cstheme="minorHAnsi"/>
          <w:color w:val="000000" w:themeColor="text1"/>
          <w:lang w:eastAsia="en-GB"/>
        </w:rPr>
        <w:t xml:space="preserve"> and </w:t>
      </w:r>
      <w:hyperlink r:id="rId42" w:history="1">
        <w:r w:rsidR="00CC45F0" w:rsidRPr="00CA4ABC">
          <w:rPr>
            <w:rStyle w:val="Hyperlink"/>
            <w:rFonts w:eastAsia="Times New Roman" w:cstheme="minorHAnsi"/>
            <w:lang w:eastAsia="en-GB"/>
          </w:rPr>
          <w:t>https://www.nhsinform.scot/healthy-living/preventing-falls/keeping-well/strength-and-balance-exercises</w:t>
        </w:r>
      </w:hyperlink>
      <w:r w:rsidR="00CC45F0" w:rsidRPr="00CA4ABC">
        <w:rPr>
          <w:rFonts w:eastAsia="Times New Roman" w:cstheme="minorHAnsi"/>
          <w:color w:val="000000" w:themeColor="text1"/>
          <w:lang w:eastAsia="en-GB"/>
        </w:rPr>
        <w:t>.)</w:t>
      </w:r>
      <w:r w:rsidR="00C00CE0" w:rsidRPr="00CA4ABC">
        <w:rPr>
          <w:rFonts w:eastAsia="Times New Roman" w:cstheme="minorHAnsi"/>
          <w:color w:val="000000" w:themeColor="text1"/>
          <w:lang w:eastAsia="en-GB"/>
        </w:rPr>
        <w:t xml:space="preserve"> </w:t>
      </w:r>
      <w:r w:rsidRPr="00CA4ABC">
        <w:rPr>
          <w:rFonts w:eastAsia="Times New Roman" w:cstheme="minorHAnsi"/>
          <w:color w:val="000000" w:themeColor="text1"/>
          <w:lang w:eastAsia="en-GB"/>
        </w:rPr>
        <w:t>Based on this evidence, it was decided to include a 5</w:t>
      </w:r>
      <w:r w:rsidR="002B3093" w:rsidRPr="00CA4ABC">
        <w:rPr>
          <w:rFonts w:eastAsia="Times New Roman" w:cstheme="minorHAnsi"/>
          <w:color w:val="000000" w:themeColor="text1"/>
          <w:lang w:eastAsia="en-GB"/>
        </w:rPr>
        <w:t>-</w:t>
      </w:r>
      <w:r w:rsidRPr="00CA4ABC">
        <w:rPr>
          <w:rFonts w:eastAsia="Times New Roman" w:cstheme="minorHAnsi"/>
          <w:color w:val="000000" w:themeColor="text1"/>
          <w:lang w:eastAsia="en-GB"/>
        </w:rPr>
        <w:t xml:space="preserve">minute block focusing on each of these elements, at the end of the session, </w:t>
      </w:r>
      <w:r w:rsidR="00C03A77" w:rsidRPr="00CA4ABC">
        <w:rPr>
          <w:rFonts w:eastAsia="Times New Roman" w:cstheme="minorHAnsi"/>
          <w:color w:val="000000" w:themeColor="text1"/>
          <w:lang w:eastAsia="en-GB"/>
        </w:rPr>
        <w:t>before</w:t>
      </w:r>
      <w:r w:rsidRPr="00CA4ABC">
        <w:rPr>
          <w:rFonts w:eastAsia="Times New Roman" w:cstheme="minorHAnsi"/>
          <w:color w:val="000000" w:themeColor="text1"/>
          <w:lang w:eastAsia="en-GB"/>
        </w:rPr>
        <w:t xml:space="preserve"> the cool down. </w:t>
      </w:r>
    </w:p>
    <w:p w14:paraId="09F41593" w14:textId="3A301602"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The </w:t>
      </w:r>
      <w:r w:rsidR="002B3093" w:rsidRPr="00CA4ABC">
        <w:rPr>
          <w:rFonts w:cstheme="minorHAnsi"/>
          <w:color w:val="000000" w:themeColor="text1"/>
        </w:rPr>
        <w:t>session duration</w:t>
      </w:r>
      <w:r w:rsidRPr="00CA4ABC">
        <w:rPr>
          <w:rFonts w:cstheme="minorHAnsi"/>
          <w:color w:val="000000" w:themeColor="text1"/>
        </w:rPr>
        <w:t xml:space="preserve"> </w:t>
      </w:r>
      <w:r w:rsidR="002B3093" w:rsidRPr="00CA4ABC">
        <w:rPr>
          <w:rFonts w:cstheme="minorHAnsi"/>
          <w:color w:val="000000" w:themeColor="text1"/>
        </w:rPr>
        <w:t>was</w:t>
      </w:r>
      <w:r w:rsidRPr="00CA4ABC">
        <w:rPr>
          <w:rFonts w:cstheme="minorHAnsi"/>
          <w:color w:val="000000" w:themeColor="text1"/>
        </w:rPr>
        <w:t xml:space="preserve"> planned to aid convenience and fit with</w:t>
      </w:r>
      <w:r w:rsidR="002B3093" w:rsidRPr="00CA4ABC">
        <w:rPr>
          <w:rFonts w:cstheme="minorHAnsi"/>
          <w:color w:val="000000" w:themeColor="text1"/>
        </w:rPr>
        <w:t xml:space="preserve"> the</w:t>
      </w:r>
      <w:r w:rsidRPr="00CA4ABC">
        <w:rPr>
          <w:rFonts w:cstheme="minorHAnsi"/>
          <w:color w:val="000000" w:themeColor="text1"/>
        </w:rPr>
        <w:t xml:space="preserve"> participant’s daily routines (50</w:t>
      </w:r>
      <w:r w:rsidR="004E290F" w:rsidRPr="00CA4ABC">
        <w:rPr>
          <w:rFonts w:cstheme="minorHAnsi"/>
          <w:color w:val="000000" w:themeColor="text1"/>
        </w:rPr>
        <w:t xml:space="preserve">  </w:t>
      </w:r>
      <w:r w:rsidRPr="00CA4ABC">
        <w:rPr>
          <w:rFonts w:cstheme="minorHAnsi"/>
          <w:color w:val="000000" w:themeColor="text1"/>
        </w:rPr>
        <w:t>minute sessions). Rest time</w:t>
      </w:r>
      <w:r w:rsidR="002B3093" w:rsidRPr="00CA4ABC">
        <w:rPr>
          <w:rFonts w:cstheme="minorHAnsi"/>
          <w:color w:val="000000" w:themeColor="text1"/>
        </w:rPr>
        <w:t xml:space="preserve"> </w:t>
      </w:r>
      <w:r w:rsidR="00B13917" w:rsidRPr="00CA4ABC">
        <w:rPr>
          <w:rFonts w:cstheme="minorHAnsi"/>
          <w:color w:val="000000" w:themeColor="text1"/>
        </w:rPr>
        <w:t>between sets</w:t>
      </w:r>
      <w:r w:rsidRPr="00CA4ABC">
        <w:rPr>
          <w:rFonts w:cstheme="minorHAnsi"/>
          <w:color w:val="000000" w:themeColor="text1"/>
        </w:rPr>
        <w:t xml:space="preserve"> was manipulated as the sessions progressed. </w:t>
      </w:r>
      <w:r w:rsidR="00EB5FEC">
        <w:rPr>
          <w:rFonts w:cstheme="minorHAnsi"/>
          <w:color w:val="000000" w:themeColor="text1"/>
        </w:rPr>
        <w:t>Depending on the rep number, the rest was altered between 30-20 seconds across the weeks</w:t>
      </w:r>
      <w:r w:rsidRPr="00CA4ABC">
        <w:rPr>
          <w:rFonts w:cstheme="minorHAnsi"/>
          <w:color w:val="000000" w:themeColor="text1"/>
        </w:rPr>
        <w:t xml:space="preserve">. </w:t>
      </w:r>
    </w:p>
    <w:p w14:paraId="73EC64DE" w14:textId="7AEBD319"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Participants were encouraged to do </w:t>
      </w:r>
      <w:r w:rsidR="00EB5FEC">
        <w:rPr>
          <w:rFonts w:cstheme="minorHAnsi"/>
          <w:color w:val="000000" w:themeColor="text1"/>
        </w:rPr>
        <w:t>at least</w:t>
      </w:r>
      <w:r w:rsidRPr="00CA4ABC">
        <w:rPr>
          <w:rFonts w:cstheme="minorHAnsi"/>
          <w:color w:val="000000" w:themeColor="text1"/>
        </w:rPr>
        <w:t xml:space="preserve"> 2 weekly sessions, in line with ACSM guidelines for resistance training.  It was suggested that they incorporate rest days between sessions to allow the body to recover and prevent injury f</w:t>
      </w:r>
      <w:r w:rsidR="00B13917" w:rsidRPr="00CA4ABC">
        <w:rPr>
          <w:rFonts w:cstheme="minorHAnsi"/>
          <w:color w:val="000000" w:themeColor="text1"/>
        </w:rPr>
        <w:t>ro</w:t>
      </w:r>
      <w:r w:rsidRPr="00CA4ABC">
        <w:rPr>
          <w:rFonts w:cstheme="minorHAnsi"/>
          <w:color w:val="000000" w:themeColor="text1"/>
        </w:rPr>
        <w:t xml:space="preserve">m </w:t>
      </w:r>
      <w:r w:rsidR="002B3093" w:rsidRPr="00CA4ABC">
        <w:rPr>
          <w:rFonts w:cstheme="minorHAnsi"/>
          <w:color w:val="000000" w:themeColor="text1"/>
        </w:rPr>
        <w:t>overtraining</w:t>
      </w:r>
      <w:r w:rsidRPr="00CA4ABC">
        <w:rPr>
          <w:rFonts w:cstheme="minorHAnsi"/>
          <w:color w:val="000000" w:themeColor="text1"/>
        </w:rPr>
        <w:t xml:space="preserve">. </w:t>
      </w:r>
    </w:p>
    <w:p w14:paraId="7D1E708F" w14:textId="26062ECC" w:rsidR="004C12CF" w:rsidRPr="00CA4ABC" w:rsidRDefault="002B3093" w:rsidP="004053D7">
      <w:pPr>
        <w:spacing w:line="360" w:lineRule="auto"/>
        <w:rPr>
          <w:rFonts w:cstheme="minorHAnsi"/>
          <w:color w:val="000000" w:themeColor="text1"/>
        </w:rPr>
      </w:pPr>
      <w:r w:rsidRPr="00CA4ABC">
        <w:rPr>
          <w:rFonts w:cstheme="minorHAnsi"/>
          <w:color w:val="000000" w:themeColor="text1"/>
        </w:rPr>
        <w:t>S</w:t>
      </w:r>
      <w:r w:rsidR="004C12CF" w:rsidRPr="00CA4ABC">
        <w:rPr>
          <w:rFonts w:cstheme="minorHAnsi"/>
          <w:color w:val="000000" w:themeColor="text1"/>
        </w:rPr>
        <w:t xml:space="preserve">ession </w:t>
      </w:r>
      <w:r w:rsidRPr="00CA4ABC">
        <w:rPr>
          <w:rFonts w:cstheme="minorHAnsi"/>
          <w:color w:val="000000" w:themeColor="text1"/>
        </w:rPr>
        <w:t xml:space="preserve">intensity </w:t>
      </w:r>
      <w:r w:rsidR="004C12CF" w:rsidRPr="00CA4ABC">
        <w:rPr>
          <w:rFonts w:cstheme="minorHAnsi"/>
          <w:color w:val="000000" w:themeColor="text1"/>
        </w:rPr>
        <w:t>was monitored through self-reported ratings of perceived exertion (RPE) using the OMNI-Rise scale (</w:t>
      </w:r>
      <w:r w:rsidR="004C12CF" w:rsidRPr="00CA4ABC">
        <w:rPr>
          <w:rFonts w:cstheme="minorHAnsi"/>
          <w:color w:val="000000" w:themeColor="text1"/>
          <w:highlight w:val="green"/>
        </w:rPr>
        <w:fldChar w:fldCharType="begin"/>
      </w:r>
      <w:r w:rsidR="004C12CF" w:rsidRPr="00CA4ABC">
        <w:rPr>
          <w:rFonts w:cstheme="minorHAnsi"/>
          <w:color w:val="000000" w:themeColor="text1"/>
        </w:rPr>
        <w:instrText xml:space="preserve"> REF _Ref122444395 \h </w:instrText>
      </w:r>
      <w:r w:rsidR="004C12CF" w:rsidRPr="00CA4ABC">
        <w:rPr>
          <w:rFonts w:cstheme="minorHAnsi"/>
          <w:color w:val="000000" w:themeColor="text1"/>
          <w:highlight w:val="green"/>
        </w:rPr>
        <w:instrText xml:space="preserve"> \* MERGEFORMAT </w:instrText>
      </w:r>
      <w:r w:rsidR="004C12CF" w:rsidRPr="00CA4ABC">
        <w:rPr>
          <w:rFonts w:cstheme="minorHAnsi"/>
          <w:color w:val="000000" w:themeColor="text1"/>
          <w:highlight w:val="green"/>
        </w:rPr>
      </w:r>
      <w:r w:rsidR="004C12CF" w:rsidRPr="00CA4ABC">
        <w:rPr>
          <w:rFonts w:cstheme="minorHAnsi"/>
          <w:color w:val="000000" w:themeColor="text1"/>
          <w:highlight w:val="green"/>
        </w:rPr>
        <w:fldChar w:fldCharType="separate"/>
      </w:r>
      <w:r w:rsidR="005D4657" w:rsidRPr="00CA4ABC">
        <w:rPr>
          <w:rFonts w:cstheme="minorHAnsi"/>
          <w:color w:val="000000" w:themeColor="text1"/>
        </w:rPr>
        <w:t xml:space="preserve">Figure </w:t>
      </w:r>
      <w:r w:rsidR="004C12CF" w:rsidRPr="00CA4ABC">
        <w:rPr>
          <w:rFonts w:cstheme="minorHAnsi"/>
          <w:color w:val="000000" w:themeColor="text1"/>
          <w:highlight w:val="green"/>
        </w:rPr>
        <w:fldChar w:fldCharType="end"/>
      </w:r>
      <w:r w:rsidR="00B13917" w:rsidRPr="00CA4ABC">
        <w:rPr>
          <w:rFonts w:cstheme="minorHAnsi"/>
          <w:color w:val="000000" w:themeColor="text1"/>
        </w:rPr>
        <w:t>16</w:t>
      </w:r>
      <w:r w:rsidR="004C12CF" w:rsidRPr="00CA4ABC">
        <w:rPr>
          <w:rFonts w:cstheme="minorHAnsi"/>
          <w:color w:val="000000" w:themeColor="text1"/>
        </w:rPr>
        <w:t>), designed to be used alongside resistance bands. Participants were verbally encourage</w:t>
      </w:r>
      <w:r w:rsidR="00C03A77" w:rsidRPr="00CA4ABC">
        <w:rPr>
          <w:rFonts w:cstheme="minorHAnsi"/>
          <w:color w:val="000000" w:themeColor="text1"/>
        </w:rPr>
        <w:t>d</w:t>
      </w:r>
      <w:r w:rsidR="004C12CF" w:rsidRPr="00CA4ABC">
        <w:rPr>
          <w:rFonts w:cstheme="minorHAnsi"/>
          <w:color w:val="000000" w:themeColor="text1"/>
        </w:rPr>
        <w:t xml:space="preserve"> to achieve a minimum </w:t>
      </w:r>
      <w:r w:rsidR="00B13917" w:rsidRPr="00CA4ABC">
        <w:rPr>
          <w:rFonts w:cstheme="minorHAnsi"/>
          <w:color w:val="000000" w:themeColor="text1"/>
        </w:rPr>
        <w:t xml:space="preserve">RPE </w:t>
      </w:r>
      <w:r w:rsidR="004C12CF" w:rsidRPr="00CA4ABC">
        <w:rPr>
          <w:rFonts w:cstheme="minorHAnsi"/>
          <w:color w:val="000000" w:themeColor="text1"/>
        </w:rPr>
        <w:t xml:space="preserve">of 7-8, per class. This may depend on the individual’s fitness goals, age, capabilities, fitness level and preferences. As such, where possible, modifications were included to appropriately challenge but not </w:t>
      </w:r>
      <w:r w:rsidR="004C12CF" w:rsidRPr="00CA4ABC">
        <w:rPr>
          <w:rFonts w:cstheme="minorHAnsi"/>
          <w:color w:val="000000" w:themeColor="text1"/>
        </w:rPr>
        <w:lastRenderedPageBreak/>
        <w:t xml:space="preserve">overexert an individual. To increase </w:t>
      </w:r>
      <w:r w:rsidRPr="00CA4ABC">
        <w:rPr>
          <w:rFonts w:cstheme="minorHAnsi"/>
          <w:color w:val="000000" w:themeColor="text1"/>
        </w:rPr>
        <w:t xml:space="preserve">the </w:t>
      </w:r>
      <w:r w:rsidR="004C12CF" w:rsidRPr="00CA4ABC">
        <w:rPr>
          <w:rFonts w:cstheme="minorHAnsi"/>
          <w:color w:val="000000" w:themeColor="text1"/>
        </w:rPr>
        <w:t xml:space="preserve">intensity, by working against more resistance, the colour of the band could be modified.  </w:t>
      </w:r>
    </w:p>
    <w:p w14:paraId="62C4C73F" w14:textId="7F288351" w:rsidR="002B439C" w:rsidRDefault="004C12CF" w:rsidP="002B439C">
      <w:pPr>
        <w:keepNext/>
        <w:spacing w:before="100" w:beforeAutospacing="1" w:after="100" w:afterAutospacing="1" w:line="360" w:lineRule="auto"/>
      </w:pPr>
      <w:r w:rsidRPr="00CA4ABC">
        <w:rPr>
          <w:rFonts w:cstheme="minorHAnsi"/>
          <w:color w:val="000000" w:themeColor="text1"/>
        </w:rPr>
        <w:fldChar w:fldCharType="begin"/>
      </w:r>
      <w:r w:rsidRPr="00CA4ABC">
        <w:rPr>
          <w:rFonts w:cstheme="minorHAnsi"/>
          <w:color w:val="000000" w:themeColor="text1"/>
        </w:rPr>
        <w:instrText xml:space="preserve"> INCLUDEPICTURE "https://www.researchgate.net/publication/339537195/figure/fig1/AS:863221460262917@1582819442294/OMNI-Resistance-Exercise-Scale-of-perceived-exertion-with-TheraBand-resistance-bands.png" \* MERGEFORMATINET </w:instrText>
      </w:r>
      <w:r w:rsidRPr="00CA4ABC">
        <w:rPr>
          <w:rFonts w:cstheme="minorHAnsi"/>
          <w:color w:val="000000" w:themeColor="text1"/>
        </w:rPr>
        <w:fldChar w:fldCharType="separate"/>
      </w:r>
      <w:r w:rsidRPr="00CA4ABC">
        <w:rPr>
          <w:rFonts w:cstheme="minorHAnsi"/>
          <w:noProof/>
          <w:color w:val="000000" w:themeColor="text1"/>
        </w:rPr>
        <w:drawing>
          <wp:inline distT="0" distB="0" distL="0" distR="0" wp14:anchorId="755E8AC7" wp14:editId="5557A61D">
            <wp:extent cx="5408023" cy="4022442"/>
            <wp:effectExtent l="0" t="0" r="2540" b="3810"/>
            <wp:docPr id="73" name="Picture 73" descr="OMNI-Resistance Exercise Scale of perceived exertion with TheraBan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MNI-Resistance Exercise Scale of perceived exertion with TheraBand... |  Download Scientific Diagra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13525" cy="4026534"/>
                    </a:xfrm>
                    <a:prstGeom prst="rect">
                      <a:avLst/>
                    </a:prstGeom>
                    <a:noFill/>
                    <a:ln>
                      <a:noFill/>
                    </a:ln>
                  </pic:spPr>
                </pic:pic>
              </a:graphicData>
            </a:graphic>
          </wp:inline>
        </w:drawing>
      </w:r>
      <w:r w:rsidRPr="00CA4ABC">
        <w:rPr>
          <w:rFonts w:cstheme="minorHAnsi"/>
          <w:color w:val="000000" w:themeColor="text1"/>
        </w:rPr>
        <w:fldChar w:fldCharType="end"/>
      </w:r>
    </w:p>
    <w:p w14:paraId="59D4A099" w14:textId="34D002BE" w:rsidR="004C12CF" w:rsidRPr="002B439C" w:rsidRDefault="002B439C" w:rsidP="002B439C">
      <w:pPr>
        <w:pStyle w:val="Caption"/>
        <w:rPr>
          <w:color w:val="000000" w:themeColor="text1"/>
          <w:sz w:val="24"/>
          <w:szCs w:val="24"/>
        </w:rPr>
      </w:pPr>
      <w:bookmarkStart w:id="224" w:name="_Toc127978477"/>
      <w:r w:rsidRPr="002B439C">
        <w:rPr>
          <w:color w:val="000000" w:themeColor="text1"/>
          <w:sz w:val="24"/>
          <w:szCs w:val="24"/>
        </w:rPr>
        <w:t xml:space="preserve">Figure </w:t>
      </w:r>
      <w:r w:rsidRPr="002B439C">
        <w:rPr>
          <w:color w:val="000000" w:themeColor="text1"/>
          <w:sz w:val="24"/>
          <w:szCs w:val="24"/>
        </w:rPr>
        <w:fldChar w:fldCharType="begin"/>
      </w:r>
      <w:r w:rsidRPr="002B439C">
        <w:rPr>
          <w:color w:val="000000" w:themeColor="text1"/>
          <w:sz w:val="24"/>
          <w:szCs w:val="24"/>
        </w:rPr>
        <w:instrText xml:space="preserve"> SEQ Figure \* ARABIC </w:instrText>
      </w:r>
      <w:r w:rsidRPr="002B439C">
        <w:rPr>
          <w:color w:val="000000" w:themeColor="text1"/>
          <w:sz w:val="24"/>
          <w:szCs w:val="24"/>
        </w:rPr>
        <w:fldChar w:fldCharType="separate"/>
      </w:r>
      <w:r>
        <w:rPr>
          <w:noProof/>
          <w:color w:val="000000" w:themeColor="text1"/>
          <w:sz w:val="24"/>
          <w:szCs w:val="24"/>
        </w:rPr>
        <w:t>17</w:t>
      </w:r>
      <w:r w:rsidRPr="002B439C">
        <w:rPr>
          <w:color w:val="000000" w:themeColor="text1"/>
          <w:sz w:val="24"/>
          <w:szCs w:val="24"/>
        </w:rPr>
        <w:fldChar w:fldCharType="end"/>
      </w:r>
      <w:r w:rsidR="00A27797" w:rsidRPr="002B439C">
        <w:rPr>
          <w:rFonts w:cstheme="minorHAnsi"/>
          <w:color w:val="000000" w:themeColor="text1"/>
          <w:sz w:val="24"/>
          <w:szCs w:val="24"/>
        </w:rPr>
        <w:t xml:space="preserve">. </w:t>
      </w:r>
      <w:r w:rsidR="004C12CF" w:rsidRPr="002B439C">
        <w:rPr>
          <w:rFonts w:eastAsia="Times New Roman" w:cstheme="minorHAnsi"/>
          <w:color w:val="000000" w:themeColor="text1"/>
          <w:sz w:val="24"/>
          <w:szCs w:val="24"/>
          <w:lang w:eastAsia="en-GB"/>
        </w:rPr>
        <w:t xml:space="preserve">OMNI-RISE scale which was used to rate </w:t>
      </w:r>
      <w:r w:rsidR="002B3093" w:rsidRPr="002B439C">
        <w:rPr>
          <w:rFonts w:eastAsia="Times New Roman" w:cstheme="minorHAnsi"/>
          <w:color w:val="000000" w:themeColor="text1"/>
          <w:sz w:val="24"/>
          <w:szCs w:val="24"/>
          <w:lang w:eastAsia="en-GB"/>
        </w:rPr>
        <w:t xml:space="preserve">the </w:t>
      </w:r>
      <w:r w:rsidR="004C12CF" w:rsidRPr="002B439C">
        <w:rPr>
          <w:rFonts w:eastAsia="Times New Roman" w:cstheme="minorHAnsi"/>
          <w:color w:val="000000" w:themeColor="text1"/>
          <w:sz w:val="24"/>
          <w:szCs w:val="24"/>
          <w:lang w:eastAsia="en-GB"/>
        </w:rPr>
        <w:t>intensity of the resistance exercise session</w:t>
      </w:r>
      <w:r w:rsidR="00B13917" w:rsidRPr="002B439C">
        <w:rPr>
          <w:rFonts w:eastAsia="Times New Roman" w:cstheme="minorHAnsi"/>
          <w:color w:val="000000" w:themeColor="text1"/>
          <w:sz w:val="24"/>
          <w:szCs w:val="24"/>
          <w:lang w:eastAsia="en-GB"/>
        </w:rPr>
        <w:t>, after the workout, and provide</w:t>
      </w:r>
      <w:r w:rsidR="00C03A77" w:rsidRPr="002B439C">
        <w:rPr>
          <w:rFonts w:eastAsia="Times New Roman" w:cstheme="minorHAnsi"/>
          <w:color w:val="000000" w:themeColor="text1"/>
          <w:sz w:val="24"/>
          <w:szCs w:val="24"/>
          <w:lang w:eastAsia="en-GB"/>
        </w:rPr>
        <w:t>d</w:t>
      </w:r>
      <w:r w:rsidR="00B13917" w:rsidRPr="002B439C">
        <w:rPr>
          <w:rFonts w:eastAsia="Times New Roman" w:cstheme="minorHAnsi"/>
          <w:color w:val="000000" w:themeColor="text1"/>
          <w:sz w:val="24"/>
          <w:szCs w:val="24"/>
          <w:lang w:eastAsia="en-GB"/>
        </w:rPr>
        <w:t xml:space="preserve"> in their log</w:t>
      </w:r>
      <w:r w:rsidR="00C03A77" w:rsidRPr="002B439C">
        <w:rPr>
          <w:rFonts w:eastAsia="Times New Roman" w:cstheme="minorHAnsi"/>
          <w:color w:val="000000" w:themeColor="text1"/>
          <w:sz w:val="24"/>
          <w:szCs w:val="24"/>
          <w:lang w:eastAsia="en-GB"/>
        </w:rPr>
        <w:t xml:space="preserve"> </w:t>
      </w:r>
      <w:r w:rsidR="00B13917" w:rsidRPr="002B439C">
        <w:rPr>
          <w:rFonts w:eastAsia="Times New Roman" w:cstheme="minorHAnsi"/>
          <w:color w:val="000000" w:themeColor="text1"/>
          <w:sz w:val="24"/>
          <w:szCs w:val="24"/>
          <w:lang w:eastAsia="en-GB"/>
        </w:rPr>
        <w:t>books</w:t>
      </w:r>
      <w:r w:rsidR="004C12CF" w:rsidRPr="002B439C">
        <w:rPr>
          <w:rFonts w:eastAsia="Times New Roman" w:cstheme="minorHAnsi"/>
          <w:color w:val="000000" w:themeColor="text1"/>
          <w:sz w:val="24"/>
          <w:szCs w:val="24"/>
          <w:lang w:eastAsia="en-GB"/>
        </w:rPr>
        <w:t>.</w:t>
      </w:r>
      <w:bookmarkEnd w:id="224"/>
    </w:p>
    <w:p w14:paraId="16019CC3" w14:textId="608DF741" w:rsidR="00E8340C" w:rsidRPr="00CA4ABC" w:rsidRDefault="004C12CF" w:rsidP="00E8340C">
      <w:pPr>
        <w:pStyle w:val="Heading3"/>
        <w:spacing w:line="360" w:lineRule="auto"/>
        <w:rPr>
          <w:rFonts w:asciiTheme="minorHAnsi" w:eastAsia="Times New Roman" w:hAnsiTheme="minorHAnsi" w:cstheme="minorHAnsi"/>
          <w:color w:val="000000" w:themeColor="text1"/>
        </w:rPr>
      </w:pPr>
      <w:bookmarkStart w:id="225" w:name="_Toc135384342"/>
      <w:r w:rsidRPr="00CA4ABC">
        <w:rPr>
          <w:rFonts w:asciiTheme="minorHAnsi" w:eastAsia="Times New Roman" w:hAnsiTheme="minorHAnsi" w:cstheme="minorHAnsi"/>
          <w:color w:val="000000" w:themeColor="text1"/>
        </w:rPr>
        <w:lastRenderedPageBreak/>
        <w:t xml:space="preserve">5.2.4 Final </w:t>
      </w:r>
      <w:r w:rsidR="008E6345" w:rsidRPr="00CA4ABC">
        <w:rPr>
          <w:rFonts w:asciiTheme="minorHAnsi" w:eastAsia="Times New Roman" w:hAnsiTheme="minorHAnsi" w:cstheme="minorHAnsi"/>
          <w:color w:val="000000" w:themeColor="text1"/>
        </w:rPr>
        <w:t>S</w:t>
      </w:r>
      <w:r w:rsidRPr="00CA4ABC">
        <w:rPr>
          <w:rFonts w:asciiTheme="minorHAnsi" w:eastAsia="Times New Roman" w:hAnsiTheme="minorHAnsi" w:cstheme="minorHAnsi"/>
          <w:color w:val="000000" w:themeColor="text1"/>
        </w:rPr>
        <w:t>tudy Design</w:t>
      </w:r>
      <w:bookmarkEnd w:id="225"/>
    </w:p>
    <w:p w14:paraId="2BFC6646" w14:textId="7F98E0FF" w:rsidR="004C12CF" w:rsidRPr="00CA4ABC" w:rsidRDefault="004C12CF" w:rsidP="00E8340C">
      <w:pPr>
        <w:pStyle w:val="Heading3"/>
        <w:spacing w:line="360" w:lineRule="auto"/>
        <w:ind w:firstLine="720"/>
        <w:rPr>
          <w:rFonts w:asciiTheme="minorHAnsi" w:eastAsia="Times New Roman" w:hAnsiTheme="minorHAnsi" w:cstheme="minorHAnsi"/>
          <w:b/>
          <w:bCs/>
          <w:color w:val="000000" w:themeColor="text1"/>
        </w:rPr>
      </w:pPr>
      <w:bookmarkStart w:id="226" w:name="_Toc125879938"/>
      <w:bookmarkStart w:id="227" w:name="_Toc127044444"/>
      <w:bookmarkStart w:id="228" w:name="_Toc127527477"/>
      <w:bookmarkStart w:id="229" w:name="_Toc127967633"/>
      <w:bookmarkStart w:id="230" w:name="_Toc135384343"/>
      <w:r w:rsidRPr="00CA4ABC">
        <w:rPr>
          <w:rFonts w:asciiTheme="minorHAnsi" w:eastAsia="Times New Roman" w:hAnsiTheme="minorHAnsi" w:cstheme="minorHAnsi"/>
          <w:color w:val="000000" w:themeColor="text1"/>
        </w:rPr>
        <w:t>This was a 3-armed randomised parallel design feasibility study. Participants were randomly assigned to one of three intervention arms using an online generator (http://www.randomization.com/accessed: 01.02.22). The three arms of the trial were: i) exercise-only intervention, ii) exercise intervention and one protein supplement/day (15g PRO), to be taken alongside the mid-day meal, iii) exercise intervention and two protein supplement/day (30g PRO); one to be taken alongside the morning meal and one to be taking with the mid-day meal. Overall, the intervention period lasted 6</w:t>
      </w:r>
      <w:r w:rsidR="00C03A77" w:rsidRPr="00CA4ABC">
        <w:rPr>
          <w:rFonts w:asciiTheme="minorHAnsi" w:eastAsia="Times New Roman" w:hAnsiTheme="minorHAnsi" w:cstheme="minorHAnsi"/>
          <w:color w:val="000000" w:themeColor="text1"/>
        </w:rPr>
        <w:t xml:space="preserve"> </w:t>
      </w:r>
      <w:r w:rsidRPr="00CA4ABC">
        <w:rPr>
          <w:rFonts w:asciiTheme="minorHAnsi" w:eastAsia="Times New Roman" w:hAnsiTheme="minorHAnsi" w:cstheme="minorHAnsi"/>
          <w:color w:val="000000" w:themeColor="text1"/>
        </w:rPr>
        <w:t xml:space="preserve">weeks and participants reported to the researcher </w:t>
      </w:r>
      <w:r w:rsidR="00C03A77" w:rsidRPr="00CA4ABC">
        <w:rPr>
          <w:rFonts w:asciiTheme="minorHAnsi" w:eastAsia="Times New Roman" w:hAnsiTheme="minorHAnsi" w:cstheme="minorHAnsi"/>
          <w:color w:val="000000" w:themeColor="text1"/>
        </w:rPr>
        <w:t>before</w:t>
      </w:r>
      <w:r w:rsidRPr="00CA4ABC">
        <w:rPr>
          <w:rFonts w:asciiTheme="minorHAnsi" w:eastAsia="Times New Roman" w:hAnsiTheme="minorHAnsi" w:cstheme="minorHAnsi"/>
          <w:color w:val="000000" w:themeColor="text1"/>
        </w:rPr>
        <w:t xml:space="preserve"> the start of the trial (week 0) and after the competition of the 6-week programme (week 7+.) </w:t>
      </w:r>
      <w:r w:rsidRPr="00CA4ABC">
        <w:rPr>
          <w:rFonts w:asciiTheme="minorHAnsi" w:hAnsiTheme="minorHAnsi" w:cstheme="minorHAnsi"/>
          <w:color w:val="000000" w:themeColor="text1"/>
        </w:rPr>
        <w:t>Mitigation strategies were also put in place to allow for COVID-19 restriction changes.</w:t>
      </w:r>
      <w:bookmarkEnd w:id="226"/>
      <w:bookmarkEnd w:id="227"/>
      <w:bookmarkEnd w:id="228"/>
      <w:bookmarkEnd w:id="229"/>
      <w:bookmarkEnd w:id="230"/>
      <w:r w:rsidRPr="00CA4ABC">
        <w:rPr>
          <w:rFonts w:asciiTheme="minorHAnsi" w:hAnsiTheme="minorHAnsi" w:cstheme="minorHAnsi"/>
          <w:color w:val="000000" w:themeColor="text1"/>
        </w:rPr>
        <w:t xml:space="preserve"> </w:t>
      </w:r>
    </w:p>
    <w:p w14:paraId="0CEC5ADB" w14:textId="77777777" w:rsidR="004C12CF" w:rsidRPr="00CA4ABC" w:rsidRDefault="004C12CF" w:rsidP="004053D7">
      <w:pPr>
        <w:shd w:val="clear" w:color="auto" w:fill="FFFFFF"/>
        <w:spacing w:before="100" w:beforeAutospacing="1" w:after="100" w:afterAutospacing="1" w:line="360" w:lineRule="auto"/>
        <w:rPr>
          <w:rFonts w:cstheme="minorHAnsi"/>
          <w:color w:val="000000" w:themeColor="text1"/>
        </w:rPr>
      </w:pPr>
      <w:r w:rsidRPr="00CA4ABC">
        <w:rPr>
          <w:rFonts w:cstheme="minorHAnsi"/>
          <w:color w:val="000000" w:themeColor="text1"/>
        </w:rPr>
        <w:t>During the six weeks intervention period, participants were asked to document study engagement using logbooks specifically designed for the trial (appendix 14.) These were personalised to reflect their study randomisation arm.</w:t>
      </w:r>
    </w:p>
    <w:p w14:paraId="62664BB6" w14:textId="408A4694" w:rsidR="004C12CF" w:rsidRPr="00CA4ABC" w:rsidRDefault="004C12CF" w:rsidP="004053D7">
      <w:pPr>
        <w:shd w:val="clear" w:color="auto" w:fill="FFFFFF"/>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The study was designed to assess the acceptability, adherence</w:t>
      </w:r>
      <w:r w:rsidR="00C03A77" w:rsidRPr="00CA4ABC">
        <w:rPr>
          <w:rFonts w:eastAsia="Times New Roman" w:cstheme="minorHAnsi"/>
          <w:color w:val="000000" w:themeColor="text1"/>
          <w:lang w:eastAsia="en-GB"/>
        </w:rPr>
        <w:t xml:space="preserve"> </w:t>
      </w:r>
      <w:r w:rsidRPr="00CA4ABC">
        <w:rPr>
          <w:rFonts w:eastAsia="Times New Roman" w:cstheme="minorHAnsi"/>
          <w:color w:val="000000" w:themeColor="text1"/>
          <w:lang w:eastAsia="en-GB"/>
        </w:rPr>
        <w:t xml:space="preserve">rates and feasibility of a remotely delivered exercise programme, with or without a nutrition intervention for six weeks. </w:t>
      </w:r>
      <w:r w:rsidRPr="00CA4ABC">
        <w:rPr>
          <w:rFonts w:eastAsia="Times New Roman" w:cstheme="minorHAnsi"/>
          <w:color w:val="000000" w:themeColor="text1"/>
          <w:lang w:eastAsia="en-GB"/>
        </w:rPr>
        <w:fldChar w:fldCharType="begin"/>
      </w:r>
      <w:r w:rsidRPr="00CA4ABC">
        <w:rPr>
          <w:rFonts w:eastAsia="Times New Roman" w:cstheme="minorHAnsi"/>
          <w:color w:val="000000" w:themeColor="text1"/>
          <w:lang w:eastAsia="en-GB"/>
        </w:rPr>
        <w:instrText xml:space="preserve"> REF _Ref122444581 \h  \* MERGEFORMAT </w:instrText>
      </w:r>
      <w:r w:rsidRPr="00CA4ABC">
        <w:rPr>
          <w:rFonts w:eastAsia="Times New Roman" w:cstheme="minorHAnsi"/>
          <w:color w:val="000000" w:themeColor="text1"/>
          <w:lang w:eastAsia="en-GB"/>
        </w:rPr>
      </w:r>
      <w:r w:rsidRPr="00CA4ABC">
        <w:rPr>
          <w:rFonts w:eastAsia="Times New Roman" w:cstheme="minorHAnsi"/>
          <w:color w:val="000000" w:themeColor="text1"/>
          <w:lang w:eastAsia="en-GB"/>
        </w:rPr>
        <w:fldChar w:fldCharType="separate"/>
      </w:r>
      <w:r w:rsidR="005D4657" w:rsidRPr="00CA4ABC">
        <w:rPr>
          <w:rFonts w:cstheme="minorHAnsi"/>
          <w:color w:val="000000" w:themeColor="text1"/>
        </w:rPr>
        <w:t xml:space="preserve">Figure </w:t>
      </w:r>
      <w:r w:rsidRPr="00CA4ABC">
        <w:rPr>
          <w:rFonts w:eastAsia="Times New Roman" w:cstheme="minorHAnsi"/>
          <w:color w:val="000000" w:themeColor="text1"/>
          <w:lang w:eastAsia="en-GB"/>
        </w:rPr>
        <w:fldChar w:fldCharType="end"/>
      </w:r>
      <w:r w:rsidR="00D24B5A" w:rsidRPr="00CA4ABC">
        <w:rPr>
          <w:rFonts w:eastAsia="Times New Roman" w:cstheme="minorHAnsi"/>
          <w:color w:val="000000" w:themeColor="text1"/>
          <w:lang w:eastAsia="en-GB"/>
        </w:rPr>
        <w:t>17</w:t>
      </w:r>
      <w:r w:rsidRPr="00CA4ABC">
        <w:rPr>
          <w:rFonts w:eastAsia="Times New Roman" w:cstheme="minorHAnsi"/>
          <w:color w:val="000000" w:themeColor="text1"/>
          <w:lang w:eastAsia="en-GB"/>
        </w:rPr>
        <w:t xml:space="preserve"> provides an overview of the trial methods. </w:t>
      </w:r>
    </w:p>
    <w:p w14:paraId="09738240" w14:textId="77777777" w:rsidR="004C12CF" w:rsidRPr="00CA4ABC" w:rsidRDefault="004C12CF" w:rsidP="004053D7">
      <w:pPr>
        <w:shd w:val="clear" w:color="auto" w:fill="FFFFFF"/>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noProof/>
          <w:color w:val="000000" w:themeColor="text1"/>
          <w:lang w:eastAsia="en-GB"/>
        </w:rPr>
        <w:drawing>
          <wp:inline distT="0" distB="0" distL="0" distR="0" wp14:anchorId="765D053B" wp14:editId="4366A0BC">
            <wp:extent cx="5538651" cy="3098452"/>
            <wp:effectExtent l="0" t="0" r="0" b="635"/>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555386" cy="3107814"/>
                    </a:xfrm>
                    <a:prstGeom prst="rect">
                      <a:avLst/>
                    </a:prstGeom>
                  </pic:spPr>
                </pic:pic>
              </a:graphicData>
            </a:graphic>
          </wp:inline>
        </w:drawing>
      </w:r>
    </w:p>
    <w:p w14:paraId="2F5891C4" w14:textId="7589A4D5" w:rsidR="004C12CF" w:rsidRPr="002B439C" w:rsidRDefault="002B439C" w:rsidP="002B439C">
      <w:pPr>
        <w:pStyle w:val="Caption"/>
        <w:rPr>
          <w:i w:val="0"/>
          <w:iCs w:val="0"/>
          <w:color w:val="000000" w:themeColor="text1"/>
          <w:sz w:val="24"/>
          <w:szCs w:val="24"/>
        </w:rPr>
      </w:pPr>
      <w:bookmarkStart w:id="231" w:name="_Toc127978478"/>
      <w:r w:rsidRPr="002B439C">
        <w:rPr>
          <w:i w:val="0"/>
          <w:iCs w:val="0"/>
          <w:color w:val="000000" w:themeColor="text1"/>
          <w:sz w:val="24"/>
          <w:szCs w:val="24"/>
        </w:rPr>
        <w:t xml:space="preserve">Figure </w:t>
      </w:r>
      <w:r w:rsidRPr="002B439C">
        <w:rPr>
          <w:i w:val="0"/>
          <w:iCs w:val="0"/>
          <w:color w:val="000000" w:themeColor="text1"/>
          <w:sz w:val="24"/>
          <w:szCs w:val="24"/>
        </w:rPr>
        <w:fldChar w:fldCharType="begin"/>
      </w:r>
      <w:r w:rsidRPr="002B439C">
        <w:rPr>
          <w:i w:val="0"/>
          <w:iCs w:val="0"/>
          <w:color w:val="000000" w:themeColor="text1"/>
          <w:sz w:val="24"/>
          <w:szCs w:val="24"/>
        </w:rPr>
        <w:instrText xml:space="preserve"> SEQ Figure \* ARABIC </w:instrText>
      </w:r>
      <w:r w:rsidRPr="002B439C">
        <w:rPr>
          <w:i w:val="0"/>
          <w:iCs w:val="0"/>
          <w:color w:val="000000" w:themeColor="text1"/>
          <w:sz w:val="24"/>
          <w:szCs w:val="24"/>
        </w:rPr>
        <w:fldChar w:fldCharType="separate"/>
      </w:r>
      <w:r w:rsidRPr="002B439C">
        <w:rPr>
          <w:i w:val="0"/>
          <w:iCs w:val="0"/>
          <w:noProof/>
          <w:color w:val="000000" w:themeColor="text1"/>
          <w:sz w:val="24"/>
          <w:szCs w:val="24"/>
        </w:rPr>
        <w:t>18</w:t>
      </w:r>
      <w:r w:rsidRPr="002B439C">
        <w:rPr>
          <w:i w:val="0"/>
          <w:iCs w:val="0"/>
          <w:color w:val="000000" w:themeColor="text1"/>
          <w:sz w:val="24"/>
          <w:szCs w:val="24"/>
        </w:rPr>
        <w:fldChar w:fldCharType="end"/>
      </w:r>
      <w:r w:rsidR="00A27797" w:rsidRPr="002B439C">
        <w:rPr>
          <w:rFonts w:cstheme="minorHAnsi"/>
          <w:i w:val="0"/>
          <w:iCs w:val="0"/>
          <w:color w:val="000000" w:themeColor="text1"/>
          <w:sz w:val="24"/>
          <w:szCs w:val="24"/>
        </w:rPr>
        <w:t xml:space="preserve">. </w:t>
      </w:r>
      <w:r w:rsidR="004C12CF" w:rsidRPr="002B439C">
        <w:rPr>
          <w:rFonts w:cstheme="minorHAnsi"/>
          <w:i w:val="0"/>
          <w:iCs w:val="0"/>
          <w:color w:val="000000" w:themeColor="text1"/>
          <w:sz w:val="24"/>
          <w:szCs w:val="24"/>
        </w:rPr>
        <w:t>REMEND feasibility trial study design.</w:t>
      </w:r>
      <w:bookmarkEnd w:id="231"/>
    </w:p>
    <w:p w14:paraId="73DCCEBD" w14:textId="3F3DE8F4" w:rsidR="004C12CF" w:rsidRPr="00CA4ABC" w:rsidRDefault="004C12CF" w:rsidP="004053D7">
      <w:pPr>
        <w:pStyle w:val="Heading3"/>
        <w:spacing w:line="360" w:lineRule="auto"/>
        <w:rPr>
          <w:rFonts w:asciiTheme="minorHAnsi" w:eastAsia="Times New Roman" w:hAnsiTheme="minorHAnsi" w:cstheme="minorHAnsi"/>
          <w:b/>
          <w:bCs/>
          <w:color w:val="000000" w:themeColor="text1"/>
        </w:rPr>
      </w:pPr>
      <w:bookmarkStart w:id="232" w:name="_Toc135384344"/>
      <w:r w:rsidRPr="00CA4ABC">
        <w:rPr>
          <w:rFonts w:asciiTheme="minorHAnsi" w:eastAsia="Times New Roman" w:hAnsiTheme="minorHAnsi" w:cstheme="minorHAnsi"/>
          <w:color w:val="000000" w:themeColor="text1"/>
        </w:rPr>
        <w:lastRenderedPageBreak/>
        <w:t>5.2.5 Study interventions</w:t>
      </w:r>
      <w:bookmarkEnd w:id="232"/>
    </w:p>
    <w:p w14:paraId="79D3CFBB" w14:textId="55AD16A8" w:rsidR="00E8340C" w:rsidRPr="00CA4ABC" w:rsidRDefault="004C12CF" w:rsidP="00E8340C">
      <w:pPr>
        <w:pStyle w:val="Heading3"/>
        <w:spacing w:line="360" w:lineRule="auto"/>
        <w:rPr>
          <w:rFonts w:asciiTheme="minorHAnsi" w:eastAsia="Times New Roman" w:hAnsiTheme="minorHAnsi" w:cstheme="minorHAnsi"/>
          <w:color w:val="000000" w:themeColor="text1"/>
        </w:rPr>
      </w:pPr>
      <w:bookmarkStart w:id="233" w:name="_Toc135384345"/>
      <w:r w:rsidRPr="00CA4ABC">
        <w:rPr>
          <w:rFonts w:asciiTheme="minorHAnsi" w:eastAsia="Times New Roman" w:hAnsiTheme="minorHAnsi" w:cstheme="minorHAnsi"/>
          <w:color w:val="000000" w:themeColor="text1"/>
        </w:rPr>
        <w:t>5.2.5.1 Exercise intervention</w:t>
      </w:r>
      <w:bookmarkEnd w:id="233"/>
    </w:p>
    <w:p w14:paraId="4A94C2B3" w14:textId="071A3B34" w:rsidR="004C12CF" w:rsidRPr="00CA4ABC" w:rsidRDefault="004C12CF" w:rsidP="008312F6">
      <w:pPr>
        <w:pStyle w:val="Heading3"/>
        <w:spacing w:line="360" w:lineRule="auto"/>
        <w:ind w:firstLine="720"/>
        <w:rPr>
          <w:rFonts w:asciiTheme="minorHAnsi" w:eastAsia="Times New Roman" w:hAnsiTheme="minorHAnsi" w:cstheme="minorHAnsi"/>
          <w:i/>
          <w:iCs/>
          <w:color w:val="000000" w:themeColor="text1"/>
        </w:rPr>
      </w:pPr>
      <w:bookmarkStart w:id="234" w:name="_Toc125879941"/>
      <w:bookmarkStart w:id="235" w:name="_Toc127044447"/>
      <w:bookmarkStart w:id="236" w:name="_Toc127527480"/>
      <w:bookmarkStart w:id="237" w:name="_Toc127967636"/>
      <w:bookmarkStart w:id="238" w:name="_Toc135384346"/>
      <w:r w:rsidRPr="00CA4ABC">
        <w:rPr>
          <w:rFonts w:asciiTheme="minorHAnsi" w:eastAsia="Times New Roman" w:hAnsiTheme="minorHAnsi" w:cstheme="minorHAnsi"/>
          <w:color w:val="000000" w:themeColor="text1"/>
        </w:rPr>
        <w:t xml:space="preserve">Readiness and safety to </w:t>
      </w:r>
      <w:r w:rsidR="002B3093" w:rsidRPr="00CA4ABC">
        <w:rPr>
          <w:rFonts w:asciiTheme="minorHAnsi" w:eastAsia="Times New Roman" w:hAnsiTheme="minorHAnsi" w:cstheme="minorHAnsi"/>
          <w:color w:val="000000" w:themeColor="text1"/>
        </w:rPr>
        <w:t>engage</w:t>
      </w:r>
      <w:r w:rsidRPr="00CA4ABC">
        <w:rPr>
          <w:rFonts w:asciiTheme="minorHAnsi" w:eastAsia="Times New Roman" w:hAnsiTheme="minorHAnsi" w:cstheme="minorHAnsi"/>
          <w:color w:val="000000" w:themeColor="text1"/>
        </w:rPr>
        <w:t xml:space="preserve"> in exercise </w:t>
      </w:r>
      <w:r w:rsidR="002B3093" w:rsidRPr="00CA4ABC">
        <w:rPr>
          <w:rFonts w:asciiTheme="minorHAnsi" w:eastAsia="Times New Roman" w:hAnsiTheme="minorHAnsi" w:cstheme="minorHAnsi"/>
          <w:color w:val="000000" w:themeColor="text1"/>
        </w:rPr>
        <w:t>were</w:t>
      </w:r>
      <w:r w:rsidRPr="00CA4ABC">
        <w:rPr>
          <w:rFonts w:asciiTheme="minorHAnsi" w:eastAsia="Times New Roman" w:hAnsiTheme="minorHAnsi" w:cstheme="minorHAnsi"/>
          <w:color w:val="000000" w:themeColor="text1"/>
        </w:rPr>
        <w:t xml:space="preserve"> check</w:t>
      </w:r>
      <w:r w:rsidR="002B3093" w:rsidRPr="00CA4ABC">
        <w:rPr>
          <w:rFonts w:asciiTheme="minorHAnsi" w:eastAsia="Times New Roman" w:hAnsiTheme="minorHAnsi" w:cstheme="minorHAnsi"/>
          <w:color w:val="000000" w:themeColor="text1"/>
        </w:rPr>
        <w:t>ed</w:t>
      </w:r>
      <w:r w:rsidRPr="00CA4ABC">
        <w:rPr>
          <w:rFonts w:asciiTheme="minorHAnsi" w:eastAsia="Times New Roman" w:hAnsiTheme="minorHAnsi" w:cstheme="minorHAnsi"/>
          <w:color w:val="000000" w:themeColor="text1"/>
        </w:rPr>
        <w:t xml:space="preserve"> with participants using PAR-Q form</w:t>
      </w:r>
      <w:r w:rsidR="00462AEA" w:rsidRPr="00CA4ABC">
        <w:rPr>
          <w:rFonts w:asciiTheme="minorHAnsi" w:eastAsia="Times New Roman" w:hAnsiTheme="minorHAnsi" w:cstheme="minorHAnsi"/>
          <w:color w:val="000000" w:themeColor="text1"/>
        </w:rPr>
        <w:t>s</w:t>
      </w:r>
      <w:r w:rsidRPr="00CA4ABC">
        <w:rPr>
          <w:rFonts w:asciiTheme="minorHAnsi" w:eastAsia="Times New Roman" w:hAnsiTheme="minorHAnsi" w:cstheme="minorHAnsi"/>
          <w:color w:val="000000" w:themeColor="text1"/>
        </w:rPr>
        <w:t xml:space="preserve">, </w:t>
      </w:r>
      <w:r w:rsidR="008C2FDB" w:rsidRPr="00CA4ABC">
        <w:rPr>
          <w:rFonts w:asciiTheme="minorHAnsi" w:eastAsia="Times New Roman" w:hAnsiTheme="minorHAnsi" w:cstheme="minorHAnsi"/>
          <w:color w:val="000000" w:themeColor="text1"/>
        </w:rPr>
        <w:t>before</w:t>
      </w:r>
      <w:r w:rsidRPr="00CA4ABC">
        <w:rPr>
          <w:rFonts w:asciiTheme="minorHAnsi" w:eastAsia="Times New Roman" w:hAnsiTheme="minorHAnsi" w:cstheme="minorHAnsi"/>
          <w:color w:val="000000" w:themeColor="text1"/>
        </w:rPr>
        <w:t xml:space="preserve"> commencing the study (appendix. 15.) Follow</w:t>
      </w:r>
      <w:r w:rsidR="002B3093" w:rsidRPr="00CA4ABC">
        <w:rPr>
          <w:rFonts w:asciiTheme="minorHAnsi" w:eastAsia="Times New Roman" w:hAnsiTheme="minorHAnsi" w:cstheme="minorHAnsi"/>
          <w:color w:val="000000" w:themeColor="text1"/>
        </w:rPr>
        <w:t>ing</w:t>
      </w:r>
      <w:r w:rsidRPr="00CA4ABC">
        <w:rPr>
          <w:rFonts w:asciiTheme="minorHAnsi" w:eastAsia="Times New Roman" w:hAnsiTheme="minorHAnsi" w:cstheme="minorHAnsi"/>
          <w:color w:val="000000" w:themeColor="text1"/>
        </w:rPr>
        <w:t xml:space="preserve"> this, all participants were provided with a set of resistance bands (fitbeast</w:t>
      </w:r>
      <w:r w:rsidR="0096758F" w:rsidRPr="00CA4ABC">
        <w:rPr>
          <w:rFonts w:asciiTheme="minorHAnsi" w:eastAsia="Times New Roman" w:hAnsiTheme="minorHAnsi" w:cstheme="minorHAnsi"/>
          <w:color w:val="000000" w:themeColor="text1"/>
        </w:rPr>
        <w:t>, https://fitbeastclub.com/en-gb</w:t>
      </w:r>
      <w:r w:rsidRPr="00CA4ABC">
        <w:rPr>
          <w:rFonts w:asciiTheme="minorHAnsi" w:eastAsia="Times New Roman" w:hAnsiTheme="minorHAnsi" w:cstheme="minorHAnsi"/>
          <w:color w:val="000000" w:themeColor="text1"/>
        </w:rPr>
        <w:t xml:space="preserve">.) The pack contained 5-coloured bands. The order of resistance was yellow (10lbs), blue (20lbs) green (30lbs), black (40lbs) and red (50lbs). Also included were X2 foam handle straps, X2 </w:t>
      </w:r>
      <w:r w:rsidR="008312F6" w:rsidRPr="00CA4ABC">
        <w:rPr>
          <w:rFonts w:asciiTheme="minorHAnsi" w:eastAsia="Times New Roman" w:hAnsiTheme="minorHAnsi" w:cstheme="minorHAnsi"/>
          <w:color w:val="000000" w:themeColor="text1"/>
        </w:rPr>
        <w:t>Velcro</w:t>
      </w:r>
      <w:r w:rsidRPr="00CA4ABC">
        <w:rPr>
          <w:rFonts w:asciiTheme="minorHAnsi" w:eastAsia="Times New Roman" w:hAnsiTheme="minorHAnsi" w:cstheme="minorHAnsi"/>
          <w:color w:val="000000" w:themeColor="text1"/>
        </w:rPr>
        <w:t xml:space="preserve"> ankle straps, one door-anchor stopper and one user manual.</w:t>
      </w:r>
      <w:r w:rsidR="005D522B" w:rsidRPr="00CA4ABC">
        <w:rPr>
          <w:rFonts w:asciiTheme="minorHAnsi" w:eastAsia="Times New Roman" w:hAnsiTheme="minorHAnsi" w:cstheme="minorHAnsi"/>
          <w:color w:val="000000" w:themeColor="text1"/>
        </w:rPr>
        <w:t xml:space="preserve"> </w:t>
      </w:r>
      <w:r w:rsidR="002B439C">
        <w:rPr>
          <w:rFonts w:asciiTheme="minorHAnsi" w:eastAsia="Times New Roman" w:hAnsiTheme="minorHAnsi" w:cstheme="minorHAnsi"/>
          <w:color w:val="000000" w:themeColor="text1"/>
        </w:rPr>
        <w:t>The researcher delivered a</w:t>
      </w:r>
      <w:r w:rsidR="001C6E74">
        <w:rPr>
          <w:rFonts w:asciiTheme="minorHAnsi" w:eastAsia="Times New Roman" w:hAnsiTheme="minorHAnsi" w:cstheme="minorHAnsi"/>
          <w:color w:val="000000" w:themeColor="text1"/>
        </w:rPr>
        <w:t xml:space="preserve"> face to face</w:t>
      </w:r>
      <w:r w:rsidR="002B439C">
        <w:rPr>
          <w:rFonts w:asciiTheme="minorHAnsi" w:eastAsia="Times New Roman" w:hAnsiTheme="minorHAnsi" w:cstheme="minorHAnsi"/>
          <w:color w:val="000000" w:themeColor="text1"/>
        </w:rPr>
        <w:t xml:space="preserve"> familiarisation session</w:t>
      </w:r>
      <w:r w:rsidRPr="00CA4ABC">
        <w:rPr>
          <w:rFonts w:asciiTheme="minorHAnsi" w:eastAsia="Times New Roman" w:hAnsiTheme="minorHAnsi" w:cstheme="minorHAnsi"/>
          <w:color w:val="000000" w:themeColor="text1"/>
        </w:rPr>
        <w:t xml:space="preserve"> where participants were invited to t</w:t>
      </w:r>
      <w:r w:rsidR="008C2FDB" w:rsidRPr="00CA4ABC">
        <w:rPr>
          <w:rFonts w:asciiTheme="minorHAnsi" w:eastAsia="Times New Roman" w:hAnsiTheme="minorHAnsi" w:cstheme="minorHAnsi"/>
          <w:color w:val="000000" w:themeColor="text1"/>
        </w:rPr>
        <w:t>ry</w:t>
      </w:r>
      <w:r w:rsidRPr="00CA4ABC">
        <w:rPr>
          <w:rFonts w:asciiTheme="minorHAnsi" w:eastAsia="Times New Roman" w:hAnsiTheme="minorHAnsi" w:cstheme="minorHAnsi"/>
          <w:color w:val="000000" w:themeColor="text1"/>
        </w:rPr>
        <w:t xml:space="preserve"> out the bands and were shown how to use them safely and effectively.</w:t>
      </w:r>
      <w:bookmarkEnd w:id="234"/>
      <w:bookmarkEnd w:id="235"/>
      <w:bookmarkEnd w:id="236"/>
      <w:bookmarkEnd w:id="237"/>
      <w:bookmarkEnd w:id="238"/>
      <w:r w:rsidRPr="00CA4ABC">
        <w:rPr>
          <w:rFonts w:asciiTheme="minorHAnsi" w:eastAsia="Times New Roman" w:hAnsiTheme="minorHAnsi" w:cstheme="minorHAnsi"/>
          <w:color w:val="000000" w:themeColor="text1"/>
        </w:rPr>
        <w:t xml:space="preserve"> </w:t>
      </w:r>
    </w:p>
    <w:p w14:paraId="47FE30AF" w14:textId="0FB7058E"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The 50</w:t>
      </w:r>
      <w:r w:rsidR="008C2FDB" w:rsidRPr="00CA4ABC">
        <w:rPr>
          <w:rFonts w:eastAsia="Times New Roman" w:cstheme="minorHAnsi"/>
          <w:color w:val="000000" w:themeColor="text1"/>
          <w:lang w:eastAsia="en-GB"/>
        </w:rPr>
        <w:t xml:space="preserve"> </w:t>
      </w:r>
      <w:r w:rsidRPr="00CA4ABC">
        <w:rPr>
          <w:rFonts w:eastAsia="Times New Roman" w:cstheme="minorHAnsi"/>
          <w:color w:val="000000" w:themeColor="text1"/>
          <w:lang w:eastAsia="en-GB"/>
        </w:rPr>
        <w:t xml:space="preserve">minute sessions were broken down into a 5-minute warm-up, a 30-minute resistance exercise block (using the bands), a 5-minute balance session, a 5-minute flexibility slot and a 5-minute cool-down. They also switched between requiring the door anchor or not. Prior to a session, all participants were provided with details of what the session would entail, so they could prepare and ensure they had all the necessary equipment. </w:t>
      </w:r>
      <w:r w:rsidRPr="00CA4ABC">
        <w:rPr>
          <w:rFonts w:cstheme="minorHAnsi"/>
          <w:color w:val="000000" w:themeColor="text1"/>
        </w:rPr>
        <w:t>Six live sessions per week were held</w:t>
      </w:r>
      <w:r w:rsidR="005D522B" w:rsidRPr="00CA4ABC">
        <w:rPr>
          <w:rFonts w:cstheme="minorHAnsi"/>
          <w:color w:val="000000" w:themeColor="text1"/>
        </w:rPr>
        <w:t xml:space="preserve">. </w:t>
      </w:r>
      <w:r w:rsidRPr="00CA4ABC">
        <w:rPr>
          <w:rFonts w:cstheme="minorHAnsi"/>
          <w:color w:val="000000" w:themeColor="text1"/>
        </w:rPr>
        <w:t>After each live session</w:t>
      </w:r>
      <w:r w:rsidR="008C2FDB" w:rsidRPr="00CA4ABC">
        <w:rPr>
          <w:rFonts w:cstheme="minorHAnsi"/>
          <w:color w:val="000000" w:themeColor="text1"/>
        </w:rPr>
        <w:t>,</w:t>
      </w:r>
      <w:r w:rsidRPr="00CA4ABC">
        <w:rPr>
          <w:rFonts w:cstheme="minorHAnsi"/>
          <w:color w:val="000000" w:themeColor="text1"/>
        </w:rPr>
        <w:t xml:space="preserve"> the video that had just been delivered was emailed out to all participants. </w:t>
      </w:r>
      <w:r w:rsidRPr="00CA4ABC">
        <w:rPr>
          <w:rFonts w:eastAsia="Times New Roman" w:cstheme="minorHAnsi"/>
          <w:color w:val="000000" w:themeColor="text1"/>
          <w:lang w:eastAsia="en-GB"/>
        </w:rPr>
        <w:t xml:space="preserve"> After the trial</w:t>
      </w:r>
      <w:r w:rsidR="002B439C">
        <w:rPr>
          <w:rFonts w:eastAsia="Times New Roman" w:cstheme="minorHAnsi"/>
          <w:color w:val="000000" w:themeColor="text1"/>
          <w:lang w:eastAsia="en-GB"/>
        </w:rPr>
        <w:t>, all participants were provided access to a Google Drive folder containing</w:t>
      </w:r>
      <w:r w:rsidRPr="00CA4ABC">
        <w:rPr>
          <w:rFonts w:eastAsia="Times New Roman" w:cstheme="minorHAnsi"/>
          <w:color w:val="000000" w:themeColor="text1"/>
          <w:lang w:eastAsia="en-GB"/>
        </w:rPr>
        <w:t xml:space="preserve"> the recorded exercise session</w:t>
      </w:r>
      <w:r w:rsidR="008C2FDB"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 xml:space="preserve">.  </w:t>
      </w:r>
    </w:p>
    <w:p w14:paraId="7D9E7360" w14:textId="77777777" w:rsidR="004C12CF" w:rsidRPr="00CA4ABC" w:rsidRDefault="004C12CF" w:rsidP="004053D7">
      <w:pPr>
        <w:spacing w:before="100" w:beforeAutospacing="1" w:after="100" w:afterAutospacing="1" w:line="360" w:lineRule="auto"/>
        <w:rPr>
          <w:rFonts w:cstheme="minorHAnsi"/>
          <w:color w:val="000000" w:themeColor="text1"/>
        </w:rPr>
      </w:pPr>
      <w:r w:rsidRPr="00CA4ABC">
        <w:rPr>
          <w:rFonts w:eastAsia="Times New Roman" w:cstheme="minorHAnsi"/>
          <w:color w:val="000000" w:themeColor="text1"/>
          <w:lang w:eastAsia="en-GB"/>
        </w:rPr>
        <w:t xml:space="preserve">Participants were asked to note the colour of the resistance band they used for the exercise session in their log books, alongside their RPE of the session. </w:t>
      </w:r>
    </w:p>
    <w:p w14:paraId="430A3B5B" w14:textId="77777777" w:rsidR="006B0F5D" w:rsidRPr="00CA4ABC" w:rsidRDefault="004C12CF" w:rsidP="006B0F5D">
      <w:pPr>
        <w:spacing w:line="360" w:lineRule="auto"/>
        <w:rPr>
          <w:rFonts w:eastAsia="Times New Roman" w:cstheme="minorHAnsi"/>
          <w:color w:val="000000" w:themeColor="text1"/>
        </w:rPr>
      </w:pPr>
      <w:r w:rsidRPr="00CA4ABC">
        <w:rPr>
          <w:rFonts w:eastAsia="Times New Roman" w:cstheme="minorHAnsi"/>
          <w:color w:val="000000" w:themeColor="text1"/>
        </w:rPr>
        <w:t>5.2.5.2 Nutrition Intervention</w:t>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r w:rsidR="006A5FD4" w:rsidRPr="00CA4ABC">
        <w:rPr>
          <w:rFonts w:eastAsia="Times New Roman" w:cstheme="minorHAnsi"/>
          <w:color w:val="000000" w:themeColor="text1"/>
        </w:rPr>
        <w:tab/>
      </w:r>
    </w:p>
    <w:p w14:paraId="6D88787F" w14:textId="336D0614" w:rsidR="004C12CF" w:rsidRPr="00CA4ABC" w:rsidRDefault="004C12CF" w:rsidP="006B0F5D">
      <w:pPr>
        <w:spacing w:line="360" w:lineRule="auto"/>
        <w:ind w:firstLine="720"/>
        <w:rPr>
          <w:rFonts w:eastAsia="Times New Roman" w:cstheme="minorHAnsi"/>
          <w:color w:val="000000" w:themeColor="text1"/>
        </w:rPr>
      </w:pPr>
      <w:r w:rsidRPr="00CA4ABC">
        <w:rPr>
          <w:rFonts w:eastAsia="Times New Roman" w:cstheme="minorHAnsi"/>
          <w:color w:val="000000" w:themeColor="text1"/>
        </w:rPr>
        <w:t xml:space="preserve">The protein supplement was ProSource Plus, available from Nutrinovo (Wiltshire, UK. https://nutrinovo.com/key-product/plus/). This product was 30ml in volume and provided 15g of protein, 420 kJ of energy, 11g of carbohydrates and 0g of fat. The low </w:t>
      </w:r>
      <w:r w:rsidR="005D522B" w:rsidRPr="00CA4ABC">
        <w:rPr>
          <w:rFonts w:eastAsia="Times New Roman" w:cstheme="minorHAnsi"/>
          <w:color w:val="000000" w:themeColor="text1"/>
        </w:rPr>
        <w:t xml:space="preserve">volume and low </w:t>
      </w:r>
      <w:r w:rsidRPr="00CA4ABC">
        <w:rPr>
          <w:rFonts w:eastAsia="Times New Roman" w:cstheme="minorHAnsi"/>
          <w:color w:val="000000" w:themeColor="text1"/>
        </w:rPr>
        <w:t>energy density w</w:t>
      </w:r>
      <w:r w:rsidR="008C2FDB" w:rsidRPr="00CA4ABC">
        <w:rPr>
          <w:rFonts w:eastAsia="Times New Roman" w:cstheme="minorHAnsi"/>
          <w:color w:val="000000" w:themeColor="text1"/>
        </w:rPr>
        <w:t>ere</w:t>
      </w:r>
      <w:r w:rsidRPr="00CA4ABC">
        <w:rPr>
          <w:rFonts w:eastAsia="Times New Roman" w:cstheme="minorHAnsi"/>
          <w:color w:val="000000" w:themeColor="text1"/>
        </w:rPr>
        <w:t xml:space="preserve"> </w:t>
      </w:r>
      <w:r w:rsidR="007238F5" w:rsidRPr="00CA4ABC">
        <w:rPr>
          <w:rFonts w:eastAsia="Times New Roman" w:cstheme="minorHAnsi"/>
          <w:color w:val="000000" w:themeColor="text1"/>
        </w:rPr>
        <w:t xml:space="preserve">behind the supplement selection decision. </w:t>
      </w:r>
      <w:r w:rsidRPr="00CA4ABC">
        <w:rPr>
          <w:rFonts w:eastAsia="Times New Roman" w:cstheme="minorHAnsi"/>
          <w:color w:val="000000" w:themeColor="text1"/>
        </w:rPr>
        <w:t xml:space="preserve">It was hoped that this would limit any possible appetite implications, that may affect subsequent eating </w:t>
      </w:r>
      <w:r w:rsidR="008C2FDB" w:rsidRPr="00CA4ABC">
        <w:rPr>
          <w:rFonts w:eastAsia="Times New Roman" w:cstheme="minorHAnsi"/>
          <w:color w:val="000000" w:themeColor="text1"/>
        </w:rPr>
        <w:t>due to</w:t>
      </w:r>
      <w:r w:rsidRPr="00CA4ABC">
        <w:rPr>
          <w:rFonts w:eastAsia="Times New Roman" w:cstheme="minorHAnsi"/>
          <w:color w:val="000000" w:themeColor="text1"/>
        </w:rPr>
        <w:t xml:space="preserve"> protein’s satiating properties.  Supplements were either citrus berry, orange crème or neutral in flavour. Participants were provided with the</w:t>
      </w:r>
      <w:r w:rsidR="005F3676" w:rsidRPr="00CA4ABC">
        <w:rPr>
          <w:rFonts w:eastAsia="Times New Roman" w:cstheme="minorHAnsi"/>
          <w:color w:val="000000" w:themeColor="text1"/>
        </w:rPr>
        <w:t xml:space="preserve"> optional</w:t>
      </w:r>
      <w:r w:rsidRPr="00CA4ABC">
        <w:rPr>
          <w:rFonts w:eastAsia="Times New Roman" w:cstheme="minorHAnsi"/>
          <w:color w:val="000000" w:themeColor="text1"/>
        </w:rPr>
        <w:t xml:space="preserve"> opportunity to taste the supplement</w:t>
      </w:r>
      <w:r w:rsidR="005F3676" w:rsidRPr="00CA4ABC">
        <w:rPr>
          <w:rFonts w:eastAsia="Times New Roman" w:cstheme="minorHAnsi"/>
          <w:color w:val="000000" w:themeColor="text1"/>
        </w:rPr>
        <w:t xml:space="preserve"> </w:t>
      </w:r>
      <w:r w:rsidRPr="00CA4ABC">
        <w:rPr>
          <w:rFonts w:eastAsia="Times New Roman" w:cstheme="minorHAnsi"/>
          <w:color w:val="000000" w:themeColor="text1"/>
        </w:rPr>
        <w:t>and self-select their flavour preference</w:t>
      </w:r>
      <w:r w:rsidR="005F3676" w:rsidRPr="00CA4ABC">
        <w:rPr>
          <w:rFonts w:eastAsia="Times New Roman" w:cstheme="minorHAnsi"/>
          <w:color w:val="000000" w:themeColor="text1"/>
        </w:rPr>
        <w:t>(</w:t>
      </w:r>
      <w:r w:rsidRPr="00CA4ABC">
        <w:rPr>
          <w:rFonts w:eastAsia="Times New Roman" w:cstheme="minorHAnsi"/>
          <w:color w:val="000000" w:themeColor="text1"/>
        </w:rPr>
        <w:t>s</w:t>
      </w:r>
      <w:r w:rsidR="005F3676" w:rsidRPr="00CA4ABC">
        <w:rPr>
          <w:rFonts w:eastAsia="Times New Roman" w:cstheme="minorHAnsi"/>
          <w:color w:val="000000" w:themeColor="text1"/>
        </w:rPr>
        <w:t>).</w:t>
      </w:r>
      <w:r w:rsidRPr="00CA4ABC">
        <w:rPr>
          <w:rFonts w:eastAsia="Times New Roman" w:cstheme="minorHAnsi"/>
          <w:color w:val="000000" w:themeColor="text1"/>
        </w:rPr>
        <w:t xml:space="preserve"> The sachet meant it was portable and easy to control the dose of protein being consumed. The supplement also has </w:t>
      </w:r>
      <w:r w:rsidRPr="00CA4ABC">
        <w:rPr>
          <w:rFonts w:eastAsia="Times New Roman" w:cstheme="minorHAnsi"/>
          <w:color w:val="000000" w:themeColor="text1"/>
        </w:rPr>
        <w:lastRenderedPageBreak/>
        <w:t xml:space="preserve">Advisory Committee on Borderline Substances (ACBS) approval, which means it can be used in NHS primary care. This </w:t>
      </w:r>
      <w:r w:rsidR="0096758F" w:rsidRPr="00CA4ABC">
        <w:rPr>
          <w:rFonts w:eastAsia="Times New Roman" w:cstheme="minorHAnsi"/>
          <w:color w:val="000000" w:themeColor="text1"/>
        </w:rPr>
        <w:t>confirm</w:t>
      </w:r>
      <w:r w:rsidRPr="00CA4ABC">
        <w:rPr>
          <w:rFonts w:eastAsia="Times New Roman" w:cstheme="minorHAnsi"/>
          <w:color w:val="000000" w:themeColor="text1"/>
        </w:rPr>
        <w:t xml:space="preserve">s the supplement’s safety and would mean the product could be used in other populations if the trial was extended in the future. Dose and timing decisions </w:t>
      </w:r>
      <w:r w:rsidR="007238F5" w:rsidRPr="00CA4ABC">
        <w:rPr>
          <w:rFonts w:eastAsia="Times New Roman" w:cstheme="minorHAnsi"/>
          <w:color w:val="000000" w:themeColor="text1"/>
        </w:rPr>
        <w:t>were</w:t>
      </w:r>
      <w:r w:rsidRPr="00CA4ABC">
        <w:rPr>
          <w:rFonts w:eastAsia="Times New Roman" w:cstheme="minorHAnsi"/>
          <w:color w:val="000000" w:themeColor="text1"/>
        </w:rPr>
        <w:t xml:space="preserve"> also supported by literature evidence. Per-meal protein guidelines recommend consuming two to three meal</w:t>
      </w:r>
      <w:r w:rsidR="007238F5" w:rsidRPr="00CA4ABC">
        <w:rPr>
          <w:rFonts w:eastAsia="Times New Roman" w:cstheme="minorHAnsi"/>
          <w:color w:val="000000" w:themeColor="text1"/>
        </w:rPr>
        <w:t>s</w:t>
      </w:r>
      <w:r w:rsidRPr="00CA4ABC">
        <w:rPr>
          <w:rFonts w:eastAsia="Times New Roman" w:cstheme="minorHAnsi"/>
          <w:color w:val="000000" w:themeColor="text1"/>
        </w:rPr>
        <w:t xml:space="preserve"> a day contain</w:t>
      </w:r>
      <w:r w:rsidR="007238F5" w:rsidRPr="00CA4ABC">
        <w:rPr>
          <w:rFonts w:eastAsia="Times New Roman" w:cstheme="minorHAnsi"/>
          <w:color w:val="000000" w:themeColor="text1"/>
        </w:rPr>
        <w:t>ing</w:t>
      </w:r>
      <w:r w:rsidRPr="00CA4ABC">
        <w:rPr>
          <w:rFonts w:eastAsia="Times New Roman" w:cstheme="minorHAnsi"/>
          <w:color w:val="000000" w:themeColor="text1"/>
        </w:rPr>
        <w:t xml:space="preserve"> ~25-30g of </w:t>
      </w:r>
      <w:r w:rsidR="007238F5" w:rsidRPr="00CA4ABC">
        <w:rPr>
          <w:rFonts w:eastAsia="Times New Roman" w:cstheme="minorHAnsi"/>
          <w:color w:val="000000" w:themeColor="text1"/>
        </w:rPr>
        <w:t>high-quality</w:t>
      </w:r>
      <w:r w:rsidRPr="00CA4ABC">
        <w:rPr>
          <w:rFonts w:eastAsia="Times New Roman" w:cstheme="minorHAnsi"/>
          <w:color w:val="000000" w:themeColor="text1"/>
        </w:rPr>
        <w:t xml:space="preserve"> protein </w:t>
      </w:r>
      <w:r w:rsidR="005F3676" w:rsidRPr="00CA4ABC">
        <w:rPr>
          <w:rFonts w:eastAsia="Times New Roman" w:cstheme="minorHAnsi"/>
          <w:color w:val="000000" w:themeColor="text1"/>
        </w:rPr>
        <w:t>to</w:t>
      </w:r>
      <w:r w:rsidRPr="00CA4ABC">
        <w:rPr>
          <w:rFonts w:eastAsia="Times New Roman" w:cstheme="minorHAnsi"/>
          <w:color w:val="000000" w:themeColor="text1"/>
        </w:rPr>
        <w:t xml:space="preserve"> aid with optimal stimulation of 24-h</w:t>
      </w:r>
      <w:r w:rsidR="005F3676" w:rsidRPr="00CA4ABC">
        <w:rPr>
          <w:rFonts w:eastAsia="Times New Roman" w:cstheme="minorHAnsi"/>
          <w:color w:val="000000" w:themeColor="text1"/>
        </w:rPr>
        <w:t>our</w:t>
      </w:r>
      <w:r w:rsidRPr="00CA4ABC">
        <w:rPr>
          <w:rFonts w:eastAsia="Times New Roman" w:cstheme="minorHAnsi"/>
          <w:color w:val="000000" w:themeColor="text1"/>
        </w:rPr>
        <w:t xml:space="preserve"> MPS </w:t>
      </w:r>
      <w:r w:rsidRPr="00CA4ABC">
        <w:rPr>
          <w:rFonts w:eastAsia="Times New Roman" w:cstheme="minorHAnsi"/>
          <w:color w:val="000000" w:themeColor="text1"/>
        </w:rPr>
        <w:fldChar w:fldCharType="begin" w:fldLock="1"/>
      </w:r>
      <w:r w:rsidR="00821D82">
        <w:rPr>
          <w:rFonts w:eastAsia="Times New Roman" w:cstheme="minorHAnsi"/>
          <w:color w:val="000000" w:themeColor="text1"/>
        </w:rPr>
        <w:instrText>ADDIN CSL_CITATION {"citationItems":[{"id":"ITEM-1","itemData":{"DOI":"10.3390/nu10030360","ISSN":"20726643","PMID":"29547523","abstract":"With an ageing population, dietary approaches to promote health and independence later in life are needed. In part, this can be achieved by maintaining muscle mass and strength as people age. New evidence suggests that current dietary recommendations for protein intake may be insufficient to achieve this goal and that individuals might benefit by increasing their intake and frequency of consumption of high-quality protein. However, the environmental effects of increasing animal-protein production are a concern, and alternative, more sustainable protein sources should be considered. Protein is known to be more satiating than other macronutrients, and it is unclear whether diets high in plant proteins affect the appetite of older adults as they should be recommended for individuals at risk of malnutrition. The review considers the protein needs of an ageing population (&gt;40 years old), sustainable protein sources, appetite-related implications of diets high in plant proteins, and related areas for future research.","author":[{"dropping-particle":"","family":"Lonnie","given":"Marta","non-dropping-particle":"","parse-names":false,"suffix":""},{"dropping-particle":"","family":"Hooker","given":"Emma","non-dropping-particle":"","parse-names":false,"suffix":""},{"dropping-particle":"","family":"Brunstrom","given":"Jeffrey M.","non-dropping-particle":"","parse-names":false,"suffix":""},{"dropping-particle":"","family":"Corfe","given":"Bernard M.","non-dropping-particle":"","parse-names":false,"suffix":""},{"dropping-particle":"","family":"Green","given":"Mark A.","non-dropping-particle":"","parse-names":false,"suffix":""},{"dropping-particle":"","family":"Watson","given":"Anthony W.","non-dropping-particle":"","parse-names":false,"suffix":""},{"dropping-particle":"","family":"Williams","given":"Elizabeth A.","non-dropping-particle":"","parse-names":false,"suffix":""},{"dropping-particle":"","family":"Stevenson","given":"Emma J.","non-dropping-particle":"","parse-names":false,"suffix":""},{"dropping-particle":"","family":"Penson","given":"Simon","non-dropping-particle":"","parse-names":false,"suffix":""},{"dropping-particle":"","family":"Johnstone","given":"Alexandra M.","non-dropping-particle":"","parse-names":false,"suffix":""}],"container-title":"Nutrients","id":"ITEM-1","issue":"3","issued":{"date-parts":[["2018","3","16"]]},"publisher":"MDPI AG","title":"Protein for life: Review of optimal protein intake, sustainable dietary sources and the effect on appetite in ageing adults","type":"article","volume":"10"},"uris":["http://www.mendeley.com/documents/?uuid=f27f2062-9514-3d72-b874-d687388f1dd2"]}],"mendeley":{"formattedCitation":"(225)","plainTextFormattedCitation":"(225)","previouslyFormattedCitation":"(225)"},"properties":{"noteIndex":0},"schema":"https://github.com/citation-style-language/schema/raw/master/csl-citation.json"}</w:instrText>
      </w:r>
      <w:r w:rsidRPr="00CA4ABC">
        <w:rPr>
          <w:rFonts w:eastAsia="Times New Roman" w:cstheme="minorHAnsi"/>
          <w:color w:val="000000" w:themeColor="text1"/>
        </w:rPr>
        <w:fldChar w:fldCharType="separate"/>
      </w:r>
      <w:r w:rsidR="00FF0BCE" w:rsidRPr="00FF0BCE">
        <w:rPr>
          <w:rFonts w:eastAsia="Times New Roman" w:cstheme="minorHAnsi"/>
          <w:noProof/>
          <w:color w:val="000000" w:themeColor="text1"/>
        </w:rPr>
        <w:t>(225)</w:t>
      </w:r>
      <w:r w:rsidRPr="00CA4ABC">
        <w:rPr>
          <w:rFonts w:eastAsia="Times New Roman" w:cstheme="minorHAnsi"/>
          <w:color w:val="000000" w:themeColor="text1"/>
        </w:rPr>
        <w:fldChar w:fldCharType="end"/>
      </w:r>
      <w:r w:rsidRPr="00CA4ABC">
        <w:rPr>
          <w:rFonts w:eastAsia="Times New Roman" w:cstheme="minorHAnsi"/>
          <w:color w:val="000000" w:themeColor="text1"/>
        </w:rPr>
        <w:t xml:space="preserve">. The availability of 15g of protein from the supplement was considered optimal when taken alongside a meal </w:t>
      </w:r>
      <w:r w:rsidR="005F3676" w:rsidRPr="00CA4ABC">
        <w:rPr>
          <w:rFonts w:eastAsia="Times New Roman" w:cstheme="minorHAnsi"/>
          <w:color w:val="000000" w:themeColor="text1"/>
        </w:rPr>
        <w:t>to best</w:t>
      </w:r>
      <w:r w:rsidRPr="00CA4ABC">
        <w:rPr>
          <w:rFonts w:eastAsia="Times New Roman" w:cstheme="minorHAnsi"/>
          <w:color w:val="000000" w:themeColor="text1"/>
        </w:rPr>
        <w:t xml:space="preserve"> achiev</w:t>
      </w:r>
      <w:r w:rsidR="005F3676" w:rsidRPr="00CA4ABC">
        <w:rPr>
          <w:rFonts w:eastAsia="Times New Roman" w:cstheme="minorHAnsi"/>
          <w:color w:val="000000" w:themeColor="text1"/>
        </w:rPr>
        <w:t>e</w:t>
      </w:r>
      <w:r w:rsidRPr="00CA4ABC">
        <w:rPr>
          <w:rFonts w:eastAsia="Times New Roman" w:cstheme="minorHAnsi"/>
          <w:color w:val="000000" w:themeColor="text1"/>
        </w:rPr>
        <w:t xml:space="preserve"> these targets</w:t>
      </w:r>
      <w:r w:rsidR="005F3676" w:rsidRPr="00CA4ABC">
        <w:rPr>
          <w:rFonts w:eastAsia="Times New Roman" w:cstheme="minorHAnsi"/>
          <w:color w:val="000000" w:themeColor="text1"/>
        </w:rPr>
        <w:t xml:space="preserve">. </w:t>
      </w:r>
      <w:r w:rsidR="001D629D">
        <w:rPr>
          <w:rFonts w:eastAsia="Times New Roman" w:cstheme="minorHAnsi"/>
          <w:color w:val="000000" w:themeColor="text1"/>
        </w:rPr>
        <w:t xml:space="preserve">Timing decisions, </w:t>
      </w:r>
      <w:r w:rsidR="00925A52">
        <w:rPr>
          <w:rFonts w:eastAsia="Times New Roman" w:cstheme="minorHAnsi"/>
          <w:color w:val="000000" w:themeColor="text1"/>
        </w:rPr>
        <w:t>were</w:t>
      </w:r>
      <w:r w:rsidRPr="00CA4ABC">
        <w:rPr>
          <w:rFonts w:eastAsia="Times New Roman" w:cstheme="minorHAnsi"/>
          <w:color w:val="000000" w:themeColor="text1"/>
        </w:rPr>
        <w:t xml:space="preserve"> based on data taken from the U.S National Health and Nutrition Examination Survey (NHANES) that suggests </w:t>
      </w:r>
      <w:r w:rsidR="007238F5" w:rsidRPr="00CA4ABC">
        <w:rPr>
          <w:rFonts w:eastAsia="Times New Roman" w:cstheme="minorHAnsi"/>
          <w:color w:val="000000" w:themeColor="text1"/>
        </w:rPr>
        <w:t xml:space="preserve">that </w:t>
      </w:r>
      <w:r w:rsidR="00743119" w:rsidRPr="00CA4ABC">
        <w:rPr>
          <w:rFonts w:eastAsia="Times New Roman" w:cstheme="minorHAnsi"/>
          <w:color w:val="000000" w:themeColor="text1"/>
        </w:rPr>
        <w:t xml:space="preserve">the </w:t>
      </w:r>
      <w:r w:rsidRPr="00CA4ABC">
        <w:rPr>
          <w:rFonts w:eastAsia="Times New Roman" w:cstheme="minorHAnsi"/>
          <w:color w:val="000000" w:themeColor="text1"/>
        </w:rPr>
        <w:t xml:space="preserve">average protein content of breakfast and midday meals is </w:t>
      </w:r>
      <w:r w:rsidRPr="00CA4ABC">
        <w:rPr>
          <w:rFonts w:eastAsia="Times New Roman" w:cstheme="minorHAnsi"/>
          <w:color w:val="000000" w:themeColor="text1"/>
          <w:shd w:val="clear" w:color="auto" w:fill="FFFFFF"/>
        </w:rPr>
        <w:t>11.9 ± 0.4 (women)/</w:t>
      </w:r>
      <w:r w:rsidRPr="00CA4ABC">
        <w:rPr>
          <w:rFonts w:cstheme="minorHAnsi"/>
          <w:color w:val="000000" w:themeColor="text1"/>
          <w:shd w:val="clear" w:color="auto" w:fill="FFFFFF"/>
        </w:rPr>
        <w:t xml:space="preserve"> </w:t>
      </w:r>
      <w:r w:rsidRPr="00CA4ABC">
        <w:rPr>
          <w:rFonts w:eastAsia="Times New Roman" w:cstheme="minorHAnsi"/>
          <w:color w:val="000000" w:themeColor="text1"/>
          <w:shd w:val="clear" w:color="auto" w:fill="FFFFFF"/>
        </w:rPr>
        <w:t>15.8 ± 0.5</w:t>
      </w:r>
      <w:r w:rsidRPr="00CA4ABC">
        <w:rPr>
          <w:rFonts w:eastAsia="Times New Roman" w:cstheme="minorHAnsi"/>
          <w:color w:val="000000" w:themeColor="text1"/>
        </w:rPr>
        <w:t xml:space="preserve"> (men)</w:t>
      </w:r>
      <w:r w:rsidRPr="00CA4ABC">
        <w:rPr>
          <w:rFonts w:eastAsia="Times New Roman" w:cstheme="minorHAnsi"/>
          <w:color w:val="000000" w:themeColor="text1"/>
          <w:shd w:val="clear" w:color="auto" w:fill="FFFFFF"/>
        </w:rPr>
        <w:t xml:space="preserve"> and</w:t>
      </w:r>
      <w:r w:rsidRPr="00CA4ABC">
        <w:rPr>
          <w:rFonts w:eastAsia="Times New Roman" w:cstheme="minorHAnsi"/>
          <w:color w:val="000000" w:themeColor="text1"/>
        </w:rPr>
        <w:t xml:space="preserve"> </w:t>
      </w:r>
      <w:r w:rsidRPr="00CA4ABC">
        <w:rPr>
          <w:rFonts w:eastAsia="Times New Roman" w:cstheme="minorHAnsi"/>
          <w:color w:val="000000" w:themeColor="text1"/>
          <w:shd w:val="clear" w:color="auto" w:fill="FFFFFF"/>
        </w:rPr>
        <w:t>17.9 ± 0.5 </w:t>
      </w:r>
      <w:r w:rsidRPr="00CA4ABC">
        <w:rPr>
          <w:rFonts w:eastAsia="Times New Roman" w:cstheme="minorHAnsi"/>
          <w:color w:val="000000" w:themeColor="text1"/>
        </w:rPr>
        <w:t>(women)/</w:t>
      </w:r>
      <w:r w:rsidRPr="00CA4ABC">
        <w:rPr>
          <w:rFonts w:cstheme="minorHAnsi"/>
          <w:color w:val="000000" w:themeColor="text1"/>
          <w:shd w:val="clear" w:color="auto" w:fill="FFFFFF"/>
        </w:rPr>
        <w:t xml:space="preserve"> </w:t>
      </w:r>
      <w:r w:rsidRPr="00CA4ABC">
        <w:rPr>
          <w:rFonts w:eastAsia="Times New Roman" w:cstheme="minorHAnsi"/>
          <w:color w:val="000000" w:themeColor="text1"/>
          <w:shd w:val="clear" w:color="auto" w:fill="FFFFFF"/>
        </w:rPr>
        <w:t>23.2 ± 0.8</w:t>
      </w:r>
      <w:r w:rsidRPr="00CA4ABC">
        <w:rPr>
          <w:rFonts w:eastAsia="Times New Roman" w:cstheme="minorHAnsi"/>
          <w:color w:val="000000" w:themeColor="text1"/>
        </w:rPr>
        <w:t>(men), respectively. Topping up meal protein intakes</w:t>
      </w:r>
      <w:r w:rsidR="00925A52">
        <w:rPr>
          <w:rFonts w:eastAsia="Times New Roman" w:cstheme="minorHAnsi"/>
          <w:color w:val="000000" w:themeColor="text1"/>
        </w:rPr>
        <w:t xml:space="preserve"> </w:t>
      </w:r>
      <w:r w:rsidRPr="00CA4ABC">
        <w:rPr>
          <w:rFonts w:eastAsia="Times New Roman" w:cstheme="minorHAnsi"/>
          <w:color w:val="000000" w:themeColor="text1"/>
        </w:rPr>
        <w:t xml:space="preserve">with the supplement </w:t>
      </w:r>
      <w:r w:rsidR="00925A52">
        <w:rPr>
          <w:rFonts w:eastAsia="Times New Roman" w:cstheme="minorHAnsi"/>
          <w:color w:val="000000" w:themeColor="text1"/>
        </w:rPr>
        <w:t>at breakfast and lunch timepoints</w:t>
      </w:r>
      <w:r w:rsidR="00925A52" w:rsidRPr="00CA4ABC">
        <w:rPr>
          <w:rFonts w:eastAsia="Times New Roman" w:cstheme="minorHAnsi"/>
          <w:color w:val="000000" w:themeColor="text1"/>
        </w:rPr>
        <w:t xml:space="preserve"> </w:t>
      </w:r>
      <w:r w:rsidRPr="00CA4ABC">
        <w:rPr>
          <w:rFonts w:eastAsia="Times New Roman" w:cstheme="minorHAnsi"/>
          <w:color w:val="000000" w:themeColor="text1"/>
        </w:rPr>
        <w:t>could mean the 30</w:t>
      </w:r>
      <w:r w:rsidR="007238F5" w:rsidRPr="00CA4ABC">
        <w:rPr>
          <w:rFonts w:eastAsia="Times New Roman" w:cstheme="minorHAnsi"/>
          <w:color w:val="000000" w:themeColor="text1"/>
        </w:rPr>
        <w:t>g</w:t>
      </w:r>
      <w:r w:rsidRPr="00CA4ABC">
        <w:rPr>
          <w:rFonts w:eastAsia="Times New Roman" w:cstheme="minorHAnsi"/>
          <w:color w:val="000000" w:themeColor="text1"/>
        </w:rPr>
        <w:t xml:space="preserve"> protein threshold would be achieved. Most eating patterns tend to lend themselves to the protein threshold only being met once a day, at the main meal. Although the per</w:t>
      </w:r>
      <w:r w:rsidR="007238F5" w:rsidRPr="00CA4ABC">
        <w:rPr>
          <w:rFonts w:eastAsia="Times New Roman" w:cstheme="minorHAnsi"/>
          <w:color w:val="000000" w:themeColor="text1"/>
        </w:rPr>
        <w:t>-</w:t>
      </w:r>
      <w:r w:rsidRPr="00CA4ABC">
        <w:rPr>
          <w:rFonts w:eastAsia="Times New Roman" w:cstheme="minorHAnsi"/>
          <w:color w:val="000000" w:themeColor="text1"/>
        </w:rPr>
        <w:t xml:space="preserve">meal amount of protein is taken from data </w:t>
      </w:r>
      <w:r w:rsidR="007238F5" w:rsidRPr="00CA4ABC">
        <w:rPr>
          <w:rFonts w:eastAsia="Times New Roman" w:cstheme="minorHAnsi"/>
          <w:color w:val="000000" w:themeColor="text1"/>
        </w:rPr>
        <w:t>i</w:t>
      </w:r>
      <w:r w:rsidRPr="00CA4ABC">
        <w:rPr>
          <w:rFonts w:eastAsia="Times New Roman" w:cstheme="minorHAnsi"/>
          <w:color w:val="000000" w:themeColor="text1"/>
        </w:rPr>
        <w:t>n the USA, similar dietary patterns have also been documented in the UK. Morris et al</w:t>
      </w:r>
      <w:r w:rsidR="007238F5" w:rsidRPr="00CA4ABC">
        <w:rPr>
          <w:rFonts w:eastAsia="Times New Roman" w:cstheme="minorHAnsi"/>
          <w:color w:val="000000" w:themeColor="text1"/>
        </w:rPr>
        <w:t>.</w:t>
      </w:r>
      <w:r w:rsidRPr="00CA4ABC">
        <w:rPr>
          <w:rFonts w:eastAsia="Times New Roman" w:cstheme="minorHAnsi"/>
          <w:color w:val="000000" w:themeColor="text1"/>
        </w:rPr>
        <w:t xml:space="preserve"> documented that the proportions of individuals in a South Yorkshire </w:t>
      </w:r>
      <w:r w:rsidR="007238F5" w:rsidRPr="00CA4ABC">
        <w:rPr>
          <w:rFonts w:eastAsia="Times New Roman" w:cstheme="minorHAnsi"/>
          <w:color w:val="000000" w:themeColor="text1"/>
        </w:rPr>
        <w:t>c</w:t>
      </w:r>
      <w:r w:rsidRPr="00CA4ABC">
        <w:rPr>
          <w:rFonts w:eastAsia="Times New Roman" w:cstheme="minorHAnsi"/>
          <w:color w:val="000000" w:themeColor="text1"/>
        </w:rPr>
        <w:t xml:space="preserve">ohort reaching the recommended 25g/meal was 67-77% for the main meal, but 31-32% and 21-26% at the other eating occasions </w:t>
      </w:r>
      <w:r w:rsidRPr="00CA4ABC">
        <w:rPr>
          <w:rFonts w:eastAsia="Times New Roman" w:cstheme="minorHAnsi"/>
          <w:color w:val="000000" w:themeColor="text1"/>
        </w:rPr>
        <w:fldChar w:fldCharType="begin" w:fldLock="1"/>
      </w:r>
      <w:r w:rsidR="00821D82">
        <w:rPr>
          <w:rFonts w:eastAsia="Times New Roman" w:cstheme="minorHAnsi"/>
          <w:color w:val="000000" w:themeColor="text1"/>
        </w:rPr>
        <w:instrText>ADDIN CSL_CITATION {"citationItems":[{"id":"ITEM-1","itemData":{"DOI":"10.3390/geriatrics5010006","ISSN":"23083417","abstract":"The current dietary recommendation for protein intake in the UK is 0.75 g/kg/day, however, this population-wide recommendation does not necessarily reflect altered requirements for older adults to maintain muscle protein synthesis, nor does it encompass the potential impact of intake timing. Optimal muscle protein synthesis in older adults requires both higher intake requirements and a distribution of protein intake above a 25 g threshold, three times across the day. This study aimed to describe the protein intake of older adults in a UK region and compare the results to recommendations. The study re-assessed two existing datasets with rich diet information for older adults in the South Yorkshire area. Data were extracted from food diaries of 256 adults aged between 65 and 89 years old (mean ± SD 72.4 ± 5.3 years). Quantity and timing of intake were coded using Nutritics software and compared to recommendations. The relationship between body mass index (BMI), age, and protein intake was explored. Fewer than 50% of the participants met current UK recommendations (0.75 g/kg/day) and fewer than 15% met the ESPEN 1.2 g/kg/day agespecific recommendation. Only one participant met the 25 g/meal recommendation across three meals. These findings suggest that the older adult population is not achieving recommendations to maintain muscle protein synthesis. Nonetheless it identifies several straightforward opportunities for improvement, notably elevation of morning intake.","author":[{"dropping-particle":"","family":"Morris","given":"Susan","non-dropping-particle":"","parse-names":false,"suffix":""},{"dropping-particle":"","family":"Cater","given":"James D.","non-dropping-particle":"","parse-names":false,"suffix":""},{"dropping-particle":"","family":"Green","given":"Mark A.","non-dropping-particle":"","parse-names":false,"suffix":""},{"dropping-particle":"","family":"Johnstone","given":"Alexandra M.","non-dropping-particle":"","parse-names":false,"suffix":""},{"dropping-particle":"","family":"Brunstrom","given":"Jeffrey M.","non-dropping-particle":"","parse-names":false,"suffix":""},{"dropping-particle":"","family":"Stevenson","given":"Emma J.","non-dropping-particle":"","parse-names":false,"suffix":""},{"dropping-particle":"","family":"Williams","given":"Elizabeth A.","non-dropping-particle":"","parse-names":false,"suffix":""},{"dropping-particle":"","family":"Corfe","given":"Bernard M.","non-dropping-particle":"","parse-names":false,"suffix":""}],"container-title":"Geriatrics (Switzerland)","id":"ITEM-1","issue":"1","issued":{"date-parts":[["2020","3","1"]]},"publisher":"MDPI Multidisciplinary Digital Publishing Institute","title":"Inadequacy of protein intake in older UK adults","type":"article-journal","volume":"5"},"uris":["http://www.mendeley.com/documents/?uuid=56cce2af-ab3b-377d-90ed-68f2c87505ee"]}],"mendeley":{"formattedCitation":"(199)","plainTextFormattedCitation":"(199)","previouslyFormattedCitation":"(199)"},"properties":{"noteIndex":0},"schema":"https://github.com/citation-style-language/schema/raw/master/csl-citation.json"}</w:instrText>
      </w:r>
      <w:r w:rsidRPr="00CA4ABC">
        <w:rPr>
          <w:rFonts w:eastAsia="Times New Roman" w:cstheme="minorHAnsi"/>
          <w:color w:val="000000" w:themeColor="text1"/>
        </w:rPr>
        <w:fldChar w:fldCharType="separate"/>
      </w:r>
      <w:r w:rsidR="00FF0BCE" w:rsidRPr="00FF0BCE">
        <w:rPr>
          <w:rFonts w:eastAsia="Times New Roman" w:cstheme="minorHAnsi"/>
          <w:noProof/>
          <w:color w:val="000000" w:themeColor="text1"/>
        </w:rPr>
        <w:t>(199)</w:t>
      </w:r>
      <w:r w:rsidRPr="00CA4ABC">
        <w:rPr>
          <w:rFonts w:eastAsia="Times New Roman" w:cstheme="minorHAnsi"/>
          <w:color w:val="000000" w:themeColor="text1"/>
        </w:rPr>
        <w:fldChar w:fldCharType="end"/>
      </w:r>
      <w:r w:rsidRPr="00CA4ABC">
        <w:rPr>
          <w:rFonts w:eastAsia="Times New Roman" w:cstheme="minorHAnsi"/>
          <w:color w:val="000000" w:themeColor="text1"/>
        </w:rPr>
        <w:t xml:space="preserve">.  It was </w:t>
      </w:r>
      <w:r w:rsidR="005F3676" w:rsidRPr="00CA4ABC">
        <w:rPr>
          <w:rFonts w:eastAsia="Times New Roman" w:cstheme="minorHAnsi"/>
          <w:color w:val="000000" w:themeColor="text1"/>
        </w:rPr>
        <w:t>also of interest</w:t>
      </w:r>
      <w:r w:rsidRPr="00CA4ABC">
        <w:rPr>
          <w:rFonts w:eastAsia="Times New Roman" w:cstheme="minorHAnsi"/>
          <w:color w:val="000000" w:themeColor="text1"/>
        </w:rPr>
        <w:t xml:space="preserve"> to </w:t>
      </w:r>
      <w:r w:rsidR="005F3676" w:rsidRPr="00CA4ABC">
        <w:rPr>
          <w:rFonts w:eastAsia="Times New Roman" w:cstheme="minorHAnsi"/>
          <w:color w:val="000000" w:themeColor="text1"/>
        </w:rPr>
        <w:t>explore</w:t>
      </w:r>
      <w:r w:rsidRPr="00CA4ABC">
        <w:rPr>
          <w:rFonts w:eastAsia="Times New Roman" w:cstheme="minorHAnsi"/>
          <w:color w:val="000000" w:themeColor="text1"/>
        </w:rPr>
        <w:t xml:space="preserve"> if two supplements a day could be tolerated to achieve 25-30g intakes </w:t>
      </w:r>
      <w:r w:rsidR="00EC37F5" w:rsidRPr="00CA4ABC">
        <w:rPr>
          <w:rFonts w:eastAsia="Times New Roman" w:cstheme="minorHAnsi"/>
          <w:color w:val="000000" w:themeColor="text1"/>
        </w:rPr>
        <w:t>on</w:t>
      </w:r>
      <w:r w:rsidRPr="00CA4ABC">
        <w:rPr>
          <w:rFonts w:eastAsia="Times New Roman" w:cstheme="minorHAnsi"/>
          <w:color w:val="000000" w:themeColor="text1"/>
        </w:rPr>
        <w:t xml:space="preserve"> multiple occasions throughout the day. As protein intakes </w:t>
      </w:r>
      <w:r w:rsidR="00611B08">
        <w:rPr>
          <w:rFonts w:eastAsia="Times New Roman" w:cstheme="minorHAnsi"/>
          <w:color w:val="000000" w:themeColor="text1"/>
        </w:rPr>
        <w:t xml:space="preserve">dominate the evening meal (254), earlier time points were chosen (morning and midday) for supplement consumption </w:t>
      </w:r>
      <w:r w:rsidR="00EC37F5" w:rsidRPr="00CA4ABC">
        <w:rPr>
          <w:rFonts w:eastAsia="Times New Roman" w:cstheme="minorHAnsi"/>
          <w:color w:val="000000" w:themeColor="text1"/>
        </w:rPr>
        <w:t xml:space="preserve">to </w:t>
      </w:r>
      <w:r w:rsidRPr="00CA4ABC">
        <w:rPr>
          <w:rFonts w:eastAsia="Times New Roman" w:cstheme="minorHAnsi"/>
          <w:color w:val="000000" w:themeColor="text1"/>
        </w:rPr>
        <w:t xml:space="preserve">address skewed intakes. Moreover, average dinner protein amounts have been documented at </w:t>
      </w:r>
      <w:r w:rsidRPr="00CA4ABC">
        <w:rPr>
          <w:rFonts w:eastAsia="Times New Roman" w:cstheme="minorHAnsi"/>
          <w:color w:val="000000" w:themeColor="text1"/>
          <w:shd w:val="clear" w:color="auto" w:fill="FFFFFF"/>
        </w:rPr>
        <w:t>30.4g ± 0.7 and 43.5g ± 1.0 for men and women, respectively</w:t>
      </w:r>
      <w:r w:rsidRPr="00CA4ABC">
        <w:rPr>
          <w:rFonts w:eastAsia="Times New Roman" w:cstheme="minorHAnsi"/>
          <w:color w:val="000000" w:themeColor="text1"/>
        </w:rPr>
        <w:t xml:space="preserve"> </w:t>
      </w:r>
      <w:r w:rsidRPr="00CA4ABC">
        <w:rPr>
          <w:rFonts w:eastAsia="Times New Roman" w:cstheme="minorHAnsi"/>
          <w:color w:val="000000" w:themeColor="text1"/>
        </w:rPr>
        <w:fldChar w:fldCharType="begin" w:fldLock="1"/>
      </w:r>
      <w:r w:rsidR="00821D82">
        <w:rPr>
          <w:rFonts w:eastAsia="Times New Roman" w:cstheme="minorHAnsi"/>
          <w:color w:val="000000" w:themeColor="text1"/>
        </w:rPr>
        <w:instrText>ADDIN CSL_CITATION {"citationItems":[{"id":"ITEM-1","itemData":{"DOI":"10.1016/J.JAND.2013.01.014","ISSN":"2212-2672","PMID":"23491327","abstract":"Although protein intakes in the United States are widely regarded as adequate, attention has been given to potential inadequacy of recommendations or patterns of intake in older adults. The objectives of this research were to update and expand estimates of protein intake and adequacy in older US adults, with additional focus on contributions of animal source protein. Data were obtained from 1,768 adults aged 51 years and older in the National Health and Nutrition Examination Survey 2005-2006, the Food and Nutrient Database for Dietary Studies, and US Department of Agriculture Standard Reference datasets. Estimates of inadequate intakes ranged from &lt;1% to 5% of men aged 51 to 70 years to 9% to 24% of women aged ≥71 years, depending on whether adjusted or actual body weights were used to calculate grams of protein per kilogram of body weight. Mean usual protein intakes were 94±22 g/day and 56±13 g/day in those same groups, with 15.3%±2.3% and 15.4%±2.4% of energy from protein. Animal sources provided &gt;60% of protein intake, on average. In regression models with energy intake, age, sex, ethnicity, and education as covariables, percent protein from animal sources predicted protein intake and odds of meeting the Recommended Dietary Allowances (P&lt;0.001). Consumption of total and animal-source protein was skewed to the evening meal. Findings highlight the influence of body weight choice (actual vs adjusted) on estimates of protein inadequacy, and suggest the need for careful consideration of protein source in adults at risk for inadequacy. Research is needed to establish optimal protein intakes, sources, and patterns. © 2013 Academy of Nutrition and Dietetics.","author":[{"dropping-particle":"","family":"Berner","given":"Louise A.","non-dropping-particle":"","parse-names":false,"suffix":""},{"dropping-particle":"","family":"Becker","given":"Gabriel","non-dropping-particle":"","parse-names":false,"suffix":""},{"dropping-particle":"","family":"Wise","given":"Maxwell","non-dropping-particle":"","parse-names":false,"suffix":""},{"dropping-particle":"","family":"Doi","given":"Jimmy","non-dropping-particle":"","parse-names":false,"suffix":""}],"container-title":"Journal of the Academy of Nutrition and Dietetics","id":"ITEM-1","issue":"6","issued":{"date-parts":[["2013","6"]]},"page":"809-815","publisher":"J Acad Nutr Diet","title":"Characterization of dietary protein among older adults in the United States: amount, animal sources, and meal patterns","type":"article-journal","volume":"113"},"uris":["http://www.mendeley.com/documents/?uuid=f548e0c0-2e8d-3754-87d0-f85c321f01cf"]}],"mendeley":{"formattedCitation":"(273)","plainTextFormattedCitation":"(273)","previouslyFormattedCitation":"(273)"},"properties":{"noteIndex":0},"schema":"https://github.com/citation-style-language/schema/raw/master/csl-citation.json"}</w:instrText>
      </w:r>
      <w:r w:rsidRPr="00CA4ABC">
        <w:rPr>
          <w:rFonts w:eastAsia="Times New Roman" w:cstheme="minorHAnsi"/>
          <w:color w:val="000000" w:themeColor="text1"/>
        </w:rPr>
        <w:fldChar w:fldCharType="separate"/>
      </w:r>
      <w:r w:rsidR="00FF0BCE" w:rsidRPr="00FF0BCE">
        <w:rPr>
          <w:rFonts w:eastAsia="Times New Roman" w:cstheme="minorHAnsi"/>
          <w:noProof/>
          <w:color w:val="000000" w:themeColor="text1"/>
        </w:rPr>
        <w:t>(273)</w:t>
      </w:r>
      <w:r w:rsidRPr="00CA4ABC">
        <w:rPr>
          <w:rFonts w:eastAsia="Times New Roman" w:cstheme="minorHAnsi"/>
          <w:color w:val="000000" w:themeColor="text1"/>
        </w:rPr>
        <w:fldChar w:fldCharType="end"/>
      </w:r>
      <w:r w:rsidRPr="00CA4ABC">
        <w:rPr>
          <w:rFonts w:eastAsia="Times New Roman" w:cstheme="minorHAnsi"/>
          <w:color w:val="000000" w:themeColor="text1"/>
        </w:rPr>
        <w:t xml:space="preserve">, meaning three protein </w:t>
      </w:r>
      <w:r w:rsidR="0096758F" w:rsidRPr="00CA4ABC">
        <w:rPr>
          <w:rFonts w:eastAsia="Times New Roman" w:cstheme="minorHAnsi"/>
          <w:color w:val="000000" w:themeColor="text1"/>
        </w:rPr>
        <w:t>‘</w:t>
      </w:r>
      <w:r w:rsidRPr="00CA4ABC">
        <w:rPr>
          <w:rFonts w:eastAsia="Times New Roman" w:cstheme="minorHAnsi"/>
          <w:color w:val="000000" w:themeColor="text1"/>
        </w:rPr>
        <w:t>hits</w:t>
      </w:r>
      <w:r w:rsidR="0096758F" w:rsidRPr="00CA4ABC">
        <w:rPr>
          <w:rFonts w:eastAsia="Times New Roman" w:cstheme="minorHAnsi"/>
          <w:color w:val="000000" w:themeColor="text1"/>
        </w:rPr>
        <w:t>’</w:t>
      </w:r>
      <w:r w:rsidRPr="00CA4ABC">
        <w:rPr>
          <w:rFonts w:eastAsia="Times New Roman" w:cstheme="minorHAnsi"/>
          <w:color w:val="000000" w:themeColor="text1"/>
        </w:rPr>
        <w:t xml:space="preserve"> per day could be achieved with this supplementation strategy.  A lower supplement dosing regimen (15g/day) was also delivered to explore this as a</w:t>
      </w:r>
      <w:r w:rsidR="005F3676" w:rsidRPr="00CA4ABC">
        <w:rPr>
          <w:rFonts w:eastAsia="Times New Roman" w:cstheme="minorHAnsi"/>
          <w:color w:val="000000" w:themeColor="text1"/>
        </w:rPr>
        <w:t xml:space="preserve"> possible</w:t>
      </w:r>
      <w:r w:rsidRPr="00CA4ABC">
        <w:rPr>
          <w:rFonts w:eastAsia="Times New Roman" w:cstheme="minorHAnsi"/>
          <w:color w:val="000000" w:themeColor="text1"/>
        </w:rPr>
        <w:t xml:space="preserve"> effective alternative supplement strategy if the higher dose could not be tolerated, adhered to or led to detrimental outcomes, such as appetite implications or adverse events e.g. nausea.</w:t>
      </w:r>
    </w:p>
    <w:p w14:paraId="1CF31C86" w14:textId="77777777" w:rsidR="000D43AA" w:rsidRPr="00CA4ABC" w:rsidRDefault="000D43AA" w:rsidP="000D43AA">
      <w:pPr>
        <w:rPr>
          <w:rFonts w:cstheme="minorHAnsi"/>
          <w:lang w:eastAsia="en-GB"/>
        </w:rPr>
      </w:pPr>
    </w:p>
    <w:p w14:paraId="27839148" w14:textId="29D63A0B" w:rsidR="004C12CF" w:rsidRPr="00CA4ABC" w:rsidRDefault="004C12CF" w:rsidP="004053D7">
      <w:pPr>
        <w:pStyle w:val="Heading3"/>
        <w:spacing w:line="360" w:lineRule="auto"/>
        <w:rPr>
          <w:rFonts w:asciiTheme="minorHAnsi" w:eastAsia="Times New Roman" w:hAnsiTheme="minorHAnsi" w:cstheme="minorHAnsi"/>
          <w:b/>
          <w:bCs/>
          <w:color w:val="000000" w:themeColor="text1"/>
        </w:rPr>
      </w:pPr>
      <w:bookmarkStart w:id="239" w:name="_Toc135384347"/>
      <w:r w:rsidRPr="00CA4ABC">
        <w:rPr>
          <w:rFonts w:asciiTheme="minorHAnsi" w:eastAsia="Times New Roman" w:hAnsiTheme="minorHAnsi" w:cstheme="minorHAnsi"/>
          <w:color w:val="000000" w:themeColor="text1"/>
        </w:rPr>
        <w:lastRenderedPageBreak/>
        <w:t>5.2.6 Study Measures</w:t>
      </w:r>
      <w:bookmarkEnd w:id="239"/>
      <w:r w:rsidRPr="00CA4ABC">
        <w:rPr>
          <w:rFonts w:asciiTheme="minorHAnsi" w:eastAsia="Times New Roman" w:hAnsiTheme="minorHAnsi" w:cstheme="minorHAnsi"/>
          <w:b/>
          <w:bCs/>
          <w:color w:val="000000" w:themeColor="text1"/>
        </w:rPr>
        <w:t xml:space="preserve"> </w:t>
      </w:r>
    </w:p>
    <w:p w14:paraId="4B634F83" w14:textId="483D9292" w:rsidR="006A7350" w:rsidRPr="00CA4ABC" w:rsidRDefault="004C12CF" w:rsidP="006A7350">
      <w:pPr>
        <w:pStyle w:val="Heading3"/>
        <w:spacing w:line="360" w:lineRule="auto"/>
        <w:rPr>
          <w:rFonts w:asciiTheme="minorHAnsi" w:eastAsia="Times New Roman" w:hAnsiTheme="minorHAnsi" w:cstheme="minorHAnsi"/>
          <w:color w:val="000000" w:themeColor="text1"/>
        </w:rPr>
      </w:pPr>
      <w:bookmarkStart w:id="240" w:name="_Toc135384348"/>
      <w:r w:rsidRPr="00CA4ABC">
        <w:rPr>
          <w:rFonts w:asciiTheme="minorHAnsi" w:eastAsia="Times New Roman" w:hAnsiTheme="minorHAnsi" w:cstheme="minorHAnsi"/>
          <w:color w:val="000000" w:themeColor="text1"/>
        </w:rPr>
        <w:t>5.2.6.1 Feasibility measurements</w:t>
      </w:r>
      <w:bookmarkEnd w:id="240"/>
    </w:p>
    <w:p w14:paraId="666BB60B" w14:textId="77777777" w:rsidR="006A7350" w:rsidRPr="00CA4ABC" w:rsidRDefault="004C12CF" w:rsidP="006A7350">
      <w:pPr>
        <w:pStyle w:val="Heading3"/>
        <w:spacing w:line="360" w:lineRule="auto"/>
        <w:ind w:firstLine="720"/>
        <w:rPr>
          <w:rFonts w:asciiTheme="minorHAnsi" w:eastAsia="Times New Roman" w:hAnsiTheme="minorHAnsi" w:cstheme="minorHAnsi"/>
          <w:color w:val="000000" w:themeColor="text1"/>
        </w:rPr>
      </w:pPr>
      <w:bookmarkStart w:id="241" w:name="_Toc127044451"/>
      <w:bookmarkStart w:id="242" w:name="_Toc127527483"/>
      <w:bookmarkStart w:id="243" w:name="_Toc127967639"/>
      <w:bookmarkStart w:id="244" w:name="_Toc135384349"/>
      <w:r w:rsidRPr="00CA4ABC">
        <w:rPr>
          <w:rFonts w:asciiTheme="minorHAnsi" w:eastAsia="Times New Roman" w:hAnsiTheme="minorHAnsi" w:cstheme="minorHAnsi"/>
          <w:color w:val="000000" w:themeColor="text1"/>
        </w:rPr>
        <w:t>Measures were taken to address the primary aims of this research, relating to the feasibility outcomes.</w:t>
      </w:r>
      <w:bookmarkEnd w:id="241"/>
      <w:bookmarkEnd w:id="242"/>
      <w:bookmarkEnd w:id="243"/>
      <w:bookmarkEnd w:id="244"/>
    </w:p>
    <w:p w14:paraId="725A3079" w14:textId="7058D972" w:rsidR="004C12CF" w:rsidRPr="00CA4ABC" w:rsidRDefault="00611B08" w:rsidP="006A7350">
      <w:pPr>
        <w:pStyle w:val="Heading3"/>
        <w:spacing w:line="360" w:lineRule="auto"/>
        <w:rPr>
          <w:rFonts w:asciiTheme="minorHAnsi" w:eastAsia="Times New Roman" w:hAnsiTheme="minorHAnsi" w:cstheme="minorHAnsi"/>
          <w:color w:val="000000" w:themeColor="text1"/>
        </w:rPr>
      </w:pPr>
      <w:bookmarkStart w:id="245" w:name="_Toc125879946"/>
      <w:bookmarkStart w:id="246" w:name="_Toc127044452"/>
      <w:bookmarkStart w:id="247" w:name="_Toc127527484"/>
      <w:bookmarkStart w:id="248" w:name="_Toc127967640"/>
      <w:bookmarkStart w:id="249" w:name="_Toc135384350"/>
      <w:r>
        <w:rPr>
          <w:rFonts w:asciiTheme="minorHAnsi" w:eastAsia="Times New Roman" w:hAnsiTheme="minorHAnsi" w:cstheme="minorHAnsi"/>
          <w:color w:val="000000" w:themeColor="text1"/>
        </w:rPr>
        <w:t>The researcher recorded attendance at live video sessions</w:t>
      </w:r>
      <w:r w:rsidR="004C12CF" w:rsidRPr="00CA4ABC">
        <w:rPr>
          <w:rFonts w:asciiTheme="minorHAnsi" w:eastAsia="Times New Roman" w:hAnsiTheme="minorHAnsi" w:cstheme="minorHAnsi"/>
          <w:color w:val="000000" w:themeColor="text1"/>
        </w:rPr>
        <w:t xml:space="preserve">. Documentation of band colours and session intensity ratings by the participants helped </w:t>
      </w:r>
      <w:r w:rsidR="00EC37F5" w:rsidRPr="00CA4ABC">
        <w:rPr>
          <w:rFonts w:asciiTheme="minorHAnsi" w:eastAsia="Times New Roman" w:hAnsiTheme="minorHAnsi" w:cstheme="minorHAnsi"/>
          <w:color w:val="000000" w:themeColor="text1"/>
        </w:rPr>
        <w:t>understand</w:t>
      </w:r>
      <w:r w:rsidR="004C12CF" w:rsidRPr="00CA4ABC">
        <w:rPr>
          <w:rFonts w:asciiTheme="minorHAnsi" w:eastAsia="Times New Roman" w:hAnsiTheme="minorHAnsi" w:cstheme="minorHAnsi"/>
          <w:color w:val="000000" w:themeColor="text1"/>
        </w:rPr>
        <w:t xml:space="preserve"> </w:t>
      </w:r>
      <w:r w:rsidR="005613F3" w:rsidRPr="00CA4ABC">
        <w:rPr>
          <w:rFonts w:asciiTheme="minorHAnsi" w:eastAsia="Times New Roman" w:hAnsiTheme="minorHAnsi" w:cstheme="minorHAnsi"/>
          <w:color w:val="000000" w:themeColor="text1"/>
        </w:rPr>
        <w:t xml:space="preserve">the </w:t>
      </w:r>
      <w:r w:rsidR="004C12CF" w:rsidRPr="00CA4ABC">
        <w:rPr>
          <w:rFonts w:asciiTheme="minorHAnsi" w:eastAsia="Times New Roman" w:hAnsiTheme="minorHAnsi" w:cstheme="minorHAnsi"/>
          <w:color w:val="000000" w:themeColor="text1"/>
        </w:rPr>
        <w:t>fidelity of engagement.</w:t>
      </w:r>
      <w:bookmarkEnd w:id="245"/>
      <w:bookmarkEnd w:id="246"/>
      <w:bookmarkEnd w:id="247"/>
      <w:bookmarkEnd w:id="248"/>
      <w:bookmarkEnd w:id="249"/>
    </w:p>
    <w:p w14:paraId="09027DB5" w14:textId="3EDA8069"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Participants assigned to the protein intervention were provided with a tick sheet in their logbooks to record their daily supplement </w:t>
      </w:r>
      <w:r w:rsidR="00EC37F5" w:rsidRPr="00CA4ABC">
        <w:rPr>
          <w:rFonts w:eastAsia="Times New Roman" w:cstheme="minorHAnsi"/>
          <w:color w:val="000000" w:themeColor="text1"/>
          <w:lang w:eastAsia="en-GB"/>
        </w:rPr>
        <w:t xml:space="preserve">consumption </w:t>
      </w:r>
      <w:r w:rsidRPr="00CA4ABC">
        <w:rPr>
          <w:rFonts w:eastAsia="Times New Roman" w:cstheme="minorHAnsi"/>
          <w:color w:val="000000" w:themeColor="text1"/>
          <w:lang w:eastAsia="en-GB"/>
        </w:rPr>
        <w:t xml:space="preserve">(see appendix 14). Record sheets were checked during the final interview and participants were asked about adherence and missed supplements. </w:t>
      </w:r>
    </w:p>
    <w:p w14:paraId="3F9D4406" w14:textId="0EF93206"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Acceptability of the interventions was recorded in several ways. Participant</w:t>
      </w:r>
      <w:r w:rsidR="005613F3"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 xml:space="preserve"> were asked to document their experience throughout the trial using their logbooks (appendix 14.) At the end of the trial, participants were given a 16-question outcome questionnaire (appendix 16)</w:t>
      </w:r>
      <w:r w:rsidR="005D522B" w:rsidRPr="00CA4ABC">
        <w:rPr>
          <w:rFonts w:eastAsia="Times New Roman" w:cstheme="minorHAnsi"/>
          <w:color w:val="000000" w:themeColor="text1"/>
          <w:lang w:eastAsia="en-GB"/>
        </w:rPr>
        <w:t>, which included</w:t>
      </w:r>
      <w:r w:rsidRPr="00CA4ABC">
        <w:rPr>
          <w:rFonts w:eastAsia="Times New Roman" w:cstheme="minorHAnsi"/>
          <w:color w:val="000000" w:themeColor="text1"/>
          <w:lang w:eastAsia="en-GB"/>
        </w:rPr>
        <w:t xml:space="preserve"> </w:t>
      </w:r>
      <w:r w:rsidR="005613F3" w:rsidRPr="00CA4ABC">
        <w:rPr>
          <w:rFonts w:eastAsia="Times New Roman" w:cstheme="minorHAnsi"/>
          <w:color w:val="000000" w:themeColor="text1"/>
          <w:lang w:eastAsia="en-GB"/>
        </w:rPr>
        <w:t>Likert</w:t>
      </w:r>
      <w:r w:rsidRPr="00CA4ABC">
        <w:rPr>
          <w:rFonts w:eastAsia="Times New Roman" w:cstheme="minorHAnsi"/>
          <w:color w:val="000000" w:themeColor="text1"/>
          <w:lang w:eastAsia="en-GB"/>
        </w:rPr>
        <w:t xml:space="preserve"> scale</w:t>
      </w:r>
      <w:r w:rsidR="005D522B"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 xml:space="preserve">. </w:t>
      </w:r>
      <w:r w:rsidR="00EC37F5" w:rsidRPr="00CA4ABC">
        <w:rPr>
          <w:rFonts w:cstheme="minorHAnsi"/>
          <w:color w:val="000000"/>
          <w:shd w:val="clear" w:color="auto" w:fill="FFFFFF"/>
        </w:rPr>
        <w:t xml:space="preserve">They were also allowed to tick words that best described their experience of a specific element of the trial. </w:t>
      </w:r>
      <w:r w:rsidRPr="00CA4ABC">
        <w:rPr>
          <w:rFonts w:eastAsia="Times New Roman" w:cstheme="minorHAnsi"/>
          <w:color w:val="000000" w:themeColor="text1"/>
          <w:lang w:eastAsia="en-GB"/>
        </w:rPr>
        <w:t>Finally</w:t>
      </w:r>
      <w:r w:rsidR="005613F3" w:rsidRPr="00CA4ABC">
        <w:rPr>
          <w:rFonts w:eastAsia="Times New Roman" w:cstheme="minorHAnsi"/>
          <w:color w:val="000000" w:themeColor="text1"/>
          <w:lang w:eastAsia="en-GB"/>
        </w:rPr>
        <w:t>,</w:t>
      </w:r>
      <w:r w:rsidRPr="00CA4ABC">
        <w:rPr>
          <w:rFonts w:eastAsia="Times New Roman" w:cstheme="minorHAnsi"/>
          <w:color w:val="000000" w:themeColor="text1"/>
          <w:lang w:eastAsia="en-GB"/>
        </w:rPr>
        <w:t xml:space="preserve"> they </w:t>
      </w:r>
      <w:r w:rsidR="005613F3" w:rsidRPr="00CA4ABC">
        <w:rPr>
          <w:rFonts w:eastAsia="Times New Roman" w:cstheme="minorHAnsi"/>
          <w:color w:val="000000" w:themeColor="text1"/>
          <w:lang w:eastAsia="en-GB"/>
        </w:rPr>
        <w:t>could</w:t>
      </w:r>
      <w:r w:rsidRPr="00CA4ABC">
        <w:rPr>
          <w:rFonts w:eastAsia="Times New Roman" w:cstheme="minorHAnsi"/>
          <w:color w:val="000000" w:themeColor="text1"/>
          <w:lang w:eastAsia="en-GB"/>
        </w:rPr>
        <w:t xml:space="preserve"> provide longer written answer</w:t>
      </w:r>
      <w:r w:rsidR="000D43AA"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 xml:space="preserve"> including any further comments they thought </w:t>
      </w:r>
      <w:r w:rsidR="005613F3" w:rsidRPr="00CA4ABC">
        <w:rPr>
          <w:rFonts w:eastAsia="Times New Roman" w:cstheme="minorHAnsi"/>
          <w:color w:val="000000" w:themeColor="text1"/>
          <w:lang w:eastAsia="en-GB"/>
        </w:rPr>
        <w:t>were</w:t>
      </w:r>
      <w:r w:rsidRPr="00CA4ABC">
        <w:rPr>
          <w:rFonts w:eastAsia="Times New Roman" w:cstheme="minorHAnsi"/>
          <w:color w:val="000000" w:themeColor="text1"/>
          <w:lang w:eastAsia="en-GB"/>
        </w:rPr>
        <w:t xml:space="preserve"> necessary. Those assigned to the protein arms received an additional outcome questionnaire that was </w:t>
      </w:r>
      <w:r w:rsidR="005613F3" w:rsidRPr="00CA4ABC">
        <w:rPr>
          <w:rFonts w:eastAsia="Times New Roman" w:cstheme="minorHAnsi"/>
          <w:color w:val="000000" w:themeColor="text1"/>
          <w:lang w:eastAsia="en-GB"/>
        </w:rPr>
        <w:t>9 questions</w:t>
      </w:r>
      <w:r w:rsidRPr="00CA4ABC">
        <w:rPr>
          <w:rFonts w:eastAsia="Times New Roman" w:cstheme="minorHAnsi"/>
          <w:color w:val="000000" w:themeColor="text1"/>
          <w:lang w:eastAsia="en-GB"/>
        </w:rPr>
        <w:t xml:space="preserve"> in length (appendix 17</w:t>
      </w:r>
      <w:r w:rsidR="005D522B" w:rsidRPr="00CA4ABC">
        <w:rPr>
          <w:rFonts w:eastAsia="Times New Roman" w:cstheme="minorHAnsi"/>
          <w:color w:val="000000" w:themeColor="text1"/>
          <w:lang w:eastAsia="en-GB"/>
        </w:rPr>
        <w:t>.</w:t>
      </w:r>
      <w:r w:rsidRPr="00CA4ABC">
        <w:rPr>
          <w:rFonts w:eastAsia="Times New Roman" w:cstheme="minorHAnsi"/>
          <w:color w:val="000000" w:themeColor="text1"/>
          <w:lang w:eastAsia="en-GB"/>
        </w:rPr>
        <w:t xml:space="preserve">) </w:t>
      </w:r>
    </w:p>
    <w:p w14:paraId="4448EB9E" w14:textId="73C4670E" w:rsidR="005D522B" w:rsidRPr="00CA4ABC" w:rsidRDefault="005D522B" w:rsidP="005D522B">
      <w:pPr>
        <w:pStyle w:val="Heading3"/>
        <w:rPr>
          <w:rFonts w:asciiTheme="minorHAnsi" w:eastAsia="Times New Roman" w:hAnsiTheme="minorHAnsi" w:cstheme="minorHAnsi"/>
          <w:color w:val="000000" w:themeColor="text1"/>
        </w:rPr>
      </w:pPr>
      <w:bookmarkStart w:id="250" w:name="_Toc135384351"/>
      <w:r w:rsidRPr="00CA4ABC">
        <w:rPr>
          <w:rFonts w:asciiTheme="minorHAnsi" w:eastAsia="Times New Roman" w:hAnsiTheme="minorHAnsi" w:cstheme="minorHAnsi"/>
          <w:color w:val="000000" w:themeColor="text1"/>
        </w:rPr>
        <w:t>5.2.6.2 Semi-structured interviews</w:t>
      </w:r>
      <w:bookmarkEnd w:id="250"/>
    </w:p>
    <w:p w14:paraId="0F4767A9" w14:textId="15E462C8" w:rsidR="004C12CF" w:rsidRPr="00CA4ABC" w:rsidRDefault="004C12CF" w:rsidP="004053D7">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Semi-structured, </w:t>
      </w:r>
      <w:r w:rsidR="005613F3" w:rsidRPr="00CA4ABC">
        <w:rPr>
          <w:rFonts w:asciiTheme="minorHAnsi" w:hAnsiTheme="minorHAnsi" w:cstheme="minorHAnsi"/>
          <w:color w:val="000000" w:themeColor="text1"/>
        </w:rPr>
        <w:t>face-to-face</w:t>
      </w:r>
      <w:r w:rsidRPr="00CA4ABC">
        <w:rPr>
          <w:rFonts w:asciiTheme="minorHAnsi" w:hAnsiTheme="minorHAnsi" w:cstheme="minorHAnsi"/>
          <w:color w:val="000000" w:themeColor="text1"/>
        </w:rPr>
        <w:t xml:space="preserve"> interviews were </w:t>
      </w:r>
      <w:r w:rsidR="005D522B" w:rsidRPr="00CA4ABC">
        <w:rPr>
          <w:rFonts w:asciiTheme="minorHAnsi" w:hAnsiTheme="minorHAnsi" w:cstheme="minorHAnsi"/>
          <w:color w:val="000000" w:themeColor="text1"/>
        </w:rPr>
        <w:t>conducted</w:t>
      </w:r>
      <w:r w:rsidRPr="00CA4ABC">
        <w:rPr>
          <w:rFonts w:asciiTheme="minorHAnsi" w:hAnsiTheme="minorHAnsi" w:cstheme="minorHAnsi"/>
          <w:color w:val="000000" w:themeColor="text1"/>
        </w:rPr>
        <w:t xml:space="preserve"> with all participants. </w:t>
      </w:r>
      <w:r w:rsidR="005613F3" w:rsidRPr="00CA4ABC">
        <w:rPr>
          <w:rFonts w:asciiTheme="minorHAnsi" w:hAnsiTheme="minorHAnsi" w:cstheme="minorHAnsi"/>
          <w:color w:val="000000" w:themeColor="text1"/>
        </w:rPr>
        <w:t>These</w:t>
      </w:r>
      <w:r w:rsidR="005D522B" w:rsidRPr="00CA4ABC">
        <w:rPr>
          <w:rFonts w:asciiTheme="minorHAnsi" w:hAnsiTheme="minorHAnsi" w:cstheme="minorHAnsi"/>
          <w:color w:val="000000" w:themeColor="text1"/>
        </w:rPr>
        <w:t xml:space="preserve"> were audio recorded, </w:t>
      </w:r>
      <w:r w:rsidRPr="00CA4ABC">
        <w:rPr>
          <w:rFonts w:asciiTheme="minorHAnsi" w:hAnsiTheme="minorHAnsi" w:cstheme="minorHAnsi"/>
          <w:color w:val="000000" w:themeColor="text1"/>
        </w:rPr>
        <w:t>held at Sport Sheffield on visit two</w:t>
      </w:r>
      <w:r w:rsidR="005D522B"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 and conducted by the author of this thesis (ET).  An additional researcher, either AA or EH, w</w:t>
      </w:r>
      <w:r w:rsidR="000D43AA" w:rsidRPr="00CA4ABC">
        <w:rPr>
          <w:rFonts w:asciiTheme="minorHAnsi" w:hAnsiTheme="minorHAnsi" w:cstheme="minorHAnsi"/>
          <w:color w:val="000000" w:themeColor="text1"/>
        </w:rPr>
        <w:t>as</w:t>
      </w:r>
      <w:r w:rsidRPr="00CA4ABC">
        <w:rPr>
          <w:rFonts w:asciiTheme="minorHAnsi" w:hAnsiTheme="minorHAnsi" w:cstheme="minorHAnsi"/>
          <w:color w:val="000000" w:themeColor="text1"/>
        </w:rPr>
        <w:t xml:space="preserve"> present </w:t>
      </w:r>
      <w:r w:rsidR="003632BF" w:rsidRPr="00CA4ABC">
        <w:rPr>
          <w:rFonts w:asciiTheme="minorHAnsi" w:hAnsiTheme="minorHAnsi" w:cstheme="minorHAnsi"/>
          <w:color w:val="000000" w:themeColor="text1"/>
        </w:rPr>
        <w:t xml:space="preserve">for </w:t>
      </w:r>
      <w:r w:rsidR="000D43AA" w:rsidRPr="00CA4ABC">
        <w:rPr>
          <w:rFonts w:asciiTheme="minorHAnsi" w:hAnsiTheme="minorHAnsi" w:cstheme="minorHAnsi"/>
          <w:color w:val="000000" w:themeColor="text1"/>
        </w:rPr>
        <w:t>six</w:t>
      </w:r>
      <w:r w:rsidRPr="00CA4ABC">
        <w:rPr>
          <w:rFonts w:asciiTheme="minorHAnsi" w:hAnsiTheme="minorHAnsi" w:cstheme="minorHAnsi"/>
          <w:color w:val="000000" w:themeColor="text1"/>
        </w:rPr>
        <w:t xml:space="preserve"> of </w:t>
      </w:r>
      <w:r w:rsidR="000D43AA" w:rsidRPr="00CA4ABC">
        <w:rPr>
          <w:rFonts w:asciiTheme="minorHAnsi" w:hAnsiTheme="minorHAnsi" w:cstheme="minorHAnsi"/>
          <w:color w:val="000000" w:themeColor="text1"/>
        </w:rPr>
        <w:t xml:space="preserve">the </w:t>
      </w:r>
      <w:r w:rsidRPr="00CA4ABC">
        <w:rPr>
          <w:rFonts w:asciiTheme="minorHAnsi" w:hAnsiTheme="minorHAnsi" w:cstheme="minorHAnsi"/>
          <w:color w:val="000000" w:themeColor="text1"/>
        </w:rPr>
        <w:t xml:space="preserve">interviews.  </w:t>
      </w:r>
    </w:p>
    <w:p w14:paraId="41606AD4" w14:textId="79CB7648" w:rsidR="004C12CF" w:rsidRPr="00CA4ABC" w:rsidRDefault="004C12CF" w:rsidP="004053D7">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The aim of these interviews</w:t>
      </w:r>
      <w:r w:rsidR="000D43AA" w:rsidRPr="00CA4ABC">
        <w:rPr>
          <w:rFonts w:asciiTheme="minorHAnsi" w:hAnsiTheme="minorHAnsi" w:cstheme="minorHAnsi"/>
          <w:color w:val="000000" w:themeColor="text1"/>
        </w:rPr>
        <w:t xml:space="preserve"> was to</w:t>
      </w:r>
      <w:r w:rsidRPr="00CA4ABC">
        <w:rPr>
          <w:rFonts w:asciiTheme="minorHAnsi" w:hAnsiTheme="minorHAnsi" w:cstheme="minorHAnsi"/>
          <w:color w:val="000000" w:themeColor="text1"/>
        </w:rPr>
        <w:t xml:space="preserve"> gain further information about the study experience. This information could then be utilised to understand whether</w:t>
      </w:r>
      <w:r w:rsidR="00EC37F5" w:rsidRPr="00CA4ABC">
        <w:rPr>
          <w:rFonts w:asciiTheme="minorHAnsi" w:hAnsiTheme="minorHAnsi" w:cstheme="minorHAnsi"/>
          <w:color w:val="000000" w:themeColor="text1"/>
        </w:rPr>
        <w:t xml:space="preserve"> the</w:t>
      </w:r>
      <w:r w:rsidRPr="00CA4ABC">
        <w:rPr>
          <w:rFonts w:asciiTheme="minorHAnsi" w:hAnsiTheme="minorHAnsi" w:cstheme="minorHAnsi"/>
          <w:color w:val="000000" w:themeColor="text1"/>
        </w:rPr>
        <w:t xml:space="preserve"> progression of the study is practical and use any relevant feedback to make modifications for trial improvements. A topic guide (appendix 18) was created to reflect this aim. As part of the topic guide, an interview protocol was designed to ensure standardisation was carried out </w:t>
      </w:r>
      <w:r w:rsidR="000D43AA" w:rsidRPr="00CA4ABC">
        <w:rPr>
          <w:rFonts w:asciiTheme="minorHAnsi" w:hAnsiTheme="minorHAnsi" w:cstheme="minorHAnsi"/>
          <w:color w:val="000000" w:themeColor="text1"/>
        </w:rPr>
        <w:t>when conducting</w:t>
      </w:r>
      <w:r w:rsidRPr="00CA4ABC">
        <w:rPr>
          <w:rFonts w:asciiTheme="minorHAnsi" w:hAnsiTheme="minorHAnsi" w:cstheme="minorHAnsi"/>
          <w:color w:val="000000" w:themeColor="text1"/>
        </w:rPr>
        <w:t xml:space="preserve"> </w:t>
      </w:r>
      <w:r w:rsidRPr="00CA4ABC">
        <w:rPr>
          <w:rFonts w:asciiTheme="minorHAnsi" w:hAnsiTheme="minorHAnsi" w:cstheme="minorHAnsi"/>
          <w:color w:val="000000" w:themeColor="text1"/>
        </w:rPr>
        <w:lastRenderedPageBreak/>
        <w:t>the interviews. This included setting up</w:t>
      </w:r>
      <w:r w:rsidR="000D43AA" w:rsidRPr="00CA4ABC">
        <w:rPr>
          <w:rFonts w:asciiTheme="minorHAnsi" w:hAnsiTheme="minorHAnsi" w:cstheme="minorHAnsi"/>
          <w:color w:val="000000" w:themeColor="text1"/>
        </w:rPr>
        <w:t xml:space="preserve">, </w:t>
      </w:r>
      <w:r w:rsidR="005613F3" w:rsidRPr="00CA4ABC">
        <w:rPr>
          <w:rFonts w:asciiTheme="minorHAnsi" w:hAnsiTheme="minorHAnsi" w:cstheme="minorHAnsi"/>
          <w:color w:val="000000" w:themeColor="text1"/>
        </w:rPr>
        <w:t>ensuring</w:t>
      </w:r>
      <w:r w:rsidRPr="00CA4ABC">
        <w:rPr>
          <w:rFonts w:asciiTheme="minorHAnsi" w:hAnsiTheme="minorHAnsi" w:cstheme="minorHAnsi"/>
          <w:color w:val="000000" w:themeColor="text1"/>
        </w:rPr>
        <w:t xml:space="preserve"> all equipment was working and that the necessary paperwork </w:t>
      </w:r>
      <w:r w:rsidR="005613F3" w:rsidRPr="00CA4ABC">
        <w:rPr>
          <w:rFonts w:asciiTheme="minorHAnsi" w:hAnsiTheme="minorHAnsi" w:cstheme="minorHAnsi"/>
          <w:color w:val="000000" w:themeColor="text1"/>
        </w:rPr>
        <w:t xml:space="preserve">was </w:t>
      </w:r>
      <w:r w:rsidRPr="00CA4ABC">
        <w:rPr>
          <w:rFonts w:asciiTheme="minorHAnsi" w:hAnsiTheme="minorHAnsi" w:cstheme="minorHAnsi"/>
          <w:color w:val="000000" w:themeColor="text1"/>
        </w:rPr>
        <w:t xml:space="preserve">completed. </w:t>
      </w:r>
      <w:r w:rsidR="00905BF5" w:rsidRPr="00CA4ABC">
        <w:rPr>
          <w:rFonts w:asciiTheme="minorHAnsi" w:hAnsiTheme="minorHAnsi" w:cstheme="minorHAnsi"/>
          <w:color w:val="000000" w:themeColor="text1"/>
        </w:rPr>
        <w:t>Participants</w:t>
      </w:r>
      <w:r w:rsidR="005613F3" w:rsidRPr="00CA4ABC">
        <w:rPr>
          <w:rFonts w:asciiTheme="minorHAnsi" w:hAnsiTheme="minorHAnsi" w:cstheme="minorHAnsi"/>
          <w:color w:val="000000" w:themeColor="text1"/>
        </w:rPr>
        <w:t>’</w:t>
      </w:r>
      <w:r w:rsidR="00905BF5" w:rsidRPr="00CA4ABC">
        <w:rPr>
          <w:rFonts w:asciiTheme="minorHAnsi" w:hAnsiTheme="minorHAnsi" w:cstheme="minorHAnsi"/>
          <w:color w:val="000000" w:themeColor="text1"/>
        </w:rPr>
        <w:t xml:space="preserve"> consent was re-affirmed</w:t>
      </w:r>
      <w:r w:rsidR="0096758F"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 </w:t>
      </w:r>
      <w:r w:rsidR="007872CF" w:rsidRPr="00CA4ABC">
        <w:rPr>
          <w:rFonts w:asciiTheme="minorHAnsi" w:hAnsiTheme="minorHAnsi" w:cstheme="minorHAnsi"/>
          <w:color w:val="000000" w:themeColor="text1"/>
        </w:rPr>
        <w:t>including getting permission to record the interview. T</w:t>
      </w:r>
      <w:r w:rsidRPr="00CA4ABC">
        <w:rPr>
          <w:rFonts w:asciiTheme="minorHAnsi" w:hAnsiTheme="minorHAnsi" w:cstheme="minorHAnsi"/>
          <w:color w:val="000000" w:themeColor="text1"/>
        </w:rPr>
        <w:t>hey were</w:t>
      </w:r>
      <w:r w:rsidR="007872CF" w:rsidRPr="00CA4ABC">
        <w:rPr>
          <w:rFonts w:asciiTheme="minorHAnsi" w:hAnsiTheme="minorHAnsi" w:cstheme="minorHAnsi"/>
          <w:color w:val="000000" w:themeColor="text1"/>
        </w:rPr>
        <w:t xml:space="preserve"> also</w:t>
      </w:r>
      <w:r w:rsidRPr="00CA4ABC">
        <w:rPr>
          <w:rFonts w:asciiTheme="minorHAnsi" w:hAnsiTheme="minorHAnsi" w:cstheme="minorHAnsi"/>
          <w:color w:val="000000" w:themeColor="text1"/>
        </w:rPr>
        <w:t xml:space="preserve"> reminded that they were free to withdraw and</w:t>
      </w:r>
      <w:r w:rsidR="0096758F" w:rsidRPr="00CA4ABC">
        <w:rPr>
          <w:rFonts w:asciiTheme="minorHAnsi" w:hAnsiTheme="minorHAnsi" w:cstheme="minorHAnsi"/>
          <w:color w:val="000000" w:themeColor="text1"/>
        </w:rPr>
        <w:t xml:space="preserve"> able</w:t>
      </w:r>
      <w:r w:rsidRPr="00CA4ABC">
        <w:rPr>
          <w:rFonts w:asciiTheme="minorHAnsi" w:hAnsiTheme="minorHAnsi" w:cstheme="minorHAnsi"/>
          <w:color w:val="000000" w:themeColor="text1"/>
        </w:rPr>
        <w:t xml:space="preserve"> </w:t>
      </w:r>
      <w:r w:rsidR="005613F3" w:rsidRPr="00CA4ABC">
        <w:rPr>
          <w:rFonts w:asciiTheme="minorHAnsi" w:hAnsiTheme="minorHAnsi" w:cstheme="minorHAnsi"/>
          <w:color w:val="000000" w:themeColor="text1"/>
        </w:rPr>
        <w:t xml:space="preserve">to </w:t>
      </w:r>
      <w:r w:rsidRPr="00CA4ABC">
        <w:rPr>
          <w:rFonts w:asciiTheme="minorHAnsi" w:hAnsiTheme="minorHAnsi" w:cstheme="minorHAnsi"/>
          <w:color w:val="000000" w:themeColor="text1"/>
        </w:rPr>
        <w:t>stop the interview at any point</w:t>
      </w:r>
      <w:r w:rsidR="0096758F" w:rsidRPr="00CA4ABC">
        <w:rPr>
          <w:rFonts w:asciiTheme="minorHAnsi" w:hAnsiTheme="minorHAnsi" w:cstheme="minorHAnsi"/>
          <w:color w:val="000000" w:themeColor="text1"/>
        </w:rPr>
        <w:t xml:space="preserve"> and it was checked they were comfortable to commence</w:t>
      </w:r>
      <w:r w:rsidRPr="00CA4ABC">
        <w:rPr>
          <w:rFonts w:asciiTheme="minorHAnsi" w:hAnsiTheme="minorHAnsi" w:cstheme="minorHAnsi"/>
          <w:color w:val="000000" w:themeColor="text1"/>
        </w:rPr>
        <w:t xml:space="preserve">. </w:t>
      </w:r>
    </w:p>
    <w:p w14:paraId="2AEF15D8" w14:textId="2C23D60B" w:rsidR="004C12CF" w:rsidRPr="00CA4ABC" w:rsidRDefault="004C12CF" w:rsidP="004053D7">
      <w:pPr>
        <w:spacing w:line="360" w:lineRule="auto"/>
        <w:rPr>
          <w:rFonts w:cstheme="minorHAnsi"/>
          <w:color w:val="000000" w:themeColor="text1"/>
        </w:rPr>
      </w:pPr>
      <w:r w:rsidRPr="00CA4ABC">
        <w:rPr>
          <w:rFonts w:cstheme="minorHAnsi"/>
          <w:color w:val="000000" w:themeColor="text1"/>
        </w:rPr>
        <w:t>Part 1 of the interview focused o</w:t>
      </w:r>
      <w:r w:rsidR="005613F3" w:rsidRPr="00CA4ABC">
        <w:rPr>
          <w:rFonts w:cstheme="minorHAnsi"/>
          <w:color w:val="000000" w:themeColor="text1"/>
        </w:rPr>
        <w:t>n</w:t>
      </w:r>
      <w:r w:rsidRPr="00CA4ABC">
        <w:rPr>
          <w:rFonts w:cstheme="minorHAnsi"/>
          <w:color w:val="000000" w:themeColor="text1"/>
        </w:rPr>
        <w:t xml:space="preserve"> gathering contextual evidence, </w:t>
      </w:r>
      <w:r w:rsidR="00FB4249" w:rsidRPr="00CA4ABC">
        <w:rPr>
          <w:rFonts w:cstheme="minorHAnsi"/>
          <w:color w:val="000000" w:themeColor="text1"/>
        </w:rPr>
        <w:t xml:space="preserve">and </w:t>
      </w:r>
      <w:r w:rsidRPr="00CA4ABC">
        <w:rPr>
          <w:rFonts w:cstheme="minorHAnsi"/>
          <w:color w:val="000000" w:themeColor="text1"/>
        </w:rPr>
        <w:t>finding out about the participant</w:t>
      </w:r>
      <w:r w:rsidR="005613F3" w:rsidRPr="00CA4ABC">
        <w:rPr>
          <w:rFonts w:cstheme="minorHAnsi"/>
          <w:color w:val="000000" w:themeColor="text1"/>
        </w:rPr>
        <w:t>s’</w:t>
      </w:r>
      <w:r w:rsidRPr="00CA4ABC">
        <w:rPr>
          <w:rFonts w:cstheme="minorHAnsi"/>
          <w:color w:val="000000" w:themeColor="text1"/>
        </w:rPr>
        <w:t xml:space="preserve"> lifestyle and baseline activity levels. Part 2 explored the exercise interventions. Part 3 was an optional nutrition intervention section. Part 4 explored behaviour changes that occurred from engaging in the intervention trial. Finally, part 5 concluded the interview, including </w:t>
      </w:r>
      <w:r w:rsidR="000D43AA" w:rsidRPr="00CA4ABC">
        <w:rPr>
          <w:rFonts w:cstheme="minorHAnsi"/>
          <w:color w:val="000000" w:themeColor="text1"/>
        </w:rPr>
        <w:t>questioning</w:t>
      </w:r>
      <w:r w:rsidRPr="00CA4ABC">
        <w:rPr>
          <w:rFonts w:cstheme="minorHAnsi"/>
          <w:color w:val="000000" w:themeColor="text1"/>
        </w:rPr>
        <w:t xml:space="preserve"> the overall highs/low</w:t>
      </w:r>
      <w:r w:rsidR="00FB4249" w:rsidRPr="00CA4ABC">
        <w:rPr>
          <w:rFonts w:cstheme="minorHAnsi"/>
          <w:color w:val="000000" w:themeColor="text1"/>
        </w:rPr>
        <w:t>s</w:t>
      </w:r>
      <w:r w:rsidRPr="00CA4ABC">
        <w:rPr>
          <w:rFonts w:cstheme="minorHAnsi"/>
          <w:color w:val="000000" w:themeColor="text1"/>
        </w:rPr>
        <w:t xml:space="preserve">, </w:t>
      </w:r>
      <w:r w:rsidR="000D43AA" w:rsidRPr="00CA4ABC">
        <w:rPr>
          <w:rFonts w:cstheme="minorHAnsi"/>
          <w:color w:val="000000" w:themeColor="text1"/>
        </w:rPr>
        <w:t>requesting</w:t>
      </w:r>
      <w:r w:rsidRPr="00CA4ABC">
        <w:rPr>
          <w:rFonts w:cstheme="minorHAnsi"/>
          <w:color w:val="000000" w:themeColor="text1"/>
        </w:rPr>
        <w:t xml:space="preserve"> final feedback and overall view</w:t>
      </w:r>
      <w:r w:rsidR="00FB4249" w:rsidRPr="00CA4ABC">
        <w:rPr>
          <w:rFonts w:cstheme="minorHAnsi"/>
          <w:color w:val="000000" w:themeColor="text1"/>
        </w:rPr>
        <w:t>s</w:t>
      </w:r>
      <w:r w:rsidRPr="00CA4ABC">
        <w:rPr>
          <w:rFonts w:cstheme="minorHAnsi"/>
          <w:color w:val="000000" w:themeColor="text1"/>
        </w:rPr>
        <w:t>/comments/thoughts</w:t>
      </w:r>
      <w:r w:rsidR="000D43AA" w:rsidRPr="00CA4ABC">
        <w:rPr>
          <w:rFonts w:cstheme="minorHAnsi"/>
          <w:color w:val="000000" w:themeColor="text1"/>
        </w:rPr>
        <w:t xml:space="preserve"> and g</w:t>
      </w:r>
      <w:r w:rsidR="007872CF" w:rsidRPr="00CA4ABC">
        <w:rPr>
          <w:rFonts w:cstheme="minorHAnsi"/>
          <w:color w:val="000000" w:themeColor="text1"/>
        </w:rPr>
        <w:t>ave</w:t>
      </w:r>
      <w:r w:rsidR="000D43AA" w:rsidRPr="00CA4ABC">
        <w:rPr>
          <w:rFonts w:cstheme="minorHAnsi"/>
          <w:color w:val="000000" w:themeColor="text1"/>
        </w:rPr>
        <w:t xml:space="preserve"> the participants an opportunity to ask questions.</w:t>
      </w:r>
    </w:p>
    <w:p w14:paraId="3125B63E" w14:textId="6C7BE3A2" w:rsidR="004C12CF" w:rsidRPr="00CA4ABC" w:rsidRDefault="004C12CF" w:rsidP="004053D7">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Recordings were made using an audio recorder </w:t>
      </w:r>
      <w:r w:rsidR="00FB4249" w:rsidRPr="00CA4ABC">
        <w:rPr>
          <w:rFonts w:asciiTheme="minorHAnsi" w:hAnsiTheme="minorHAnsi" w:cstheme="minorHAnsi"/>
          <w:color w:val="000000" w:themeColor="text1"/>
        </w:rPr>
        <w:t>d</w:t>
      </w:r>
      <w:r w:rsidRPr="00CA4ABC">
        <w:rPr>
          <w:rFonts w:asciiTheme="minorHAnsi" w:hAnsiTheme="minorHAnsi" w:cstheme="minorHAnsi"/>
          <w:color w:val="000000" w:themeColor="text1"/>
        </w:rPr>
        <w:t xml:space="preserve">ictaphone (Philips, voice tracer, DVT1160). The participants were alerted when the recording was started and this was stopped at the end of the interview. The participants were thanked for their involvement and provided with </w:t>
      </w:r>
      <w:r w:rsidR="007872CF" w:rsidRPr="00CA4ABC">
        <w:rPr>
          <w:rFonts w:asciiTheme="minorHAnsi" w:hAnsiTheme="minorHAnsi" w:cstheme="minorHAnsi"/>
          <w:color w:val="000000" w:themeColor="text1"/>
        </w:rPr>
        <w:t xml:space="preserve">a </w:t>
      </w:r>
      <w:r w:rsidRPr="00CA4ABC">
        <w:rPr>
          <w:rFonts w:asciiTheme="minorHAnsi" w:hAnsiTheme="minorHAnsi" w:cstheme="minorHAnsi"/>
          <w:color w:val="000000" w:themeColor="text1"/>
        </w:rPr>
        <w:t>£40 amazon voucher to compensate them for their travel expenses</w:t>
      </w:r>
      <w:r w:rsidR="00A509CC" w:rsidRPr="00CA4ABC">
        <w:rPr>
          <w:rFonts w:asciiTheme="minorHAnsi" w:hAnsiTheme="minorHAnsi" w:cstheme="minorHAnsi"/>
          <w:color w:val="000000" w:themeColor="text1"/>
        </w:rPr>
        <w:t xml:space="preserve">, but </w:t>
      </w:r>
      <w:r w:rsidR="007872CF" w:rsidRPr="00CA4ABC">
        <w:rPr>
          <w:rFonts w:asciiTheme="minorHAnsi" w:hAnsiTheme="minorHAnsi" w:cstheme="minorHAnsi"/>
          <w:color w:val="000000" w:themeColor="text1"/>
        </w:rPr>
        <w:t xml:space="preserve">this </w:t>
      </w:r>
      <w:r w:rsidR="00A509CC" w:rsidRPr="00CA4ABC">
        <w:rPr>
          <w:rFonts w:asciiTheme="minorHAnsi" w:hAnsiTheme="minorHAnsi" w:cstheme="minorHAnsi"/>
          <w:color w:val="000000" w:themeColor="text1"/>
        </w:rPr>
        <w:t>was not intended to provide payment for trial involvement.</w:t>
      </w:r>
      <w:r w:rsidRPr="00CA4ABC">
        <w:rPr>
          <w:rFonts w:asciiTheme="minorHAnsi" w:hAnsiTheme="minorHAnsi" w:cstheme="minorHAnsi"/>
          <w:color w:val="000000" w:themeColor="text1"/>
        </w:rPr>
        <w:t xml:space="preserve"> All participants signed a confirmation receipt to acknowledge they had received this voucher.</w:t>
      </w:r>
    </w:p>
    <w:p w14:paraId="0ECD39E6" w14:textId="163FD69A"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Participants were instructed to report any adverse events to the research team either via telephone or email correspondence. They could also note these in their log book, but more immediate action was encouraged. </w:t>
      </w:r>
    </w:p>
    <w:p w14:paraId="7232EA11" w14:textId="2BE88720"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Weekly contact with participants </w:t>
      </w:r>
      <w:r w:rsidR="00FB4249" w:rsidRPr="00CA4ABC">
        <w:rPr>
          <w:rFonts w:eastAsia="Times New Roman" w:cstheme="minorHAnsi"/>
          <w:color w:val="000000" w:themeColor="text1"/>
          <w:lang w:eastAsia="en-GB"/>
        </w:rPr>
        <w:t>was</w:t>
      </w:r>
      <w:r w:rsidRPr="00CA4ABC">
        <w:rPr>
          <w:rFonts w:eastAsia="Times New Roman" w:cstheme="minorHAnsi"/>
          <w:color w:val="000000" w:themeColor="text1"/>
          <w:lang w:eastAsia="en-GB"/>
        </w:rPr>
        <w:t xml:space="preserve"> made either via video</w:t>
      </w:r>
      <w:r w:rsidR="00FB4249" w:rsidRPr="00CA4ABC">
        <w:rPr>
          <w:rFonts w:eastAsia="Times New Roman" w:cstheme="minorHAnsi"/>
          <w:color w:val="000000" w:themeColor="text1"/>
          <w:lang w:eastAsia="en-GB"/>
        </w:rPr>
        <w:t xml:space="preserve"> </w:t>
      </w:r>
      <w:r w:rsidRPr="00CA4ABC">
        <w:rPr>
          <w:rFonts w:eastAsia="Times New Roman" w:cstheme="minorHAnsi"/>
          <w:color w:val="000000" w:themeColor="text1"/>
          <w:lang w:eastAsia="en-GB"/>
        </w:rPr>
        <w:t xml:space="preserve">call or email. Check-ins included </w:t>
      </w:r>
      <w:r w:rsidR="007872CF" w:rsidRPr="00CA4ABC">
        <w:rPr>
          <w:rFonts w:eastAsia="Times New Roman" w:cstheme="minorHAnsi"/>
          <w:color w:val="000000" w:themeColor="text1"/>
          <w:lang w:eastAsia="en-GB"/>
        </w:rPr>
        <w:t xml:space="preserve"> monitoring </w:t>
      </w:r>
      <w:r w:rsidRPr="00CA4ABC">
        <w:rPr>
          <w:rFonts w:eastAsia="Times New Roman" w:cstheme="minorHAnsi"/>
          <w:color w:val="000000" w:themeColor="text1"/>
          <w:lang w:eastAsia="en-GB"/>
        </w:rPr>
        <w:t>adverse events or issues, acknowledgements of having successfully received the video recordings and reminders about completing their study documentation and log books.</w:t>
      </w:r>
    </w:p>
    <w:p w14:paraId="264A9340" w14:textId="2931C74B" w:rsidR="004C12CF" w:rsidRPr="00CA4ABC" w:rsidRDefault="004C12CF" w:rsidP="004053D7">
      <w:pPr>
        <w:pStyle w:val="Heading3"/>
        <w:spacing w:line="360" w:lineRule="auto"/>
        <w:rPr>
          <w:rFonts w:asciiTheme="minorHAnsi" w:eastAsia="Times New Roman" w:hAnsiTheme="minorHAnsi" w:cstheme="minorHAnsi"/>
          <w:color w:val="000000" w:themeColor="text1"/>
        </w:rPr>
      </w:pPr>
      <w:bookmarkStart w:id="251" w:name="_Toc135384352"/>
      <w:r w:rsidRPr="00CA4ABC">
        <w:rPr>
          <w:rFonts w:asciiTheme="minorHAnsi" w:eastAsia="Times New Roman" w:hAnsiTheme="minorHAnsi" w:cstheme="minorHAnsi"/>
          <w:color w:val="000000" w:themeColor="text1"/>
        </w:rPr>
        <w:t>5.2.6.3 Two-month follow</w:t>
      </w:r>
      <w:r w:rsidR="00FB4249"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up</w:t>
      </w:r>
      <w:bookmarkEnd w:id="251"/>
    </w:p>
    <w:p w14:paraId="15FFC882" w14:textId="5B70DE78" w:rsidR="004C12CF" w:rsidRPr="00CA4ABC" w:rsidRDefault="004C12CF" w:rsidP="00345581">
      <w:pPr>
        <w:spacing w:line="360" w:lineRule="auto"/>
        <w:ind w:firstLine="720"/>
        <w:rPr>
          <w:rFonts w:cstheme="minorHAnsi"/>
          <w:color w:val="000000" w:themeColor="text1"/>
        </w:rPr>
      </w:pPr>
      <w:r w:rsidRPr="00CA4ABC">
        <w:rPr>
          <w:rFonts w:cstheme="minorHAnsi"/>
          <w:color w:val="000000" w:themeColor="text1"/>
        </w:rPr>
        <w:t>Permission to re</w:t>
      </w:r>
      <w:r w:rsidR="00FB4249" w:rsidRPr="00CA4ABC">
        <w:rPr>
          <w:rFonts w:cstheme="minorHAnsi"/>
          <w:color w:val="000000" w:themeColor="text1"/>
        </w:rPr>
        <w:t>-</w:t>
      </w:r>
      <w:r w:rsidRPr="00CA4ABC">
        <w:rPr>
          <w:rFonts w:cstheme="minorHAnsi"/>
          <w:color w:val="000000" w:themeColor="text1"/>
        </w:rPr>
        <w:t>contact the participants w</w:t>
      </w:r>
      <w:r w:rsidR="00FB4249" w:rsidRPr="00CA4ABC">
        <w:rPr>
          <w:rFonts w:cstheme="minorHAnsi"/>
          <w:color w:val="000000" w:themeColor="text1"/>
        </w:rPr>
        <w:t>as</w:t>
      </w:r>
      <w:r w:rsidRPr="00CA4ABC">
        <w:rPr>
          <w:rFonts w:cstheme="minorHAnsi"/>
          <w:color w:val="000000" w:themeColor="text1"/>
        </w:rPr>
        <w:t xml:space="preserve"> obtain</w:t>
      </w:r>
      <w:r w:rsidR="00FB4249" w:rsidRPr="00CA4ABC">
        <w:rPr>
          <w:rFonts w:cstheme="minorHAnsi"/>
          <w:color w:val="000000" w:themeColor="text1"/>
        </w:rPr>
        <w:t>ed</w:t>
      </w:r>
      <w:r w:rsidRPr="00CA4ABC">
        <w:rPr>
          <w:rFonts w:cstheme="minorHAnsi"/>
          <w:color w:val="000000" w:themeColor="text1"/>
        </w:rPr>
        <w:t xml:space="preserve"> from all 11 individuals. </w:t>
      </w:r>
      <w:r w:rsidR="00FB4249" w:rsidRPr="00CA4ABC">
        <w:rPr>
          <w:rFonts w:cstheme="minorHAnsi"/>
          <w:color w:val="000000" w:themeColor="text1"/>
        </w:rPr>
        <w:t>T</w:t>
      </w:r>
      <w:r w:rsidRPr="00CA4ABC">
        <w:rPr>
          <w:rFonts w:cstheme="minorHAnsi"/>
          <w:color w:val="000000" w:themeColor="text1"/>
        </w:rPr>
        <w:t xml:space="preserve">wo months following the cessation of the exercise programme, contact was made via email to enquire if they had continued to engage in resistance exercise and if they carried on using </w:t>
      </w:r>
      <w:r w:rsidRPr="00CA4ABC">
        <w:rPr>
          <w:rFonts w:cstheme="minorHAnsi"/>
          <w:color w:val="000000" w:themeColor="text1"/>
        </w:rPr>
        <w:lastRenderedPageBreak/>
        <w:t xml:space="preserve">their resistance bands. </w:t>
      </w:r>
      <w:r w:rsidR="00BB5E6B">
        <w:rPr>
          <w:rFonts w:cstheme="minorHAnsi"/>
          <w:color w:val="000000" w:themeColor="text1"/>
        </w:rPr>
        <w:t>A two-month timepoint was selected to observe if participants repeated the 6-week exercise programme</w:t>
      </w:r>
      <w:r w:rsidR="00BB481C">
        <w:rPr>
          <w:rFonts w:cstheme="minorHAnsi"/>
          <w:color w:val="000000" w:themeColor="text1"/>
        </w:rPr>
        <w:t xml:space="preserve"> using the videos sent to them</w:t>
      </w:r>
      <w:r w:rsidR="00BB5E6B">
        <w:rPr>
          <w:rFonts w:cstheme="minorHAnsi"/>
          <w:color w:val="000000" w:themeColor="text1"/>
        </w:rPr>
        <w:t xml:space="preserve">, in addition to undertaking any self-directed exercise with the resistance bands. </w:t>
      </w:r>
    </w:p>
    <w:p w14:paraId="10BBD6EE" w14:textId="56754AAC" w:rsidR="004C12CF" w:rsidRPr="00CA4ABC" w:rsidRDefault="004C12CF" w:rsidP="004053D7">
      <w:pPr>
        <w:pStyle w:val="Heading3"/>
        <w:spacing w:line="360" w:lineRule="auto"/>
        <w:rPr>
          <w:rFonts w:asciiTheme="minorHAnsi" w:eastAsia="Times New Roman" w:hAnsiTheme="minorHAnsi" w:cstheme="minorHAnsi"/>
          <w:b/>
          <w:bCs/>
          <w:color w:val="000000" w:themeColor="text1"/>
        </w:rPr>
      </w:pPr>
      <w:bookmarkStart w:id="252" w:name="_Toc135384353"/>
      <w:r w:rsidRPr="00CA4ABC">
        <w:rPr>
          <w:rFonts w:asciiTheme="minorHAnsi" w:eastAsia="Times New Roman" w:hAnsiTheme="minorHAnsi" w:cstheme="minorHAnsi"/>
          <w:color w:val="000000" w:themeColor="text1"/>
        </w:rPr>
        <w:t>5.2.6.3 Secondary measurements</w:t>
      </w:r>
      <w:bookmarkEnd w:id="252"/>
      <w:r w:rsidRPr="00CA4ABC">
        <w:rPr>
          <w:rFonts w:asciiTheme="minorHAnsi" w:eastAsia="Times New Roman" w:hAnsiTheme="minorHAnsi" w:cstheme="minorHAnsi"/>
          <w:b/>
          <w:bCs/>
          <w:color w:val="000000" w:themeColor="text1"/>
        </w:rPr>
        <w:t xml:space="preserve"> </w:t>
      </w:r>
    </w:p>
    <w:p w14:paraId="113128AD" w14:textId="1A75F107" w:rsidR="004C12CF" w:rsidRPr="00CA4ABC" w:rsidRDefault="004C12CF" w:rsidP="004053D7">
      <w:pPr>
        <w:spacing w:before="100" w:beforeAutospacing="1" w:after="100" w:afterAutospacing="1" w:line="360" w:lineRule="auto"/>
        <w:rPr>
          <w:rFonts w:eastAsia="Times New Roman" w:cstheme="minorHAnsi"/>
          <w:b/>
          <w:bCs/>
          <w:color w:val="000000" w:themeColor="text1"/>
          <w:lang w:eastAsia="en-GB"/>
        </w:rPr>
      </w:pPr>
      <w:r w:rsidRPr="00CA4ABC">
        <w:rPr>
          <w:rFonts w:eastAsia="Times New Roman" w:cstheme="minorHAnsi"/>
          <w:color w:val="000000" w:themeColor="text1"/>
          <w:lang w:eastAsia="en-GB"/>
        </w:rPr>
        <w:t xml:space="preserve">Participant demographic information was collected at visit one with prompt sheets for the reporting of ethnicity </w:t>
      </w:r>
      <w:r w:rsidRPr="00CA4ABC">
        <w:rPr>
          <w:rFonts w:eastAsia="Times New Roman" w:cstheme="minorHAnsi"/>
          <w:color w:val="000000" w:themeColor="text1"/>
          <w:lang w:eastAsia="en-GB"/>
        </w:rPr>
        <w:fldChar w:fldCharType="begin" w:fldLock="1"/>
      </w:r>
      <w:r w:rsidR="00821D82">
        <w:rPr>
          <w:rFonts w:eastAsia="Times New Roman" w:cstheme="minorHAnsi"/>
          <w:color w:val="000000" w:themeColor="text1"/>
          <w:lang w:eastAsia="en-GB"/>
        </w:rPr>
        <w:instrText>ADDIN CSL_CITATION {"citationItems":[{"id":"ITEM-1","itemData":{"URL":"https://www.ethnicity-facts-figures.service.gov.uk/style-guide/ethnic-groups","accessed":{"date-parts":[["2022","12","20"]]},"id":"ITEM-1","issued":{"date-parts":[["0"]]},"title":"List of ethnic groups - GOV.UK","type":"webpage"},"uris":["http://www.mendeley.com/documents/?uuid=d1e5370a-4dc5-35d3-a31f-77fc6e55f9fa"]}],"mendeley":{"formattedCitation":"(274)","plainTextFormattedCitation":"(274)","previouslyFormattedCitation":"(274)"},"properties":{"noteIndex":0},"schema":"https://github.com/citation-style-language/schema/raw/master/csl-citation.json"}</w:instrText>
      </w:r>
      <w:r w:rsidRPr="00CA4ABC">
        <w:rPr>
          <w:rFonts w:eastAsia="Times New Roman" w:cstheme="minorHAnsi"/>
          <w:color w:val="000000" w:themeColor="text1"/>
          <w:lang w:eastAsia="en-GB"/>
        </w:rPr>
        <w:fldChar w:fldCharType="separate"/>
      </w:r>
      <w:r w:rsidR="00FF0BCE" w:rsidRPr="00FF0BCE">
        <w:rPr>
          <w:rFonts w:eastAsia="Times New Roman" w:cstheme="minorHAnsi"/>
          <w:noProof/>
          <w:color w:val="000000" w:themeColor="text1"/>
          <w:lang w:eastAsia="en-GB"/>
        </w:rPr>
        <w:t>(274)</w:t>
      </w:r>
      <w:r w:rsidRPr="00CA4ABC">
        <w:rPr>
          <w:rFonts w:eastAsia="Times New Roman" w:cstheme="minorHAnsi"/>
          <w:color w:val="000000" w:themeColor="text1"/>
          <w:lang w:eastAsia="en-GB"/>
        </w:rPr>
        <w:fldChar w:fldCharType="end"/>
      </w:r>
      <w:r w:rsidRPr="00CA4ABC">
        <w:rPr>
          <w:rFonts w:eastAsia="Times New Roman" w:cstheme="minorHAnsi"/>
          <w:color w:val="000000" w:themeColor="text1"/>
          <w:lang w:eastAsia="en-GB"/>
        </w:rPr>
        <w:t xml:space="preserve"> and gender. Demographic data included age, age at which left education, smoking status (and </w:t>
      </w:r>
      <w:r w:rsidR="00851C7D" w:rsidRPr="00CA4ABC">
        <w:rPr>
          <w:rFonts w:eastAsia="Times New Roman" w:cstheme="minorHAnsi"/>
          <w:color w:val="000000" w:themeColor="text1"/>
          <w:lang w:eastAsia="en-GB"/>
        </w:rPr>
        <w:t xml:space="preserve">the </w:t>
      </w:r>
      <w:r w:rsidRPr="00CA4ABC">
        <w:rPr>
          <w:rFonts w:eastAsia="Times New Roman" w:cstheme="minorHAnsi"/>
          <w:color w:val="000000" w:themeColor="text1"/>
          <w:lang w:eastAsia="en-GB"/>
        </w:rPr>
        <w:t xml:space="preserve">number of cigarettes per day), </w:t>
      </w:r>
      <w:r w:rsidR="00851C7D" w:rsidRPr="00CA4ABC">
        <w:rPr>
          <w:rFonts w:eastAsia="Times New Roman" w:cstheme="minorHAnsi"/>
          <w:color w:val="000000" w:themeColor="text1"/>
          <w:lang w:eastAsia="en-GB"/>
        </w:rPr>
        <w:t xml:space="preserve">and </w:t>
      </w:r>
      <w:r w:rsidRPr="00CA4ABC">
        <w:rPr>
          <w:rFonts w:eastAsia="Times New Roman" w:cstheme="minorHAnsi"/>
          <w:color w:val="000000" w:themeColor="text1"/>
          <w:lang w:eastAsia="en-GB"/>
        </w:rPr>
        <w:t>alcohol units per week consumed.</w:t>
      </w:r>
    </w:p>
    <w:p w14:paraId="67F9F05A" w14:textId="52CC526D" w:rsidR="005E7EC2"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Muscle mass was assessed by collecting body composition measurements. This included height (cm) (Seca 217 portable height measure, model number: 2171821009) and weight (kg) (Seca 761 floor scales, model number: 7617019004), bioelectrical impedance (BIA) (Bodystat 1500 Series, </w:t>
      </w:r>
      <w:r w:rsidR="008D3B48" w:rsidRPr="00CA4ABC">
        <w:rPr>
          <w:rFonts w:eastAsia="Times New Roman" w:cstheme="minorHAnsi"/>
          <w:color w:val="000000" w:themeColor="text1"/>
          <w:lang w:eastAsia="en-GB"/>
        </w:rPr>
        <w:t>version 3/16, model number: 0120</w:t>
      </w:r>
      <w:r w:rsidR="009E131C" w:rsidRPr="00CA4ABC">
        <w:rPr>
          <w:rFonts w:eastAsia="Times New Roman" w:cstheme="minorHAnsi"/>
          <w:color w:val="000000" w:themeColor="text1"/>
          <w:lang w:eastAsia="en-GB"/>
        </w:rPr>
        <w:t>)</w:t>
      </w:r>
      <w:r w:rsidRPr="00CA4ABC">
        <w:rPr>
          <w:rFonts w:eastAsia="Times New Roman" w:cstheme="minorHAnsi"/>
          <w:color w:val="000000" w:themeColor="text1"/>
          <w:lang w:eastAsia="en-GB"/>
        </w:rPr>
        <w:t xml:space="preserve"> and circumference measurements </w:t>
      </w:r>
      <w:r w:rsidR="008C2CAD" w:rsidRPr="00CA4ABC">
        <w:rPr>
          <w:rFonts w:eastAsia="Times New Roman" w:cstheme="minorHAnsi"/>
          <w:color w:val="000000" w:themeColor="text1"/>
          <w:lang w:eastAsia="en-GB"/>
        </w:rPr>
        <w:t xml:space="preserve">(cm) </w:t>
      </w:r>
      <w:r w:rsidRPr="00CA4ABC">
        <w:rPr>
          <w:rFonts w:eastAsia="Times New Roman" w:cstheme="minorHAnsi"/>
          <w:color w:val="000000" w:themeColor="text1"/>
          <w:lang w:eastAsia="en-GB"/>
        </w:rPr>
        <w:t xml:space="preserve">using a 150cm tape measure. </w:t>
      </w:r>
    </w:p>
    <w:p w14:paraId="45417EA8" w14:textId="42A3EBA0" w:rsidR="005E7EC2" w:rsidRPr="00CA4ABC" w:rsidRDefault="00543CEE"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BIA measurements</w:t>
      </w:r>
      <w:r w:rsidR="005E7EC2" w:rsidRPr="00CA4ABC">
        <w:rPr>
          <w:rFonts w:eastAsia="Times New Roman" w:cstheme="minorHAnsi"/>
          <w:i/>
          <w:iCs/>
          <w:color w:val="000000" w:themeColor="text1"/>
          <w:lang w:eastAsia="en-GB"/>
        </w:rPr>
        <w:t>:</w:t>
      </w:r>
      <w:r w:rsidR="005E7EC2" w:rsidRPr="00CA4ABC">
        <w:rPr>
          <w:rFonts w:eastAsia="Times New Roman" w:cstheme="minorHAnsi"/>
          <w:color w:val="000000" w:themeColor="text1"/>
          <w:lang w:eastAsia="en-GB"/>
        </w:rPr>
        <w:t xml:space="preserve"> p</w:t>
      </w:r>
      <w:r w:rsidRPr="00CA4ABC">
        <w:rPr>
          <w:rFonts w:eastAsia="Times New Roman" w:cstheme="minorHAnsi"/>
          <w:color w:val="000000" w:themeColor="text1"/>
          <w:lang w:eastAsia="en-GB"/>
        </w:rPr>
        <w:t xml:space="preserve">articipants were asked to lie down and relax for 30 seconds. Electrodes were attached to the wrist, hand (just below the middle fingers), ankle and foot (just below the big toe). The BIA device </w:t>
      </w:r>
      <w:r w:rsidR="0096758F" w:rsidRPr="00CA4ABC">
        <w:rPr>
          <w:rFonts w:eastAsia="Times New Roman" w:cstheme="minorHAnsi"/>
          <w:color w:val="000000" w:themeColor="text1"/>
          <w:lang w:eastAsia="en-GB"/>
        </w:rPr>
        <w:t>provided estimates</w:t>
      </w:r>
      <w:r w:rsidRPr="00CA4ABC">
        <w:rPr>
          <w:rFonts w:eastAsia="Times New Roman" w:cstheme="minorHAnsi"/>
          <w:color w:val="000000" w:themeColor="text1"/>
          <w:lang w:eastAsia="en-GB"/>
        </w:rPr>
        <w:t xml:space="preserve"> for: fat %, fat weight (g), lean weight %, lean weight (g), water %, total body water, dry lean (g), basal metabolic rate (BMR),</w:t>
      </w:r>
      <w:r w:rsidR="00851C7D" w:rsidRPr="00CA4ABC">
        <w:rPr>
          <w:rFonts w:eastAsia="Times New Roman" w:cstheme="minorHAnsi"/>
          <w:color w:val="000000" w:themeColor="text1"/>
          <w:lang w:eastAsia="en-GB"/>
        </w:rPr>
        <w:t xml:space="preserve"> and</w:t>
      </w:r>
      <w:r w:rsidRPr="00CA4ABC">
        <w:rPr>
          <w:rFonts w:eastAsia="Times New Roman" w:cstheme="minorHAnsi"/>
          <w:color w:val="000000" w:themeColor="text1"/>
          <w:lang w:eastAsia="en-GB"/>
        </w:rPr>
        <w:t xml:space="preserve"> estimated average energy requirements.  </w:t>
      </w:r>
    </w:p>
    <w:p w14:paraId="25F241E0" w14:textId="27499628"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Circumference measurements</w:t>
      </w:r>
      <w:r w:rsidR="005E7EC2" w:rsidRPr="00CA4ABC">
        <w:rPr>
          <w:rFonts w:eastAsia="Times New Roman" w:cstheme="minorHAnsi"/>
          <w:i/>
          <w:iCs/>
          <w:color w:val="000000" w:themeColor="text1"/>
          <w:lang w:eastAsia="en-GB"/>
        </w:rPr>
        <w:t>:</w:t>
      </w:r>
      <w:r w:rsidRPr="00CA4ABC">
        <w:rPr>
          <w:rFonts w:eastAsia="Times New Roman" w:cstheme="minorHAnsi"/>
          <w:color w:val="000000" w:themeColor="text1"/>
          <w:lang w:eastAsia="en-GB"/>
        </w:rPr>
        <w:t xml:space="preserve"> </w:t>
      </w:r>
      <w:r w:rsidR="005E7EC2" w:rsidRPr="00CA4ABC">
        <w:rPr>
          <w:rFonts w:eastAsia="Times New Roman" w:cstheme="minorHAnsi"/>
          <w:color w:val="000000" w:themeColor="text1"/>
          <w:lang w:eastAsia="en-GB"/>
        </w:rPr>
        <w:t>two measurements</w:t>
      </w:r>
      <w:r w:rsidR="007872CF" w:rsidRPr="00CA4ABC">
        <w:rPr>
          <w:rFonts w:eastAsia="Times New Roman" w:cstheme="minorHAnsi"/>
          <w:color w:val="000000" w:themeColor="text1"/>
          <w:lang w:eastAsia="en-GB"/>
        </w:rPr>
        <w:t xml:space="preserve"> were taken</w:t>
      </w:r>
      <w:r w:rsidRPr="00CA4ABC">
        <w:rPr>
          <w:rFonts w:eastAsia="Times New Roman" w:cstheme="minorHAnsi"/>
          <w:color w:val="000000" w:themeColor="text1"/>
          <w:lang w:eastAsia="en-GB"/>
        </w:rPr>
        <w:t xml:space="preserve"> of the upper arm (relaxed), chest, waist, hip, midthigh and calf and </w:t>
      </w:r>
      <w:r w:rsidR="007872CF" w:rsidRPr="00CA4ABC">
        <w:rPr>
          <w:rFonts w:eastAsia="Times New Roman" w:cstheme="minorHAnsi"/>
          <w:color w:val="000000" w:themeColor="text1"/>
          <w:lang w:eastAsia="en-GB"/>
        </w:rPr>
        <w:t xml:space="preserve">the </w:t>
      </w:r>
      <w:r w:rsidRPr="00CA4ABC">
        <w:rPr>
          <w:rFonts w:eastAsia="Times New Roman" w:cstheme="minorHAnsi"/>
          <w:color w:val="000000" w:themeColor="text1"/>
          <w:lang w:eastAsia="en-GB"/>
        </w:rPr>
        <w:t xml:space="preserve">average </w:t>
      </w:r>
      <w:r w:rsidR="007872CF" w:rsidRPr="00CA4ABC">
        <w:rPr>
          <w:rFonts w:eastAsia="Times New Roman" w:cstheme="minorHAnsi"/>
          <w:color w:val="000000" w:themeColor="text1"/>
          <w:lang w:eastAsia="en-GB"/>
        </w:rPr>
        <w:t>of the two</w:t>
      </w:r>
      <w:r w:rsidRPr="00CA4ABC">
        <w:rPr>
          <w:rFonts w:eastAsia="Times New Roman" w:cstheme="minorHAnsi"/>
          <w:color w:val="000000" w:themeColor="text1"/>
          <w:lang w:eastAsia="en-GB"/>
        </w:rPr>
        <w:t xml:space="preserve"> were recorded. </w:t>
      </w:r>
      <w:r w:rsidR="00C606A8">
        <w:rPr>
          <w:rFonts w:eastAsia="Times New Roman" w:cstheme="minorHAnsi"/>
          <w:color w:val="000000" w:themeColor="text1"/>
          <w:lang w:eastAsia="en-GB"/>
        </w:rPr>
        <w:t>A third measurement was taken if a large discrepancy between measurements was noted (more than 10%)</w:t>
      </w:r>
      <w:r w:rsidRPr="00CA4ABC">
        <w:rPr>
          <w:rFonts w:eastAsia="Times New Roman" w:cstheme="minorHAnsi"/>
          <w:color w:val="000000" w:themeColor="text1"/>
          <w:lang w:eastAsia="en-GB"/>
        </w:rPr>
        <w:t>.</w:t>
      </w:r>
      <w:r w:rsidR="008C2CAD" w:rsidRPr="00CA4ABC">
        <w:rPr>
          <w:rFonts w:eastAsia="Times New Roman" w:cstheme="minorHAnsi"/>
          <w:color w:val="000000" w:themeColor="text1"/>
          <w:lang w:eastAsia="en-GB"/>
        </w:rPr>
        <w:t xml:space="preserve"> Measurements were recorded in cm.</w:t>
      </w:r>
      <w:r w:rsidRPr="00CA4ABC">
        <w:rPr>
          <w:rFonts w:eastAsia="Times New Roman" w:cstheme="minorHAnsi"/>
          <w:color w:val="000000" w:themeColor="text1"/>
          <w:lang w:eastAsia="en-GB"/>
        </w:rPr>
        <w:t xml:space="preserve"> Participants were also provided with a tape measure and asked to take circumference measurements at home at weeks 0 and week 6 of the trial</w:t>
      </w:r>
      <w:r w:rsidR="00C606A8">
        <w:rPr>
          <w:rFonts w:eastAsia="Times New Roman" w:cstheme="minorHAnsi"/>
          <w:color w:val="000000" w:themeColor="text1"/>
          <w:lang w:eastAsia="en-GB"/>
        </w:rPr>
        <w:t>. Instructions for this were</w:t>
      </w:r>
      <w:r w:rsidRPr="00CA4ABC">
        <w:rPr>
          <w:rFonts w:eastAsia="Times New Roman" w:cstheme="minorHAnsi"/>
          <w:color w:val="000000" w:themeColor="text1"/>
          <w:lang w:eastAsia="en-GB"/>
        </w:rPr>
        <w:t xml:space="preserve"> provided in the logbooks. </w:t>
      </w:r>
    </w:p>
    <w:p w14:paraId="59D5FDB9" w14:textId="015FAB00"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Hand grip strength</w:t>
      </w:r>
      <w:r w:rsidR="005E7EC2" w:rsidRPr="00CA4ABC">
        <w:rPr>
          <w:rFonts w:eastAsia="Times New Roman" w:cstheme="minorHAnsi"/>
          <w:i/>
          <w:iCs/>
          <w:color w:val="000000" w:themeColor="text1"/>
          <w:lang w:eastAsia="en-GB"/>
        </w:rPr>
        <w:t>:</w:t>
      </w:r>
      <w:r w:rsidRPr="00CA4ABC">
        <w:rPr>
          <w:rFonts w:eastAsia="Times New Roman" w:cstheme="minorHAnsi"/>
          <w:color w:val="000000" w:themeColor="text1"/>
          <w:lang w:eastAsia="en-GB"/>
        </w:rPr>
        <w:t xml:space="preserve"> was tested using a hand dynamometer (JAMAR+ digital, Patterson medical). Participants were able to use their dominant hand. </w:t>
      </w:r>
    </w:p>
    <w:p w14:paraId="2CB7293C" w14:textId="073F28BD" w:rsidR="004C12CF" w:rsidRPr="00C606A8" w:rsidRDefault="004C12CF" w:rsidP="00C606A8">
      <w:pPr>
        <w:spacing w:line="360" w:lineRule="auto"/>
        <w:rPr>
          <w:rFonts w:cstheme="minorHAnsi"/>
          <w:color w:val="000000" w:themeColor="text1"/>
        </w:rPr>
      </w:pPr>
      <w:r w:rsidRPr="00CA4ABC">
        <w:rPr>
          <w:rFonts w:cstheme="minorHAnsi"/>
          <w:color w:val="000000" w:themeColor="text1"/>
        </w:rPr>
        <w:lastRenderedPageBreak/>
        <w:t xml:space="preserve">The American society of Hand Therapists standard protocol was utilised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{"citationItems":[{"id":"ITEM-1","itemData":{"URL":"https://asht.org/practice/clinical-assessment-recommendations","accessed":{"date-parts":[["2022","11","1"]]},"id":"ITEM-1","issued":{"date-parts":[["0"]]},"title":"Clinical Assessment Recommendations | American Society of Hand Therapists (ASHT)","type":"webpage"},"uris":["http://www.mendeley.com/documents/?uuid=2c93fff4-1dcf-34f3-b0fd-2ab671a19e64"]}],"mendeley":{"formattedCitation":"(275)","plainTextFormattedCitation":"(275)","previouslyFormattedCitation":"(275)"},"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(275)</w:t>
      </w:r>
      <w:r w:rsidRPr="00CA4ABC">
        <w:rPr>
          <w:rFonts w:cstheme="minorHAnsi"/>
          <w:color w:val="000000" w:themeColor="text1"/>
        </w:rPr>
        <w:fldChar w:fldCharType="end"/>
      </w:r>
      <w:r w:rsidRPr="00CA4ABC">
        <w:rPr>
          <w:rFonts w:cstheme="minorHAnsi"/>
          <w:color w:val="000000" w:themeColor="text1"/>
        </w:rPr>
        <w:t>:</w:t>
      </w:r>
      <w:r w:rsidR="00C606A8">
        <w:rPr>
          <w:rFonts w:cstheme="minorHAnsi"/>
          <w:color w:val="000000" w:themeColor="text1"/>
        </w:rPr>
        <w:t xml:space="preserve"> 1.</w:t>
      </w:r>
      <w:r w:rsidRPr="00C606A8">
        <w:rPr>
          <w:rFonts w:cstheme="minorHAnsi"/>
          <w:color w:val="000000" w:themeColor="text1"/>
        </w:rPr>
        <w:t>The participant was seated</w:t>
      </w:r>
      <w:r w:rsidR="00C606A8">
        <w:rPr>
          <w:rFonts w:cstheme="minorHAnsi"/>
          <w:color w:val="000000" w:themeColor="text1"/>
        </w:rPr>
        <w:t>, 2) t</w:t>
      </w:r>
      <w:r w:rsidRPr="00C606A8">
        <w:rPr>
          <w:rFonts w:cstheme="minorHAnsi"/>
          <w:color w:val="000000" w:themeColor="text1"/>
        </w:rPr>
        <w:t>he elbow of the testing arm was flexed at a ninety</w:t>
      </w:r>
      <w:r w:rsidR="00851C7D" w:rsidRPr="00C606A8">
        <w:rPr>
          <w:rFonts w:cstheme="minorHAnsi"/>
          <w:color w:val="000000" w:themeColor="text1"/>
        </w:rPr>
        <w:t>-</w:t>
      </w:r>
      <w:r w:rsidRPr="00C606A8">
        <w:rPr>
          <w:rFonts w:cstheme="minorHAnsi"/>
          <w:color w:val="000000" w:themeColor="text1"/>
        </w:rPr>
        <w:t>degree angle</w:t>
      </w:r>
      <w:r w:rsidR="00C606A8">
        <w:rPr>
          <w:rFonts w:cstheme="minorHAnsi"/>
          <w:color w:val="000000" w:themeColor="text1"/>
        </w:rPr>
        <w:t>, 3) w</w:t>
      </w:r>
      <w:r w:rsidRPr="00C606A8">
        <w:rPr>
          <w:rFonts w:cstheme="minorHAnsi"/>
          <w:color w:val="000000" w:themeColor="text1"/>
        </w:rPr>
        <w:t>rist was dorsiflexed between 0-30 degrees</w:t>
      </w:r>
      <w:r w:rsidR="007872CF" w:rsidRPr="00C606A8">
        <w:rPr>
          <w:rFonts w:cstheme="minorHAnsi"/>
          <w:color w:val="000000" w:themeColor="text1"/>
        </w:rPr>
        <w:t>.</w:t>
      </w:r>
      <w:r w:rsidR="00C606A8">
        <w:rPr>
          <w:rFonts w:cstheme="minorHAnsi"/>
          <w:color w:val="000000" w:themeColor="text1"/>
        </w:rPr>
        <w:t xml:space="preserve"> 4) a</w:t>
      </w:r>
      <w:r w:rsidRPr="00C606A8">
        <w:rPr>
          <w:rFonts w:cstheme="minorHAnsi"/>
          <w:color w:val="000000" w:themeColor="text1"/>
        </w:rPr>
        <w:t>n average of three trials was recorded</w:t>
      </w:r>
      <w:r w:rsidR="007872CF" w:rsidRPr="00C606A8">
        <w:rPr>
          <w:rFonts w:cstheme="minorHAnsi"/>
          <w:color w:val="000000" w:themeColor="text1"/>
        </w:rPr>
        <w:t>.</w:t>
      </w:r>
    </w:p>
    <w:p w14:paraId="09B5B945" w14:textId="47067F8E"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Standing vertical jump scores</w:t>
      </w:r>
      <w:r w:rsidR="005E7EC2" w:rsidRPr="00CA4ABC">
        <w:rPr>
          <w:rFonts w:eastAsia="Times New Roman" w:cstheme="minorHAnsi"/>
          <w:i/>
          <w:iCs/>
          <w:color w:val="000000" w:themeColor="text1"/>
          <w:lang w:eastAsia="en-GB"/>
        </w:rPr>
        <w:t>:</w:t>
      </w:r>
      <w:r w:rsidRPr="00CA4ABC">
        <w:rPr>
          <w:rStyle w:val="CommentReference"/>
          <w:rFonts w:cstheme="minorHAnsi"/>
          <w:color w:val="000000" w:themeColor="text1"/>
        </w:rPr>
        <w:t xml:space="preserve"> </w:t>
      </w:r>
      <w:r w:rsidR="00ED2B15" w:rsidRPr="00CA4ABC">
        <w:rPr>
          <w:rStyle w:val="CommentReference"/>
          <w:rFonts w:cstheme="minorHAnsi"/>
          <w:color w:val="000000" w:themeColor="text1"/>
          <w:sz w:val="24"/>
          <w:szCs w:val="24"/>
        </w:rPr>
        <w:t>this</w:t>
      </w:r>
      <w:r w:rsidR="00ED2B15" w:rsidRPr="00CA4ABC">
        <w:rPr>
          <w:rFonts w:eastAsia="Times New Roman" w:cstheme="minorHAnsi"/>
          <w:color w:val="000000" w:themeColor="text1"/>
          <w:lang w:eastAsia="en-GB"/>
        </w:rPr>
        <w:t xml:space="preserve"> was</w:t>
      </w:r>
      <w:r w:rsidRPr="00CA4ABC">
        <w:rPr>
          <w:rFonts w:eastAsia="Times New Roman" w:cstheme="minorHAnsi"/>
          <w:color w:val="000000" w:themeColor="text1"/>
          <w:lang w:eastAsia="en-GB"/>
        </w:rPr>
        <w:t xml:space="preserve"> taken for lower body strength assessments</w:t>
      </w:r>
      <w:r w:rsidR="00892A55" w:rsidRPr="00CA4ABC">
        <w:rPr>
          <w:rFonts w:eastAsia="Times New Roman" w:cstheme="minorHAnsi"/>
          <w:color w:val="000000" w:themeColor="text1"/>
          <w:lang w:eastAsia="en-GB"/>
        </w:rPr>
        <w:t xml:space="preserve"> </w:t>
      </w:r>
      <w:r w:rsidR="00892A55" w:rsidRPr="00CA4ABC">
        <w:rPr>
          <w:rFonts w:eastAsia="Times New Roman" w:cstheme="minorHAnsi"/>
          <w:color w:val="000000" w:themeColor="text1"/>
          <w:lang w:eastAsia="en-GB"/>
        </w:rPr>
        <w:fldChar w:fldCharType="begin" w:fldLock="1"/>
      </w:r>
      <w:r w:rsidR="00821D82">
        <w:rPr>
          <w:rFonts w:eastAsia="Times New Roman" w:cstheme="minorHAnsi"/>
          <w:color w:val="000000" w:themeColor="text1"/>
          <w:lang w:eastAsia="en-GB"/>
        </w:rPr>
        <w:instrText>ADDIN CSL_CITATION {"citationItems":[{"id":"ITEM-1","itemData":{"URL":"https://journals.lww.com/nsca-scj/Citation/2000/10000/Vertical_jump_Tests__A_Critical_Review.20.aspx","accessed":{"date-parts":[["2023","1","27"]]},"id":"ITEM-1","issued":{"date-parts":[["0"]]},"title":"Vertical-jump Tests: A Critical Review : Strength &amp; Conditioning Journal","type":"webpage"},"uris":["http://www.mendeley.com/documents/?uuid=47531f46-0279-31fc-85dc-9369caa54f00"]}],"mendeley":{"formattedCitation":"(276)","plainTextFormattedCitation":"(276)","previouslyFormattedCitation":"(276)"},"properties":{"noteIndex":0},"schema":"https://github.com/citation-style-language/schema/raw/master/csl-citation.json"}</w:instrText>
      </w:r>
      <w:r w:rsidR="00892A55" w:rsidRPr="00CA4ABC">
        <w:rPr>
          <w:rFonts w:eastAsia="Times New Roman" w:cstheme="minorHAnsi"/>
          <w:color w:val="000000" w:themeColor="text1"/>
          <w:lang w:eastAsia="en-GB"/>
        </w:rPr>
        <w:fldChar w:fldCharType="separate"/>
      </w:r>
      <w:r w:rsidR="00FF0BCE" w:rsidRPr="00FF0BCE">
        <w:rPr>
          <w:rFonts w:eastAsia="Times New Roman" w:cstheme="minorHAnsi"/>
          <w:noProof/>
          <w:color w:val="000000" w:themeColor="text1"/>
          <w:lang w:eastAsia="en-GB"/>
        </w:rPr>
        <w:t>(276)</w:t>
      </w:r>
      <w:r w:rsidR="00892A55" w:rsidRPr="00CA4ABC">
        <w:rPr>
          <w:rFonts w:eastAsia="Times New Roman" w:cstheme="minorHAnsi"/>
          <w:color w:val="000000" w:themeColor="text1"/>
          <w:lang w:eastAsia="en-GB"/>
        </w:rPr>
        <w:fldChar w:fldCharType="end"/>
      </w:r>
      <w:r w:rsidR="00892A55" w:rsidRPr="00CA4ABC">
        <w:rPr>
          <w:rFonts w:eastAsia="Times New Roman" w:cstheme="minorHAnsi"/>
          <w:color w:val="000000" w:themeColor="text1"/>
          <w:lang w:eastAsia="en-GB"/>
        </w:rPr>
        <w:t xml:space="preserve">. </w:t>
      </w:r>
      <w:r w:rsidR="00851C7D" w:rsidRPr="00CA4ABC">
        <w:rPr>
          <w:rFonts w:cstheme="minorHAnsi"/>
          <w:color w:val="000000"/>
          <w:shd w:val="clear" w:color="auto" w:fill="FFFFFF"/>
        </w:rPr>
        <w:t xml:space="preserve">Participants were given a piece of sticky tape and asked to place it on a wall, reaching up as high as possible while keeping their feet flat on the ground. </w:t>
      </w:r>
      <w:r w:rsidRPr="00CA4ABC">
        <w:rPr>
          <w:rFonts w:eastAsia="Times New Roman" w:cstheme="minorHAnsi"/>
          <w:color w:val="000000" w:themeColor="text1"/>
          <w:lang w:eastAsia="en-GB"/>
        </w:rPr>
        <w:t xml:space="preserve">Following this, they were </w:t>
      </w:r>
      <w:r w:rsidR="00E1614C" w:rsidRPr="00CA4ABC">
        <w:rPr>
          <w:rFonts w:eastAsia="Times New Roman" w:cstheme="minorHAnsi"/>
          <w:color w:val="000000" w:themeColor="text1"/>
          <w:lang w:eastAsia="en-GB"/>
        </w:rPr>
        <w:t>given</w:t>
      </w:r>
      <w:r w:rsidRPr="00CA4ABC">
        <w:rPr>
          <w:rFonts w:eastAsia="Times New Roman" w:cstheme="minorHAnsi"/>
          <w:color w:val="000000" w:themeColor="text1"/>
          <w:lang w:eastAsia="en-GB"/>
        </w:rPr>
        <w:t xml:space="preserve"> another piece of tape and asked to jump</w:t>
      </w:r>
      <w:r w:rsidR="00E1614C" w:rsidRPr="00CA4ABC">
        <w:rPr>
          <w:rFonts w:eastAsia="Times New Roman" w:cstheme="minorHAnsi"/>
          <w:color w:val="000000" w:themeColor="text1"/>
          <w:lang w:eastAsia="en-GB"/>
        </w:rPr>
        <w:t xml:space="preserve"> vertically,</w:t>
      </w:r>
      <w:r w:rsidRPr="00CA4ABC">
        <w:rPr>
          <w:rFonts w:eastAsia="Times New Roman" w:cstheme="minorHAnsi"/>
          <w:color w:val="000000" w:themeColor="text1"/>
          <w:lang w:eastAsia="en-GB"/>
        </w:rPr>
        <w:t xml:space="preserve"> as high as </w:t>
      </w:r>
      <w:r w:rsidR="00E1614C" w:rsidRPr="00CA4ABC">
        <w:rPr>
          <w:rFonts w:eastAsia="Times New Roman" w:cstheme="minorHAnsi"/>
          <w:color w:val="000000" w:themeColor="text1"/>
          <w:lang w:eastAsia="en-GB"/>
        </w:rPr>
        <w:t xml:space="preserve">possible. </w:t>
      </w:r>
      <w:r w:rsidRPr="00CA4ABC">
        <w:rPr>
          <w:rFonts w:eastAsia="Times New Roman" w:cstheme="minorHAnsi"/>
          <w:color w:val="000000" w:themeColor="text1"/>
          <w:lang w:eastAsia="en-GB"/>
        </w:rPr>
        <w:t xml:space="preserve">They were not allowed to move into the jump but were allowed to </w:t>
      </w:r>
      <w:r w:rsidR="007872CF" w:rsidRPr="00CA4ABC">
        <w:rPr>
          <w:rFonts w:eastAsia="Times New Roman" w:cstheme="minorHAnsi"/>
          <w:color w:val="000000" w:themeColor="text1"/>
          <w:lang w:eastAsia="en-GB"/>
        </w:rPr>
        <w:t>use</w:t>
      </w:r>
      <w:r w:rsidRPr="00CA4ABC">
        <w:rPr>
          <w:rFonts w:eastAsia="Times New Roman" w:cstheme="minorHAnsi"/>
          <w:color w:val="000000" w:themeColor="text1"/>
          <w:lang w:eastAsia="en-GB"/>
        </w:rPr>
        <w:t xml:space="preserve"> their arms for momentum. This was repeated twice.</w:t>
      </w:r>
      <w:r w:rsidR="00543CEE" w:rsidRPr="00CA4ABC">
        <w:rPr>
          <w:rFonts w:eastAsia="Times New Roman" w:cstheme="minorHAnsi"/>
          <w:color w:val="000000" w:themeColor="text1"/>
          <w:lang w:eastAsia="en-GB"/>
        </w:rPr>
        <w:t xml:space="preserve"> </w:t>
      </w:r>
      <w:r w:rsidR="00E1614C" w:rsidRPr="00CA4ABC">
        <w:rPr>
          <w:rFonts w:eastAsia="Times New Roman" w:cstheme="minorHAnsi"/>
          <w:color w:val="000000" w:themeColor="text1"/>
          <w:lang w:eastAsia="en-GB"/>
        </w:rPr>
        <w:t>The d</w:t>
      </w:r>
      <w:r w:rsidR="00543CEE" w:rsidRPr="00CA4ABC">
        <w:rPr>
          <w:rFonts w:eastAsia="Times New Roman" w:cstheme="minorHAnsi"/>
          <w:color w:val="000000" w:themeColor="text1"/>
          <w:lang w:eastAsia="en-GB"/>
        </w:rPr>
        <w:t>istance between</w:t>
      </w:r>
      <w:r w:rsidR="007872CF" w:rsidRPr="00CA4ABC">
        <w:rPr>
          <w:rFonts w:eastAsia="Times New Roman" w:cstheme="minorHAnsi"/>
          <w:color w:val="000000" w:themeColor="text1"/>
          <w:lang w:eastAsia="en-GB"/>
        </w:rPr>
        <w:t xml:space="preserve"> the first</w:t>
      </w:r>
      <w:r w:rsidR="00543CEE" w:rsidRPr="00CA4ABC">
        <w:rPr>
          <w:rFonts w:eastAsia="Times New Roman" w:cstheme="minorHAnsi"/>
          <w:color w:val="000000" w:themeColor="text1"/>
          <w:lang w:eastAsia="en-GB"/>
        </w:rPr>
        <w:t xml:space="preserve"> tape </w:t>
      </w:r>
      <w:r w:rsidR="007872CF" w:rsidRPr="00CA4ABC">
        <w:rPr>
          <w:rFonts w:eastAsia="Times New Roman" w:cstheme="minorHAnsi"/>
          <w:color w:val="000000" w:themeColor="text1"/>
          <w:lang w:eastAsia="en-GB"/>
        </w:rPr>
        <w:t>and the jumping pieces of</w:t>
      </w:r>
      <w:r w:rsidR="00543CEE" w:rsidRPr="00CA4ABC">
        <w:rPr>
          <w:rFonts w:eastAsia="Times New Roman" w:cstheme="minorHAnsi"/>
          <w:color w:val="000000" w:themeColor="text1"/>
          <w:lang w:eastAsia="en-GB"/>
        </w:rPr>
        <w:t xml:space="preserve"> w</w:t>
      </w:r>
      <w:r w:rsidR="00E1614C" w:rsidRPr="00CA4ABC">
        <w:rPr>
          <w:rFonts w:eastAsia="Times New Roman" w:cstheme="minorHAnsi"/>
          <w:color w:val="000000" w:themeColor="text1"/>
          <w:lang w:eastAsia="en-GB"/>
        </w:rPr>
        <w:t>as</w:t>
      </w:r>
      <w:r w:rsidR="00543CEE" w:rsidRPr="00CA4ABC">
        <w:rPr>
          <w:rFonts w:eastAsia="Times New Roman" w:cstheme="minorHAnsi"/>
          <w:color w:val="000000" w:themeColor="text1"/>
          <w:lang w:eastAsia="en-GB"/>
        </w:rPr>
        <w:t xml:space="preserve"> measured</w:t>
      </w:r>
      <w:r w:rsidR="00B1515B" w:rsidRPr="00CA4ABC">
        <w:rPr>
          <w:rFonts w:eastAsia="Times New Roman" w:cstheme="minorHAnsi"/>
          <w:color w:val="000000" w:themeColor="text1"/>
          <w:lang w:eastAsia="en-GB"/>
        </w:rPr>
        <w:t>,</w:t>
      </w:r>
      <w:r w:rsidR="00543CEE" w:rsidRPr="00CA4ABC">
        <w:rPr>
          <w:rFonts w:eastAsia="Times New Roman" w:cstheme="minorHAnsi"/>
          <w:color w:val="000000" w:themeColor="text1"/>
          <w:lang w:eastAsia="en-GB"/>
        </w:rPr>
        <w:t xml:space="preserve"> and an average </w:t>
      </w:r>
      <w:r w:rsidR="00B1515B" w:rsidRPr="00CA4ABC">
        <w:rPr>
          <w:rFonts w:eastAsia="Times New Roman" w:cstheme="minorHAnsi"/>
          <w:color w:val="000000" w:themeColor="text1"/>
          <w:lang w:eastAsia="en-GB"/>
        </w:rPr>
        <w:t xml:space="preserve">was </w:t>
      </w:r>
      <w:r w:rsidR="00543CEE" w:rsidRPr="00CA4ABC">
        <w:rPr>
          <w:rFonts w:eastAsia="Times New Roman" w:cstheme="minorHAnsi"/>
          <w:color w:val="000000" w:themeColor="text1"/>
          <w:lang w:eastAsia="en-GB"/>
        </w:rPr>
        <w:t>calculated</w:t>
      </w:r>
      <w:r w:rsidR="00E1614C" w:rsidRPr="00CA4ABC">
        <w:rPr>
          <w:rFonts w:eastAsia="Times New Roman" w:cstheme="minorHAnsi"/>
          <w:color w:val="000000" w:themeColor="text1"/>
          <w:lang w:eastAsia="en-GB"/>
        </w:rPr>
        <w:t>.</w:t>
      </w:r>
    </w:p>
    <w:p w14:paraId="1B9130B5" w14:textId="3C7052B4"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Sit</w:t>
      </w:r>
      <w:r w:rsidR="00E1614C" w:rsidRPr="00CA4ABC">
        <w:rPr>
          <w:rFonts w:eastAsia="Times New Roman" w:cstheme="minorHAnsi"/>
          <w:i/>
          <w:iCs/>
          <w:color w:val="000000" w:themeColor="text1"/>
          <w:lang w:eastAsia="en-GB"/>
        </w:rPr>
        <w:t>-</w:t>
      </w:r>
      <w:r w:rsidRPr="00CA4ABC">
        <w:rPr>
          <w:rFonts w:eastAsia="Times New Roman" w:cstheme="minorHAnsi"/>
          <w:i/>
          <w:iCs/>
          <w:color w:val="000000" w:themeColor="text1"/>
          <w:lang w:eastAsia="en-GB"/>
        </w:rPr>
        <w:t>to</w:t>
      </w:r>
      <w:r w:rsidR="00E1614C" w:rsidRPr="00CA4ABC">
        <w:rPr>
          <w:rFonts w:eastAsia="Times New Roman" w:cstheme="minorHAnsi"/>
          <w:i/>
          <w:iCs/>
          <w:color w:val="000000" w:themeColor="text1"/>
          <w:lang w:eastAsia="en-GB"/>
        </w:rPr>
        <w:t>-</w:t>
      </w:r>
      <w:r w:rsidRPr="00CA4ABC">
        <w:rPr>
          <w:rFonts w:eastAsia="Times New Roman" w:cstheme="minorHAnsi"/>
          <w:i/>
          <w:iCs/>
          <w:color w:val="000000" w:themeColor="text1"/>
          <w:lang w:eastAsia="en-GB"/>
        </w:rPr>
        <w:t xml:space="preserve">stand </w:t>
      </w:r>
      <w:r w:rsidR="008C2CAD" w:rsidRPr="00CA4ABC">
        <w:rPr>
          <w:rFonts w:eastAsia="Times New Roman" w:cstheme="minorHAnsi"/>
          <w:i/>
          <w:iCs/>
          <w:color w:val="000000" w:themeColor="text1"/>
          <w:lang w:eastAsia="en-GB"/>
        </w:rPr>
        <w:t xml:space="preserve">(S2S) </w:t>
      </w:r>
      <w:r w:rsidRPr="00CA4ABC">
        <w:rPr>
          <w:rFonts w:eastAsia="Times New Roman" w:cstheme="minorHAnsi"/>
          <w:i/>
          <w:iCs/>
          <w:color w:val="000000" w:themeColor="text1"/>
          <w:lang w:eastAsia="en-GB"/>
        </w:rPr>
        <w:t>measurements</w:t>
      </w:r>
      <w:r w:rsidR="0023401B" w:rsidRPr="00CA4ABC">
        <w:rPr>
          <w:rFonts w:eastAsia="Times New Roman" w:cstheme="minorHAnsi"/>
          <w:i/>
          <w:iCs/>
          <w:color w:val="000000" w:themeColor="text1"/>
          <w:lang w:eastAsia="en-GB"/>
        </w:rPr>
        <w:t xml:space="preserve"> </w:t>
      </w:r>
      <w:r w:rsidR="0023401B" w:rsidRPr="00CA4ABC">
        <w:rPr>
          <w:rFonts w:eastAsia="Times New Roman" w:cstheme="minorHAnsi"/>
          <w:i/>
          <w:iCs/>
          <w:color w:val="000000" w:themeColor="text1"/>
          <w:lang w:eastAsia="en-GB"/>
        </w:rPr>
        <w:fldChar w:fldCharType="begin" w:fldLock="1"/>
      </w:r>
      <w:r w:rsidR="00821D82">
        <w:rPr>
          <w:rFonts w:eastAsia="Times New Roman" w:cstheme="minorHAnsi"/>
          <w:i/>
          <w:iCs/>
          <w:color w:val="000000" w:themeColor="text1"/>
          <w:lang w:eastAsia="en-GB"/>
        </w:rPr>
        <w:instrText>ADDIN CSL_CITATION {"citationItems":[{"id":"ITEM-1","itemData":{"DOI":"10.1186/S12877-018-1011-0","ISSN":"14712318","PMID":"30626340","abstract":"Background: Many balance and strength tests exist that have been designed for older seniors, often aged ≥70 years. To guide strategies for preventing functional decline, valid and reliable tests are needed to detect early signs of functional decline in young seniors. Currently, little is known about which tests are being used in young seniors and their methodological quality. This two-step review aims to 1) identify commonly used tests of balance and strength, and 2) evaluate their measurement properties in young seniors. Methods: First, a systematic literature search was conducted in MEDLINE to identify primary studies that employed performance-based tests of balance and muscle strength, and which aspects of balance and strength these tests assess in young seniors aged 60-70. Subsequently, for tests used in ≥3 studies, a second search was performed to identify method studies evaluating their measurement properties. The quality of included method studies was evaluated using the Consensus-based Standards for selection of health Measurement Instruments (COSMIN) checklist. Results: Of 3454 articles identified, 295 met the inclusion criteria. For the first objective, 69 balance and 51 muscle strength tests were identified, with variations in administration mode and outcome reporting. Twenty-six balance tests and 15 muscle strength tests were used in ≥3 studies, with proactive balance tests and functional muscle power tests used most often. For the second objective, the search revealed 1880 method studies, of which nine studies (using 5 balance tests and 1 strength test) were included for quality assessment. The Timed Up and Go test was evaluated the most (4 studies), while the Community Balance and Mobility (CBM) scale was the second most assessed test (3 studies). For strength, one study assessed the reliability of the Five times sit-to-stand. Conclusion: Commonly used balance and muscle strength tests in young seniors vary greatly with regards to administration mode and outcome reporting. Few studies have evaluated measurement properties of these tests when used in young seniors. There is a need for standardisation of existing tests to improve their informative value and comparability. For measuring balance, the CBM is a new and promising tool to detect even small balance deficits in balance in young seniors.","author":[{"dropping-particle":"","family":"Bergquist","given":"Ronny","non-dropping-particle":"","parse-names":false,"suffix":""},{"dropping-particle":"","family":"Weber","given":"Michaela","non-dropping-particle":"","parse-names":false,"suffix":""},{"dropping-particle":"","family":"Schwenk","given":"Michael","non-dropping-particle":"","parse-names":false,"suffix":""},{"dropping-particle":"","family":"Ulseth","given":"Synnøve","non-dropping-particle":"","parse-names":false,"suffix":""},{"dropping-particle":"","family":"Helbostad","given":"Jorunn L.","non-dropping-particle":"","parse-names":false,"suffix":""},{"dropping-particle":"","family":"Vereijken","given":"Beatrix","non-dropping-particle":"","parse-names":false,"suffix":""},{"dropping-particle":"","family":"Taraldsen","given":"Kristin","non-dropping-particle":"","parse-names":false,"suffix":""}],"container-title":"BMC Geriatrics","id":"ITEM-1","issue":"1","issued":{"date-parts":[["2019","1","9"]]},"publisher":"BioMed Central Ltd.","title":"Performance-based clinical tests of balance and muscle strength used in young seniors: A systematic literature review","type":"article-journal","volume":"19"},"uris":["http://www.mendeley.com/documents/?uuid=63cd119b-d1f2-3136-b700-a1bfd8debd89"]}],"mendeley":{"formattedCitation":"(277)","plainTextFormattedCitation":"(277)","previouslyFormattedCitation":"(277)"},"properties":{"noteIndex":0},"schema":"https://github.com/citation-style-language/schema/raw/master/csl-citation.json"}</w:instrText>
      </w:r>
      <w:r w:rsidR="0023401B" w:rsidRPr="00CA4ABC">
        <w:rPr>
          <w:rFonts w:eastAsia="Times New Roman" w:cstheme="minorHAnsi"/>
          <w:i/>
          <w:iCs/>
          <w:color w:val="000000" w:themeColor="text1"/>
          <w:lang w:eastAsia="en-GB"/>
        </w:rPr>
        <w:fldChar w:fldCharType="separate"/>
      </w:r>
      <w:r w:rsidR="00FF0BCE" w:rsidRPr="00FF0BCE">
        <w:rPr>
          <w:rFonts w:eastAsia="Times New Roman" w:cstheme="minorHAnsi"/>
          <w:iCs/>
          <w:noProof/>
          <w:color w:val="000000" w:themeColor="text1"/>
          <w:lang w:eastAsia="en-GB"/>
        </w:rPr>
        <w:t>(277)</w:t>
      </w:r>
      <w:r w:rsidR="0023401B" w:rsidRPr="00CA4ABC">
        <w:rPr>
          <w:rFonts w:eastAsia="Times New Roman" w:cstheme="minorHAnsi"/>
          <w:i/>
          <w:iCs/>
          <w:color w:val="000000" w:themeColor="text1"/>
          <w:lang w:eastAsia="en-GB"/>
        </w:rPr>
        <w:fldChar w:fldCharType="end"/>
      </w:r>
      <w:r w:rsidR="005E7EC2" w:rsidRPr="00CA4ABC">
        <w:rPr>
          <w:rFonts w:eastAsia="Times New Roman" w:cstheme="minorHAnsi"/>
          <w:i/>
          <w:iCs/>
          <w:color w:val="000000" w:themeColor="text1"/>
          <w:lang w:eastAsia="en-GB"/>
        </w:rPr>
        <w:t>:</w:t>
      </w:r>
      <w:r w:rsidRPr="00CA4ABC">
        <w:rPr>
          <w:rFonts w:eastAsia="Times New Roman" w:cstheme="minorHAnsi"/>
          <w:color w:val="000000" w:themeColor="text1"/>
          <w:lang w:eastAsia="en-GB"/>
        </w:rPr>
        <w:t xml:space="preserve"> </w:t>
      </w:r>
      <w:r w:rsidR="00CE7376" w:rsidRPr="00CA4ABC">
        <w:rPr>
          <w:rFonts w:eastAsia="Times New Roman" w:cstheme="minorHAnsi"/>
          <w:color w:val="000000" w:themeColor="text1"/>
          <w:lang w:eastAsia="en-GB"/>
        </w:rPr>
        <w:t xml:space="preserve">participant’s </w:t>
      </w:r>
      <w:r w:rsidR="007872CF" w:rsidRPr="00CA4ABC">
        <w:rPr>
          <w:rFonts w:eastAsia="Times New Roman" w:cstheme="minorHAnsi"/>
          <w:color w:val="000000" w:themeColor="text1"/>
          <w:lang w:eastAsia="en-GB"/>
        </w:rPr>
        <w:t>starting position was seated</w:t>
      </w:r>
      <w:r w:rsidRPr="00CA4ABC">
        <w:rPr>
          <w:rFonts w:eastAsia="Times New Roman" w:cstheme="minorHAnsi"/>
          <w:color w:val="000000" w:themeColor="text1"/>
          <w:lang w:eastAsia="en-GB"/>
        </w:rPr>
        <w:t xml:space="preserve">, </w:t>
      </w:r>
      <w:r w:rsidR="00977795" w:rsidRPr="00CA4ABC">
        <w:rPr>
          <w:rFonts w:eastAsia="Times New Roman" w:cstheme="minorHAnsi"/>
          <w:color w:val="000000" w:themeColor="text1"/>
          <w:lang w:eastAsia="en-GB"/>
        </w:rPr>
        <w:t>they</w:t>
      </w:r>
      <w:r w:rsidRPr="00CA4ABC">
        <w:rPr>
          <w:rFonts w:eastAsia="Times New Roman" w:cstheme="minorHAnsi"/>
          <w:color w:val="000000" w:themeColor="text1"/>
          <w:lang w:eastAsia="en-GB"/>
        </w:rPr>
        <w:t xml:space="preserve"> were instructed to cross their arms at their chest and stand up, they were then </w:t>
      </w:r>
      <w:r w:rsidR="00977795" w:rsidRPr="00CA4ABC">
        <w:rPr>
          <w:rFonts w:eastAsia="Times New Roman" w:cstheme="minorHAnsi"/>
          <w:color w:val="000000" w:themeColor="text1"/>
          <w:lang w:eastAsia="en-GB"/>
        </w:rPr>
        <w:t>directed</w:t>
      </w:r>
      <w:r w:rsidRPr="00CA4ABC">
        <w:rPr>
          <w:rFonts w:eastAsia="Times New Roman" w:cstheme="minorHAnsi"/>
          <w:color w:val="000000" w:themeColor="text1"/>
          <w:lang w:eastAsia="en-GB"/>
        </w:rPr>
        <w:t xml:space="preserve"> to return to a sit position and repeat this as quickly as possible for sixty seconds. Participants </w:t>
      </w:r>
      <w:r w:rsidR="00E1614C" w:rsidRPr="00CA4ABC">
        <w:rPr>
          <w:rFonts w:eastAsia="Times New Roman" w:cstheme="minorHAnsi"/>
          <w:color w:val="000000" w:themeColor="text1"/>
          <w:lang w:eastAsia="en-GB"/>
        </w:rPr>
        <w:t>were advised</w:t>
      </w:r>
      <w:r w:rsidRPr="00CA4ABC">
        <w:rPr>
          <w:rFonts w:eastAsia="Times New Roman" w:cstheme="minorHAnsi"/>
          <w:color w:val="000000" w:themeColor="text1"/>
          <w:lang w:eastAsia="en-GB"/>
        </w:rPr>
        <w:t xml:space="preserve"> they could stop the test before the </w:t>
      </w:r>
      <w:r w:rsidR="00B1515B" w:rsidRPr="00CA4ABC">
        <w:rPr>
          <w:rFonts w:eastAsia="Times New Roman" w:cstheme="minorHAnsi"/>
          <w:color w:val="000000" w:themeColor="text1"/>
          <w:lang w:eastAsia="en-GB"/>
        </w:rPr>
        <w:t>60 seconds</w:t>
      </w:r>
      <w:r w:rsidRPr="00CA4ABC">
        <w:rPr>
          <w:rFonts w:eastAsia="Times New Roman" w:cstheme="minorHAnsi"/>
          <w:color w:val="000000" w:themeColor="text1"/>
          <w:lang w:eastAsia="en-GB"/>
        </w:rPr>
        <w:t xml:space="preserve"> if they felt they needed to, particularly to avoid dizziness/light-headedness. Furthermore, a prompt was provided at 30 seconds</w:t>
      </w:r>
      <w:r w:rsidR="00B1515B" w:rsidRPr="00CA4ABC">
        <w:rPr>
          <w:rFonts w:eastAsia="Times New Roman" w:cstheme="minorHAnsi"/>
          <w:color w:val="000000" w:themeColor="text1"/>
          <w:lang w:eastAsia="en-GB"/>
        </w:rPr>
        <w:t xml:space="preserve">, giving </w:t>
      </w:r>
      <w:r w:rsidRPr="00CA4ABC">
        <w:rPr>
          <w:rFonts w:eastAsia="Times New Roman" w:cstheme="minorHAnsi"/>
          <w:color w:val="000000" w:themeColor="text1"/>
          <w:lang w:eastAsia="en-GB"/>
        </w:rPr>
        <w:t xml:space="preserve">participants an opportunity to stop there. </w:t>
      </w:r>
      <w:r w:rsidR="00281DC2" w:rsidRPr="00CA4ABC">
        <w:rPr>
          <w:rFonts w:cstheme="minorHAnsi"/>
          <w:color w:val="000000"/>
          <w:shd w:val="clear" w:color="auto" w:fill="FFFFFF"/>
        </w:rPr>
        <w:t>A recording of the time it took the participants to complete 5-sit to stand actions was also collected.</w:t>
      </w:r>
    </w:p>
    <w:p w14:paraId="2C0662C7" w14:textId="6843D6BB"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Balance</w:t>
      </w:r>
      <w:r w:rsidR="0023401B" w:rsidRPr="00CA4ABC">
        <w:rPr>
          <w:rFonts w:eastAsia="Times New Roman" w:cstheme="minorHAnsi"/>
          <w:i/>
          <w:iCs/>
          <w:color w:val="000000" w:themeColor="text1"/>
          <w:lang w:eastAsia="en-GB"/>
        </w:rPr>
        <w:t xml:space="preserve"> :</w:t>
      </w:r>
      <w:r w:rsidRPr="00CA4ABC">
        <w:rPr>
          <w:rFonts w:eastAsia="Times New Roman" w:cstheme="minorHAnsi"/>
          <w:color w:val="000000" w:themeColor="text1"/>
          <w:lang w:eastAsia="en-GB"/>
        </w:rPr>
        <w:t xml:space="preserve"> </w:t>
      </w:r>
      <w:r w:rsidR="00ED2B15" w:rsidRPr="00CA4ABC">
        <w:rPr>
          <w:rFonts w:eastAsia="Times New Roman" w:cstheme="minorHAnsi"/>
          <w:color w:val="000000" w:themeColor="text1"/>
          <w:lang w:eastAsia="en-GB"/>
        </w:rPr>
        <w:t xml:space="preserve">this </w:t>
      </w:r>
      <w:r w:rsidRPr="00CA4ABC">
        <w:rPr>
          <w:rFonts w:eastAsia="Times New Roman" w:cstheme="minorHAnsi"/>
          <w:color w:val="000000" w:themeColor="text1"/>
          <w:lang w:eastAsia="en-GB"/>
        </w:rPr>
        <w:t>was tested using the one-legged stand test. Participants were able to use their favoured leg</w:t>
      </w:r>
      <w:r w:rsidR="00E1614C" w:rsidRPr="00CA4ABC">
        <w:rPr>
          <w:rFonts w:eastAsia="Times New Roman" w:cstheme="minorHAnsi"/>
          <w:color w:val="000000" w:themeColor="text1"/>
          <w:lang w:eastAsia="en-GB"/>
        </w:rPr>
        <w:t>. They</w:t>
      </w:r>
      <w:r w:rsidRPr="00CA4ABC">
        <w:rPr>
          <w:rFonts w:eastAsia="Times New Roman" w:cstheme="minorHAnsi"/>
          <w:color w:val="000000" w:themeColor="text1"/>
          <w:lang w:eastAsia="en-GB"/>
        </w:rPr>
        <w:t xml:space="preserve"> were asked to raise this to hip height with the knee bent at 90 degrees. The time started when the leg was fully raised and stopped if the participants placed it down on the floor again or failed to keep it raised. If participants reached 2 minutes, this was described as max time reached.</w:t>
      </w:r>
    </w:p>
    <w:p w14:paraId="0C0829AA" w14:textId="0D91BEAB"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i/>
          <w:iCs/>
          <w:color w:val="000000" w:themeColor="text1"/>
          <w:lang w:eastAsia="en-GB"/>
        </w:rPr>
        <w:t>Flexibility</w:t>
      </w:r>
      <w:r w:rsidR="00ED2B15" w:rsidRPr="00CA4ABC">
        <w:rPr>
          <w:rFonts w:eastAsia="Times New Roman" w:cstheme="minorHAnsi"/>
          <w:i/>
          <w:iCs/>
          <w:color w:val="000000" w:themeColor="text1"/>
          <w:lang w:eastAsia="en-GB"/>
        </w:rPr>
        <w:t>:</w:t>
      </w:r>
      <w:r w:rsidRPr="00CA4ABC">
        <w:rPr>
          <w:rFonts w:eastAsia="Times New Roman" w:cstheme="minorHAnsi"/>
          <w:color w:val="000000" w:themeColor="text1"/>
          <w:lang w:eastAsia="en-GB"/>
        </w:rPr>
        <w:t xml:space="preserve"> was tested using the sit and reach </w:t>
      </w:r>
      <w:r w:rsidR="00543CEE" w:rsidRPr="00CA4ABC">
        <w:rPr>
          <w:rFonts w:eastAsia="Times New Roman" w:cstheme="minorHAnsi"/>
          <w:color w:val="000000" w:themeColor="text1"/>
          <w:lang w:eastAsia="en-GB"/>
        </w:rPr>
        <w:t>test (Eveque box, 57cm x 37cm, SKU: 100389)</w:t>
      </w:r>
      <w:r w:rsidRPr="00CA4ABC">
        <w:rPr>
          <w:rFonts w:eastAsia="Times New Roman" w:cstheme="minorHAnsi"/>
          <w:color w:val="000000" w:themeColor="text1"/>
          <w:lang w:eastAsia="en-GB"/>
        </w:rPr>
        <w:t>. Participants sat with their feet flat against the backboard of the box. They were instructed to push the measure as fa</w:t>
      </w:r>
      <w:r w:rsidR="00543CEE" w:rsidRPr="00CA4ABC">
        <w:rPr>
          <w:rFonts w:eastAsia="Times New Roman" w:cstheme="minorHAnsi"/>
          <w:color w:val="000000" w:themeColor="text1"/>
          <w:lang w:eastAsia="en-GB"/>
        </w:rPr>
        <w:t>r</w:t>
      </w:r>
      <w:r w:rsidRPr="00CA4ABC">
        <w:rPr>
          <w:rFonts w:eastAsia="Times New Roman" w:cstheme="minorHAnsi"/>
          <w:color w:val="000000" w:themeColor="text1"/>
          <w:lang w:eastAsia="en-GB"/>
        </w:rPr>
        <w:t xml:space="preserve"> as they could using their fingertips along the top of this box which contained measurements in relation to the toe line. This test was repeated 3 times.</w:t>
      </w:r>
    </w:p>
    <w:p w14:paraId="3033092B" w14:textId="49444A0B"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Appendix 19 documents the form used to obtain measurements related to secondary outcomes at baseline and </w:t>
      </w:r>
      <w:r w:rsidR="00281DC2" w:rsidRPr="00CA4ABC">
        <w:rPr>
          <w:rFonts w:cstheme="minorHAnsi"/>
          <w:color w:val="000000"/>
          <w:shd w:val="clear" w:color="auto" w:fill="FFFFFF"/>
        </w:rPr>
        <w:t xml:space="preserve">follow-up face-to-face </w:t>
      </w:r>
      <w:r w:rsidRPr="00CA4ABC">
        <w:rPr>
          <w:rFonts w:eastAsia="Times New Roman" w:cstheme="minorHAnsi"/>
          <w:color w:val="000000" w:themeColor="text1"/>
          <w:lang w:eastAsia="en-GB"/>
        </w:rPr>
        <w:t>meetings.</w:t>
      </w:r>
    </w:p>
    <w:p w14:paraId="30F3891E" w14:textId="3241CFB7"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lastRenderedPageBreak/>
        <w:t>Habitual activity levels were measured using the Rapid Assessment of Physical Activity (RAPA) developed by the University of Washing</w:t>
      </w:r>
      <w:r w:rsidR="005E7EC2" w:rsidRPr="00CA4ABC">
        <w:rPr>
          <w:rFonts w:eastAsia="Times New Roman" w:cstheme="minorHAnsi"/>
          <w:color w:val="000000" w:themeColor="text1"/>
          <w:lang w:eastAsia="en-GB"/>
        </w:rPr>
        <w:t>ton</w:t>
      </w:r>
      <w:r w:rsidRPr="00CA4ABC">
        <w:rPr>
          <w:rFonts w:eastAsia="Times New Roman" w:cstheme="minorHAnsi"/>
          <w:color w:val="000000" w:themeColor="text1"/>
          <w:lang w:eastAsia="en-GB"/>
        </w:rPr>
        <w:t xml:space="preserve"> Health Promotion Research Center (2006.) (appendix 20.) This questionnaire was completed by the participants </w:t>
      </w:r>
      <w:r w:rsidR="00281DC2" w:rsidRPr="00CA4ABC">
        <w:rPr>
          <w:rFonts w:eastAsia="Times New Roman" w:cstheme="minorHAnsi"/>
          <w:color w:val="000000" w:themeColor="text1"/>
          <w:lang w:eastAsia="en-GB"/>
        </w:rPr>
        <w:t>before</w:t>
      </w:r>
      <w:r w:rsidRPr="00CA4ABC">
        <w:rPr>
          <w:rFonts w:eastAsia="Times New Roman" w:cstheme="minorHAnsi"/>
          <w:color w:val="000000" w:themeColor="text1"/>
          <w:lang w:eastAsia="en-GB"/>
        </w:rPr>
        <w:t xml:space="preserve"> and after the</w:t>
      </w:r>
      <w:r w:rsidR="0096758F" w:rsidRPr="00CA4ABC">
        <w:rPr>
          <w:rFonts w:eastAsia="Times New Roman" w:cstheme="minorHAnsi"/>
          <w:color w:val="000000" w:themeColor="text1"/>
          <w:lang w:eastAsia="en-GB"/>
        </w:rPr>
        <w:t xml:space="preserve"> 6</w:t>
      </w:r>
      <w:r w:rsidR="00281DC2" w:rsidRPr="00CA4ABC">
        <w:rPr>
          <w:rFonts w:eastAsia="Times New Roman" w:cstheme="minorHAnsi"/>
          <w:color w:val="000000" w:themeColor="text1"/>
          <w:lang w:eastAsia="en-GB"/>
        </w:rPr>
        <w:t>-</w:t>
      </w:r>
      <w:r w:rsidR="0096758F" w:rsidRPr="00CA4ABC">
        <w:rPr>
          <w:rFonts w:eastAsia="Times New Roman" w:cstheme="minorHAnsi"/>
          <w:color w:val="000000" w:themeColor="text1"/>
          <w:lang w:eastAsia="en-GB"/>
        </w:rPr>
        <w:t>week</w:t>
      </w:r>
      <w:r w:rsidRPr="00CA4ABC">
        <w:rPr>
          <w:rFonts w:eastAsia="Times New Roman" w:cstheme="minorHAnsi"/>
          <w:color w:val="000000" w:themeColor="text1"/>
          <w:lang w:eastAsia="en-GB"/>
        </w:rPr>
        <w:t xml:space="preserve"> intervention. Participants also completed the protein screener questionnaire, described in chapter 3</w:t>
      </w:r>
      <w:r w:rsidR="00543CEE" w:rsidRPr="00CA4ABC">
        <w:rPr>
          <w:rFonts w:eastAsia="Times New Roman" w:cstheme="minorHAnsi"/>
          <w:color w:val="000000" w:themeColor="text1"/>
          <w:lang w:eastAsia="en-GB"/>
        </w:rPr>
        <w:t xml:space="preserve"> </w:t>
      </w:r>
      <w:r w:rsidR="00543CEE" w:rsidRPr="00CA4ABC">
        <w:rPr>
          <w:rFonts w:eastAsia="Times New Roman" w:cstheme="minorHAnsi"/>
          <w:color w:val="000000" w:themeColor="text1"/>
          <w:lang w:eastAsia="en-GB"/>
        </w:rPr>
        <w:fldChar w:fldCharType="begin" w:fldLock="1"/>
      </w:r>
      <w:r w:rsidR="00E86F8C">
        <w:rPr>
          <w:rFonts w:eastAsia="Times New Roman" w:cstheme="minorHAnsi"/>
          <w:color w:val="000000" w:themeColor="text1"/>
          <w:lang w:eastAsia="en-GB"/>
        </w:rPr>
        <w:instrText>ADDIN CSL_CITATION {"citationItems":[{"id":"ITEM-1","itemData":{"DOI":"10.1017/JNS.2022.96","ISSN":"2048-6790","abstract":"Adequate dietary protein intake is important in human subjects for maintaining muscle turnover, determining the protein content of tissues and thus the preservation of muscle mass and function as we age. A screening tool to assess if an older individual is likely to have a lower dietary protein intake (predicted probability of protein intake ≤1</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0 g/kg per d), has been developed for a Netherlands dietary profile, but this has not been validated in a UK population. This study aimed to adapt and then validate the protein screening tool for use in a UK population. Amendment of the tool was undertaken using data from UK BioBank and the UK National Diet and Nutrition Survey to reflect protein sources in the UK diet. Validation of the amended version of the protein screener screening tool was conducted using protein intake derived from a food frequency questionnaire (FFQ) in a sample of UK adults (n = 184) (age range 18–91 years) as the reference standard. Using the FFQ, 40 % of respondents (n = 74) reported a protein intake of ≤1</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0 g per kg body mass. The discriminative accuracy of the amended screener was tested using receiver operating characteristic (ROC) curves. The area under the curve for the ROC was 0</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731 (95 % CI 0</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657, 0</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805), indicating that the amended screener may be a valid tool to screen for individuals consuming ≤1</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0 g/kg adjusted BM/d in an adult UK population. This protein screener tool is a potential method to screen individuals with a likelihood of habitually consuming protein intakes of ≤1</w:instrText>
      </w:r>
      <w:r w:rsidR="00E86F8C">
        <w:rPr>
          <w:rFonts w:ascii="Cambria Math" w:eastAsia="Times New Roman" w:hAnsi="Cambria Math" w:cs="Cambria Math"/>
          <w:color w:val="000000" w:themeColor="text1"/>
          <w:lang w:eastAsia="en-GB"/>
        </w:rPr>
        <w:instrText>⋅</w:instrText>
      </w:r>
      <w:r w:rsidR="00E86F8C">
        <w:rPr>
          <w:rFonts w:eastAsia="Times New Roman" w:cstheme="minorHAnsi"/>
          <w:color w:val="000000" w:themeColor="text1"/>
          <w:lang w:eastAsia="en-GB"/>
        </w:rPr>
        <w:instrText>0 g/kg per d. Further validation is needed using a more robust dietary intake methodology and for specific groups, such as older adults. The screener may be applicable across healthcare, clinical and research applications.","author":[{"dropping-particle":"","family":"Tuttiett","given":"Esme R.","non-dropping-particle":"","parse-names":false,"suffix":""},{"dropping-particle":"","family":"Ioannou","given":"Elysa","non-dropping-particle":"","parse-names":false,"suffix":""},{"dropping-particle":"","family":"Wijnhoven","given":"Hanneke A.H.","non-dropping-particle":"","parse-names":false,"suffix":""},{"dropping-particle":"","family":"Corfe","given":"Bernard M.","non-dropping-particle":"","parse-names":false,"suffix":""},{"dropping-particle":"","family":"Williams","given":"Elizabeth A.","non-dropping-particle":"","parse-names":false,"suffix":""}],"container-title":"Journal of Nutritional Science","id":"ITEM-1","issued":{"date-parts":[["2022","11","10"]]},"page":"e100","publisher":"Cambridge University Press","title":"Adaptation and validation of a protein intake screening tool for a UK adult population","type":"article-journal","volume":"11"},"uris":["http://www.mendeley.com/documents/?uuid=4bfe53ae-fadc-3848-9ff7-d590a95deef3"]}],"mendeley":{"formattedCitation":"(194)","plainTextFormattedCitation":"(194)","previouslyFormattedCitation":"(194)"},"properties":{"noteIndex":0},"schema":"https://github.com/citation-style-language/schema/raw/master/csl-citation.json"}</w:instrText>
      </w:r>
      <w:r w:rsidR="00543CEE" w:rsidRPr="00CA4ABC">
        <w:rPr>
          <w:rFonts w:eastAsia="Times New Roman" w:cstheme="minorHAnsi"/>
          <w:color w:val="000000" w:themeColor="text1"/>
          <w:lang w:eastAsia="en-GB"/>
        </w:rPr>
        <w:fldChar w:fldCharType="separate"/>
      </w:r>
      <w:r w:rsidR="00057AE3" w:rsidRPr="00057AE3">
        <w:rPr>
          <w:rFonts w:eastAsia="Times New Roman" w:cstheme="minorHAnsi"/>
          <w:noProof/>
          <w:color w:val="000000" w:themeColor="text1"/>
          <w:lang w:eastAsia="en-GB"/>
        </w:rPr>
        <w:t>(194)</w:t>
      </w:r>
      <w:r w:rsidR="00543CEE" w:rsidRPr="00CA4ABC">
        <w:rPr>
          <w:rFonts w:eastAsia="Times New Roman" w:cstheme="minorHAnsi"/>
          <w:color w:val="000000" w:themeColor="text1"/>
          <w:lang w:eastAsia="en-GB"/>
        </w:rPr>
        <w:fldChar w:fldCharType="end"/>
      </w:r>
      <w:r w:rsidRPr="00CA4ABC">
        <w:rPr>
          <w:rFonts w:eastAsia="Times New Roman" w:cstheme="minorHAnsi"/>
          <w:color w:val="000000" w:themeColor="text1"/>
          <w:lang w:eastAsia="en-GB"/>
        </w:rPr>
        <w:t xml:space="preserve">, to obtain information relating to </w:t>
      </w:r>
      <w:r w:rsidR="00EB2C52" w:rsidRPr="00CA4ABC">
        <w:rPr>
          <w:rFonts w:eastAsia="Times New Roman" w:cstheme="minorHAnsi"/>
          <w:color w:val="000000" w:themeColor="text1"/>
          <w:lang w:eastAsia="en-GB"/>
        </w:rPr>
        <w:t>protein-containing</w:t>
      </w:r>
      <w:r w:rsidRPr="00CA4ABC">
        <w:rPr>
          <w:rFonts w:eastAsia="Times New Roman" w:cstheme="minorHAnsi"/>
          <w:color w:val="000000" w:themeColor="text1"/>
          <w:lang w:eastAsia="en-GB"/>
        </w:rPr>
        <w:t xml:space="preserve"> food they consumed</w:t>
      </w:r>
      <w:r w:rsidR="00543CEE" w:rsidRPr="00CA4ABC">
        <w:rPr>
          <w:rFonts w:eastAsia="Times New Roman" w:cstheme="minorHAnsi"/>
          <w:color w:val="000000" w:themeColor="text1"/>
          <w:lang w:eastAsia="en-GB"/>
        </w:rPr>
        <w:t>.</w:t>
      </w:r>
    </w:p>
    <w:p w14:paraId="09E01D37" w14:textId="5C350A4E"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Food diaries were collected at week 0, week 3 (week commencing: 21.02.22) and week 6 (week commencing 14.03.22) to explore dietary intakes. Participants were asked to complete a physical food diary, provided to them in their log books (appendix 14.) Training about how to accurately complete the food diary was given during visit one. In short, they were asked to note everything they ate and dr</w:t>
      </w:r>
      <w:r w:rsidR="00EB2C52" w:rsidRPr="00CA4ABC">
        <w:rPr>
          <w:rFonts w:eastAsia="Times New Roman" w:cstheme="minorHAnsi"/>
          <w:color w:val="000000" w:themeColor="text1"/>
          <w:lang w:eastAsia="en-GB"/>
        </w:rPr>
        <w:t>a</w:t>
      </w:r>
      <w:r w:rsidRPr="00CA4ABC">
        <w:rPr>
          <w:rFonts w:eastAsia="Times New Roman" w:cstheme="minorHAnsi"/>
          <w:color w:val="000000" w:themeColor="text1"/>
          <w:lang w:eastAsia="en-GB"/>
        </w:rPr>
        <w:t xml:space="preserve">nk in a 24-hour period, recording the time these items were consumed. Participants were also provided with a food portion booklet containing photographs from the Ministry of Agriculture, Food and Fisheries (MAFF) food atlas </w:t>
      </w:r>
      <w:r w:rsidRPr="00CA4ABC">
        <w:rPr>
          <w:rFonts w:eastAsia="Times New Roman" w:cstheme="minorHAnsi"/>
          <w:color w:val="000000" w:themeColor="text1"/>
          <w:lang w:eastAsia="en-GB"/>
        </w:rPr>
        <w:fldChar w:fldCharType="begin" w:fldLock="1"/>
      </w:r>
      <w:r w:rsidR="00821D82">
        <w:rPr>
          <w:rFonts w:eastAsia="Times New Roman" w:cstheme="minorHAnsi"/>
          <w:color w:val="000000" w:themeColor="text1"/>
          <w:lang w:eastAsia="en-GB"/>
        </w:rPr>
        <w:instrText>ADDIN CSL_CITATION {"citationItems":[{"id":"ITEM-1","itemData":{"author":[{"dropping-particle":"","family":"Nelson","given":"Michael","non-dropping-particle":"","parse-names":false,"suffix":""}],"id":"ITEM-1","issued":{"date-parts":[["1997"]]},"publisher":"MAFF Publications","publisher-place":"London","title":"Food portion sizes : a photographic atlas","type":"book"},"uris":["http://www.mendeley.com/documents/?uuid=4f9b3439-8bd8-3ff2-a9d1-56675b4c6e84"]}],"mendeley":{"formattedCitation":"(278)","plainTextFormattedCitation":"(278)","previouslyFormattedCitation":"(278)"},"properties":{"noteIndex":0},"schema":"https://github.com/citation-style-language/schema/raw/master/csl-citation.json"}</w:instrText>
      </w:r>
      <w:r w:rsidRPr="00CA4ABC">
        <w:rPr>
          <w:rFonts w:eastAsia="Times New Roman" w:cstheme="minorHAnsi"/>
          <w:color w:val="000000" w:themeColor="text1"/>
          <w:lang w:eastAsia="en-GB"/>
        </w:rPr>
        <w:fldChar w:fldCharType="separate"/>
      </w:r>
      <w:r w:rsidR="00FF0BCE" w:rsidRPr="00FF0BCE">
        <w:rPr>
          <w:rFonts w:eastAsia="Times New Roman" w:cstheme="minorHAnsi"/>
          <w:noProof/>
          <w:color w:val="000000" w:themeColor="text1"/>
          <w:lang w:eastAsia="en-GB"/>
        </w:rPr>
        <w:t>(278)</w:t>
      </w:r>
      <w:r w:rsidRPr="00CA4ABC">
        <w:rPr>
          <w:rFonts w:eastAsia="Times New Roman" w:cstheme="minorHAnsi"/>
          <w:color w:val="000000" w:themeColor="text1"/>
          <w:lang w:eastAsia="en-GB"/>
        </w:rPr>
        <w:fldChar w:fldCharType="end"/>
      </w:r>
      <w:r w:rsidRPr="00CA4ABC">
        <w:rPr>
          <w:rFonts w:eastAsia="Times New Roman" w:cstheme="minorHAnsi"/>
          <w:color w:val="000000" w:themeColor="text1"/>
          <w:lang w:eastAsia="en-GB"/>
        </w:rPr>
        <w:t xml:space="preserve"> to aid their assessment of food portion sizes. Diet plan 7 was used to obtain nutritional information based on the food diary response</w:t>
      </w:r>
      <w:r w:rsidR="00EB2C52"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w:t>
      </w:r>
    </w:p>
    <w:p w14:paraId="75CD8E3C" w14:textId="2E697EED"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On the same day as the food diaries were completed, participants were also asked to fill out a visual analogue scale (VAS) questionnaire linked to appetite 3 hours after their first meal. This consisted of nine questions and was validated by Flint et al</w:t>
      </w:r>
      <w:r w:rsidR="00D30D52">
        <w:rPr>
          <w:rFonts w:eastAsia="Times New Roman" w:cstheme="minorHAnsi"/>
          <w:color w:val="000000" w:themeColor="text1"/>
          <w:lang w:eastAsia="en-GB"/>
        </w:rPr>
        <w:t>.</w:t>
      </w:r>
      <w:r w:rsidRPr="00CA4ABC">
        <w:rPr>
          <w:rFonts w:eastAsia="Times New Roman" w:cstheme="minorHAnsi"/>
          <w:color w:val="000000" w:themeColor="text1"/>
          <w:lang w:eastAsia="en-GB"/>
        </w:rPr>
        <w:t xml:space="preserve"> </w:t>
      </w:r>
      <w:r w:rsidRPr="00CA4ABC">
        <w:rPr>
          <w:rFonts w:eastAsia="Times New Roman" w:cstheme="minorHAnsi"/>
          <w:color w:val="000000" w:themeColor="text1"/>
          <w:lang w:eastAsia="en-GB"/>
        </w:rPr>
        <w:fldChar w:fldCharType="begin" w:fldLock="1"/>
      </w:r>
      <w:r w:rsidR="00821D82">
        <w:rPr>
          <w:rFonts w:eastAsia="Times New Roman" w:cstheme="minorHAnsi"/>
          <w:color w:val="000000" w:themeColor="text1"/>
          <w:lang w:eastAsia="en-GB"/>
        </w:rPr>
        <w:instrText>ADDIN CSL_CITATION {"citationItems":[{"id":"ITEM-1","itemData":{"DOI":"10.1038/sj.ijo.0801083","ISSN":"03070565","PMID":"10702749","abstract":"OBJECTIVE: To examine reproducibility and validity of visual analogue scales (VAS) for measurement of appetite sensations, with and without a diet standardization prior to the test days. DESIGN: On two different test days the subjects recorded their appetite sensations before breakfast and every 30 min during the 4.5 h postprandial period under exactly the same conditions. SUBJECTS: 55 healthy men (age 25.6 ± 0.6 y, BMI 22.6 ± 0.3 kg/m2). MEASUREMENTS: VAS were used to record hunger, satiety, fullness, prospective food consumption, desire to eat something fatty, salty, sweet or savoury, and palatability of the meals. Subsequently an ad libitum lunch was served and energy intake was recorded. Reproducibility was assessed by the coefficient of repeatability (CR) of fasting, mean 4.5 h and peak/nadir values. RESULTS: CRs (range 20-61 mm) were larger for fasting and peak/nadir values compared with mean 4.5 h values. No parameter seemed to be improved by diet standardization. Using a paired design and a study power of 0.8, a difference of 10 mm on fasting and 5 mm on mean 4.5 h ratings can be detected with 18 subjects. When using desires to eat specific types of food or an unpaired design, more subjects are needed due to considerable variation. The best correlations of validity were found between 4.5 h mean VAS of the appetite parameters and subsequent energy intake (r = ± 0.50-0.53, P &lt; 0.001). CONCLUSION: VAS scores are reliable for appetite research and do not seem to be influenced by prior diet standardization. However, consideration should be given to the specific parameters being measured, their sensitivity and study power.","author":[{"dropping-particle":"","family":"Flint","given":"A.","non-dropping-particle":"","parse-names":false,"suffix":""},{"dropping-particle":"","family":"Raben","given":"A.","non-dropping-particle":"","parse-names":false,"suffix":""},{"dropping-particle":"","family":"Blundell","given":"J. E.","non-dropping-particle":"","parse-names":false,"suffix":""},{"dropping-particle":"","family":"Astrup","given":"A.","non-dropping-particle":"","parse-names":false,"suffix":""}],"container-title":"International Journal of Obesity","id":"ITEM-1","issue":"1","issued":{"date-parts":[["2000"]]},"page":"38-48","title":"Reproducibility, power and validity of visual analogue scales in assessment of appetite sensations in single test meal studies","type":"article-journal","volume":"24"},"uris":["http://www.mendeley.com/documents/?uuid=785aa410-57e2-3a70-930c-8c1b9cc453d4"]}],"mendeley":{"formattedCitation":"(279)","plainTextFormattedCitation":"(279)","previouslyFormattedCitation":"(279)"},"properties":{"noteIndex":0},"schema":"https://github.com/citation-style-language/schema/raw/master/csl-citation.json"}</w:instrText>
      </w:r>
      <w:r w:rsidRPr="00CA4ABC">
        <w:rPr>
          <w:rFonts w:eastAsia="Times New Roman" w:cstheme="minorHAnsi"/>
          <w:color w:val="000000" w:themeColor="text1"/>
          <w:lang w:eastAsia="en-GB"/>
        </w:rPr>
        <w:fldChar w:fldCharType="separate"/>
      </w:r>
      <w:r w:rsidR="00FF0BCE" w:rsidRPr="00FF0BCE">
        <w:rPr>
          <w:rFonts w:eastAsia="Times New Roman" w:cstheme="minorHAnsi"/>
          <w:noProof/>
          <w:color w:val="000000" w:themeColor="text1"/>
          <w:lang w:eastAsia="en-GB"/>
        </w:rPr>
        <w:t>(279)</w:t>
      </w:r>
      <w:r w:rsidRPr="00CA4ABC">
        <w:rPr>
          <w:rFonts w:eastAsia="Times New Roman" w:cstheme="minorHAnsi"/>
          <w:color w:val="000000" w:themeColor="text1"/>
          <w:lang w:eastAsia="en-GB"/>
        </w:rPr>
        <w:fldChar w:fldCharType="end"/>
      </w:r>
      <w:r w:rsidRPr="00CA4ABC">
        <w:rPr>
          <w:rFonts w:eastAsia="Times New Roman" w:cstheme="minorHAnsi"/>
          <w:color w:val="000000" w:themeColor="text1"/>
          <w:lang w:eastAsia="en-GB"/>
        </w:rPr>
        <w:t>.</w:t>
      </w:r>
    </w:p>
    <w:p w14:paraId="69D68A08" w14:textId="7B44C52B"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 xml:space="preserve">Secondary outcome measurements were taken at baseline (week 0) and after competition of the intervention (week 7) unless otherwise described. </w:t>
      </w:r>
    </w:p>
    <w:p w14:paraId="0B154691" w14:textId="3370D0D0" w:rsidR="00345581" w:rsidRPr="00CA4ABC" w:rsidRDefault="004C12CF" w:rsidP="00345581">
      <w:pPr>
        <w:pStyle w:val="Heading3"/>
        <w:spacing w:line="360" w:lineRule="auto"/>
        <w:rPr>
          <w:rFonts w:asciiTheme="minorHAnsi" w:eastAsia="Times New Roman" w:hAnsiTheme="minorHAnsi" w:cstheme="minorHAnsi"/>
          <w:color w:val="000000" w:themeColor="text1"/>
        </w:rPr>
      </w:pPr>
      <w:bookmarkStart w:id="253" w:name="_Toc135384354"/>
      <w:r w:rsidRPr="00CA4ABC">
        <w:rPr>
          <w:rFonts w:asciiTheme="minorHAnsi" w:eastAsia="Times New Roman" w:hAnsiTheme="minorHAnsi" w:cstheme="minorHAnsi"/>
          <w:color w:val="000000" w:themeColor="text1"/>
        </w:rPr>
        <w:t>5.2.7 Study Setting</w:t>
      </w:r>
      <w:bookmarkEnd w:id="253"/>
      <w:r w:rsidRPr="00CA4ABC">
        <w:rPr>
          <w:rFonts w:asciiTheme="minorHAnsi" w:eastAsia="Times New Roman" w:hAnsiTheme="minorHAnsi" w:cstheme="minorHAnsi"/>
          <w:color w:val="000000" w:themeColor="text1"/>
        </w:rPr>
        <w:t xml:space="preserve"> </w:t>
      </w:r>
    </w:p>
    <w:p w14:paraId="7C037D27" w14:textId="6652E806" w:rsidR="004C12CF" w:rsidRPr="00CA4ABC" w:rsidRDefault="004C12CF" w:rsidP="00345581">
      <w:pPr>
        <w:pStyle w:val="Heading3"/>
        <w:spacing w:line="360" w:lineRule="auto"/>
        <w:ind w:firstLine="720"/>
        <w:rPr>
          <w:rFonts w:asciiTheme="minorHAnsi" w:eastAsia="Times New Roman" w:hAnsiTheme="minorHAnsi" w:cstheme="minorHAnsi"/>
          <w:color w:val="000000" w:themeColor="text1"/>
        </w:rPr>
      </w:pPr>
      <w:bookmarkStart w:id="254" w:name="_Toc125879951"/>
      <w:bookmarkStart w:id="255" w:name="_Toc127044457"/>
      <w:bookmarkStart w:id="256" w:name="_Toc127527489"/>
      <w:bookmarkStart w:id="257" w:name="_Toc127967645"/>
      <w:bookmarkStart w:id="258" w:name="_Toc135384355"/>
      <w:r w:rsidRPr="00CA4ABC">
        <w:rPr>
          <w:rFonts w:asciiTheme="minorHAnsi" w:eastAsia="Times New Roman" w:hAnsiTheme="minorHAnsi" w:cstheme="minorHAnsi"/>
          <w:color w:val="000000" w:themeColor="text1"/>
        </w:rPr>
        <w:t xml:space="preserve">All baseline and follow-up measurements with participants were taken at Sport Sheffield facilities (University of Sheffield, Northumbria </w:t>
      </w:r>
      <w:r w:rsidR="005E7EC2" w:rsidRPr="00CA4ABC">
        <w:rPr>
          <w:rFonts w:asciiTheme="minorHAnsi" w:eastAsia="Times New Roman" w:hAnsiTheme="minorHAnsi" w:cstheme="minorHAnsi"/>
          <w:color w:val="000000" w:themeColor="text1"/>
        </w:rPr>
        <w:t>R</w:t>
      </w:r>
      <w:r w:rsidRPr="00CA4ABC">
        <w:rPr>
          <w:rFonts w:asciiTheme="minorHAnsi" w:eastAsia="Times New Roman" w:hAnsiTheme="minorHAnsi" w:cstheme="minorHAnsi"/>
          <w:color w:val="000000" w:themeColor="text1"/>
        </w:rPr>
        <w:t xml:space="preserve">oad, Sheffield.) In addition to the researcher, Sport Sheffield staff were always present on the compound during study measurements, including a trained first-aider. All testing equipment was available at this location and was </w:t>
      </w:r>
      <w:r w:rsidR="0096758F" w:rsidRPr="00CA4ABC">
        <w:rPr>
          <w:rFonts w:asciiTheme="minorHAnsi" w:eastAsia="Times New Roman" w:hAnsiTheme="minorHAnsi" w:cstheme="minorHAnsi"/>
          <w:color w:val="000000" w:themeColor="text1"/>
        </w:rPr>
        <w:t>cleaned with antibacterial spray and wipes</w:t>
      </w:r>
      <w:r w:rsidRPr="00CA4ABC">
        <w:rPr>
          <w:rFonts w:asciiTheme="minorHAnsi" w:eastAsia="Times New Roman" w:hAnsiTheme="minorHAnsi" w:cstheme="minorHAnsi"/>
          <w:color w:val="000000" w:themeColor="text1"/>
        </w:rPr>
        <w:t xml:space="preserve"> in-between participants.</w:t>
      </w:r>
      <w:bookmarkEnd w:id="254"/>
      <w:bookmarkEnd w:id="255"/>
      <w:bookmarkEnd w:id="256"/>
      <w:bookmarkEnd w:id="257"/>
      <w:bookmarkEnd w:id="258"/>
    </w:p>
    <w:p w14:paraId="2CE5486A" w14:textId="54421A56" w:rsidR="004C12CF" w:rsidRPr="00CA4ABC" w:rsidRDefault="0096758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All</w:t>
      </w:r>
      <w:r w:rsidR="004C12CF" w:rsidRPr="00CA4ABC">
        <w:rPr>
          <w:rFonts w:eastAsia="Times New Roman" w:cstheme="minorHAnsi"/>
          <w:color w:val="000000" w:themeColor="text1"/>
          <w:lang w:eastAsia="en-GB"/>
        </w:rPr>
        <w:t xml:space="preserve"> exercise session</w:t>
      </w:r>
      <w:r w:rsidR="00EB2C52" w:rsidRPr="00CA4ABC">
        <w:rPr>
          <w:rFonts w:eastAsia="Times New Roman" w:cstheme="minorHAnsi"/>
          <w:color w:val="000000" w:themeColor="text1"/>
          <w:lang w:eastAsia="en-GB"/>
        </w:rPr>
        <w:t>s</w:t>
      </w:r>
      <w:r w:rsidR="005E7EC2" w:rsidRPr="00CA4ABC">
        <w:rPr>
          <w:rFonts w:eastAsia="Times New Roman" w:cstheme="minorHAnsi"/>
          <w:color w:val="000000" w:themeColor="text1"/>
          <w:lang w:eastAsia="en-GB"/>
        </w:rPr>
        <w:t xml:space="preserve"> </w:t>
      </w:r>
      <w:r w:rsidRPr="00CA4ABC">
        <w:rPr>
          <w:rFonts w:eastAsia="Times New Roman" w:cstheme="minorHAnsi"/>
          <w:color w:val="000000" w:themeColor="text1"/>
          <w:lang w:eastAsia="en-GB"/>
        </w:rPr>
        <w:t xml:space="preserve">were completed </w:t>
      </w:r>
      <w:r w:rsidR="005E7EC2" w:rsidRPr="00CA4ABC">
        <w:rPr>
          <w:rFonts w:eastAsia="Times New Roman" w:cstheme="minorHAnsi"/>
          <w:color w:val="000000" w:themeColor="text1"/>
          <w:lang w:eastAsia="en-GB"/>
        </w:rPr>
        <w:t>at home</w:t>
      </w:r>
      <w:r w:rsidR="004C12CF" w:rsidRPr="00CA4ABC">
        <w:rPr>
          <w:rFonts w:eastAsia="Times New Roman" w:cstheme="minorHAnsi"/>
          <w:color w:val="000000" w:themeColor="text1"/>
          <w:lang w:eastAsia="en-GB"/>
        </w:rPr>
        <w:t xml:space="preserve">, participants were encouraged to ensure they were in an </w:t>
      </w:r>
      <w:r w:rsidR="00ED2B15" w:rsidRPr="00CA4ABC">
        <w:rPr>
          <w:rFonts w:eastAsia="Times New Roman" w:cstheme="minorHAnsi"/>
          <w:color w:val="000000" w:themeColor="text1"/>
          <w:lang w:eastAsia="en-GB"/>
        </w:rPr>
        <w:t>appropriate</w:t>
      </w:r>
      <w:r w:rsidR="004C12CF" w:rsidRPr="00CA4ABC">
        <w:rPr>
          <w:rFonts w:eastAsia="Times New Roman" w:cstheme="minorHAnsi"/>
          <w:color w:val="000000" w:themeColor="text1"/>
          <w:lang w:eastAsia="en-GB"/>
        </w:rPr>
        <w:t xml:space="preserve"> setting that had adequate space and was clutter-free. A door which </w:t>
      </w:r>
      <w:r w:rsidR="004C12CF" w:rsidRPr="00CA4ABC">
        <w:rPr>
          <w:rFonts w:eastAsia="Times New Roman" w:cstheme="minorHAnsi"/>
          <w:color w:val="000000" w:themeColor="text1"/>
          <w:lang w:eastAsia="en-GB"/>
        </w:rPr>
        <w:lastRenderedPageBreak/>
        <w:t>could firmly shut was also need</w:t>
      </w:r>
      <w:r w:rsidR="00281DC2" w:rsidRPr="00CA4ABC">
        <w:rPr>
          <w:rFonts w:eastAsia="Times New Roman" w:cstheme="minorHAnsi"/>
          <w:color w:val="000000" w:themeColor="text1"/>
          <w:lang w:eastAsia="en-GB"/>
        </w:rPr>
        <w:t>ed</w:t>
      </w:r>
      <w:r w:rsidR="004C12CF" w:rsidRPr="00CA4ABC">
        <w:rPr>
          <w:rFonts w:eastAsia="Times New Roman" w:cstheme="minorHAnsi"/>
          <w:color w:val="000000" w:themeColor="text1"/>
          <w:lang w:eastAsia="en-GB"/>
        </w:rPr>
        <w:t xml:space="preserve"> for some exercises. The protein supplements were easily portable (a small sachet) so could be taken wherever, including outside of the home, if required.</w:t>
      </w:r>
    </w:p>
    <w:p w14:paraId="5814CAA1" w14:textId="7AF89118" w:rsidR="00345581" w:rsidRPr="00CA4ABC" w:rsidRDefault="004C12CF" w:rsidP="00345581">
      <w:pPr>
        <w:pStyle w:val="Heading3"/>
        <w:spacing w:line="360" w:lineRule="auto"/>
        <w:rPr>
          <w:rFonts w:asciiTheme="minorHAnsi" w:eastAsia="Times New Roman" w:hAnsiTheme="minorHAnsi" w:cstheme="minorHAnsi"/>
          <w:color w:val="000000" w:themeColor="text1"/>
        </w:rPr>
      </w:pPr>
      <w:bookmarkStart w:id="259" w:name="_Toc135384356"/>
      <w:r w:rsidRPr="00CA4ABC">
        <w:rPr>
          <w:rFonts w:asciiTheme="minorHAnsi" w:eastAsia="Times New Roman" w:hAnsiTheme="minorHAnsi" w:cstheme="minorHAnsi"/>
          <w:color w:val="000000" w:themeColor="text1"/>
        </w:rPr>
        <w:t>5.2.8 Procedure</w:t>
      </w:r>
      <w:bookmarkEnd w:id="259"/>
    </w:p>
    <w:p w14:paraId="2912F937" w14:textId="68D69A07" w:rsidR="000201C1" w:rsidRPr="00CA4ABC" w:rsidRDefault="004C12CF" w:rsidP="0096758F">
      <w:pPr>
        <w:pStyle w:val="Heading3"/>
        <w:spacing w:line="360" w:lineRule="auto"/>
        <w:ind w:firstLine="720"/>
        <w:rPr>
          <w:rFonts w:asciiTheme="minorHAnsi" w:eastAsia="Times New Roman" w:hAnsiTheme="minorHAnsi" w:cstheme="minorHAnsi"/>
          <w:color w:val="000000" w:themeColor="text1"/>
        </w:rPr>
      </w:pPr>
      <w:bookmarkStart w:id="260" w:name="_Toc125879953"/>
      <w:bookmarkStart w:id="261" w:name="_Toc127044459"/>
      <w:bookmarkStart w:id="262" w:name="_Toc127527491"/>
      <w:bookmarkStart w:id="263" w:name="_Toc127967647"/>
      <w:bookmarkStart w:id="264" w:name="_Toc135384357"/>
      <w:r w:rsidRPr="00CA4ABC">
        <w:rPr>
          <w:rFonts w:asciiTheme="minorHAnsi" w:eastAsia="Times New Roman" w:hAnsiTheme="minorHAnsi" w:cstheme="minorHAnsi"/>
          <w:color w:val="000000" w:themeColor="text1"/>
        </w:rPr>
        <w:t>Baseline visits were hel</w:t>
      </w:r>
      <w:r w:rsidR="000201C1" w:rsidRPr="00CA4ABC">
        <w:rPr>
          <w:rFonts w:asciiTheme="minorHAnsi" w:eastAsia="Times New Roman" w:hAnsiTheme="minorHAnsi" w:cstheme="minorHAnsi"/>
          <w:color w:val="000000" w:themeColor="text1"/>
        </w:rPr>
        <w:t>d</w:t>
      </w:r>
      <w:r w:rsidRPr="00CA4ABC">
        <w:rPr>
          <w:rFonts w:asciiTheme="minorHAnsi" w:eastAsia="Times New Roman" w:hAnsiTheme="minorHAnsi" w:cstheme="minorHAnsi"/>
          <w:color w:val="000000" w:themeColor="text1"/>
        </w:rPr>
        <w:t xml:space="preserve"> between 24.01.22 and 01.02.22</w:t>
      </w:r>
      <w:r w:rsidR="004942FF"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 xml:space="preserve"> and follow</w:t>
      </w:r>
      <w:r w:rsidR="004942FF"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 xml:space="preserve">up </w:t>
      </w:r>
      <w:r w:rsidR="000201C1" w:rsidRPr="00CA4ABC">
        <w:rPr>
          <w:rFonts w:asciiTheme="minorHAnsi" w:eastAsia="Times New Roman" w:hAnsiTheme="minorHAnsi" w:cstheme="minorHAnsi"/>
          <w:color w:val="000000" w:themeColor="text1"/>
        </w:rPr>
        <w:t>post-</w:t>
      </w:r>
      <w:r w:rsidRPr="00CA4ABC">
        <w:rPr>
          <w:rFonts w:asciiTheme="minorHAnsi" w:eastAsia="Times New Roman" w:hAnsiTheme="minorHAnsi" w:cstheme="minorHAnsi"/>
          <w:color w:val="000000" w:themeColor="text1"/>
        </w:rPr>
        <w:t>intervention visit</w:t>
      </w:r>
      <w:r w:rsidR="000201C1" w:rsidRPr="00CA4ABC">
        <w:rPr>
          <w:rFonts w:asciiTheme="minorHAnsi" w:eastAsia="Times New Roman" w:hAnsiTheme="minorHAnsi" w:cstheme="minorHAnsi"/>
          <w:color w:val="000000" w:themeColor="text1"/>
        </w:rPr>
        <w:t>s</w:t>
      </w:r>
      <w:r w:rsidRPr="00CA4ABC">
        <w:rPr>
          <w:rFonts w:asciiTheme="minorHAnsi" w:eastAsia="Times New Roman" w:hAnsiTheme="minorHAnsi" w:cstheme="minorHAnsi"/>
          <w:color w:val="000000" w:themeColor="text1"/>
        </w:rPr>
        <w:t xml:space="preserve"> </w:t>
      </w:r>
      <w:r w:rsidR="000201C1" w:rsidRPr="00CA4ABC">
        <w:rPr>
          <w:rFonts w:asciiTheme="minorHAnsi" w:eastAsia="Times New Roman" w:hAnsiTheme="minorHAnsi" w:cstheme="minorHAnsi"/>
          <w:color w:val="000000" w:themeColor="text1"/>
        </w:rPr>
        <w:t>occurred</w:t>
      </w:r>
      <w:r w:rsidRPr="00CA4ABC">
        <w:rPr>
          <w:rFonts w:asciiTheme="minorHAnsi" w:eastAsia="Times New Roman" w:hAnsiTheme="minorHAnsi" w:cstheme="minorHAnsi"/>
          <w:color w:val="000000" w:themeColor="text1"/>
        </w:rPr>
        <w:t xml:space="preserve"> between 22.03.22 and 29.03.22 at Sports Sheffield. At visit one, informed consent was obtained and </w:t>
      </w:r>
      <w:r w:rsidR="002A75A9" w:rsidRPr="00CA4ABC">
        <w:rPr>
          <w:rFonts w:asciiTheme="minorHAnsi" w:eastAsia="Times New Roman" w:hAnsiTheme="minorHAnsi" w:cstheme="minorHAnsi"/>
          <w:color w:val="000000" w:themeColor="text1"/>
        </w:rPr>
        <w:t xml:space="preserve">the previously </w:t>
      </w:r>
      <w:r w:rsidRPr="00CA4ABC">
        <w:rPr>
          <w:rFonts w:asciiTheme="minorHAnsi" w:eastAsia="Times New Roman" w:hAnsiTheme="minorHAnsi" w:cstheme="minorHAnsi"/>
          <w:color w:val="000000" w:themeColor="text1"/>
        </w:rPr>
        <w:t>described study training and measurements were taken. Participants were also provided with their study documentation (log books), a tape measurement, their resistance bands and</w:t>
      </w:r>
      <w:r w:rsidR="002A75A9" w:rsidRPr="00CA4ABC">
        <w:rPr>
          <w:rFonts w:asciiTheme="minorHAnsi" w:eastAsia="Times New Roman" w:hAnsiTheme="minorHAnsi" w:cstheme="minorHAnsi"/>
          <w:color w:val="000000" w:themeColor="text1"/>
        </w:rPr>
        <w:t>,</w:t>
      </w:r>
      <w:r w:rsidRPr="00CA4ABC">
        <w:rPr>
          <w:rFonts w:asciiTheme="minorHAnsi" w:eastAsia="Times New Roman" w:hAnsiTheme="minorHAnsi" w:cstheme="minorHAnsi"/>
          <w:color w:val="000000" w:themeColor="text1"/>
        </w:rPr>
        <w:t xml:space="preserve"> if required, the correct number of protein supplements </w:t>
      </w:r>
      <w:r w:rsidR="002A75A9" w:rsidRPr="00CA4ABC">
        <w:rPr>
          <w:rFonts w:asciiTheme="minorHAnsi" w:eastAsia="Times New Roman" w:hAnsiTheme="minorHAnsi" w:cstheme="minorHAnsi"/>
          <w:color w:val="000000" w:themeColor="text1"/>
        </w:rPr>
        <w:t>to be taken</w:t>
      </w:r>
      <w:r w:rsidRPr="00CA4ABC">
        <w:rPr>
          <w:rFonts w:asciiTheme="minorHAnsi" w:eastAsia="Times New Roman" w:hAnsiTheme="minorHAnsi" w:cstheme="minorHAnsi"/>
          <w:color w:val="000000" w:themeColor="text1"/>
        </w:rPr>
        <w:t xml:space="preserve"> for the</w:t>
      </w:r>
      <w:r w:rsidR="002A75A9" w:rsidRPr="00CA4ABC">
        <w:rPr>
          <w:rFonts w:asciiTheme="minorHAnsi" w:eastAsia="Times New Roman" w:hAnsiTheme="minorHAnsi" w:cstheme="minorHAnsi"/>
          <w:color w:val="000000" w:themeColor="text1"/>
        </w:rPr>
        <w:t xml:space="preserve"> full</w:t>
      </w:r>
      <w:r w:rsidRPr="00CA4ABC">
        <w:rPr>
          <w:rFonts w:asciiTheme="minorHAnsi" w:eastAsia="Times New Roman" w:hAnsiTheme="minorHAnsi" w:cstheme="minorHAnsi"/>
          <w:color w:val="000000" w:themeColor="text1"/>
        </w:rPr>
        <w:t xml:space="preserve"> duration of the intervention.</w:t>
      </w:r>
      <w:bookmarkEnd w:id="260"/>
      <w:bookmarkEnd w:id="261"/>
      <w:bookmarkEnd w:id="262"/>
      <w:bookmarkEnd w:id="263"/>
      <w:bookmarkEnd w:id="264"/>
      <w:r w:rsidRPr="00CA4ABC">
        <w:rPr>
          <w:rFonts w:asciiTheme="minorHAnsi" w:eastAsia="Times New Roman" w:hAnsiTheme="minorHAnsi" w:cstheme="minorHAnsi"/>
          <w:color w:val="000000" w:themeColor="text1"/>
        </w:rPr>
        <w:t xml:space="preserve"> </w:t>
      </w:r>
    </w:p>
    <w:p w14:paraId="1B6D4C4D" w14:textId="0ECD1D16" w:rsidR="000201C1" w:rsidRPr="00CA4ABC" w:rsidRDefault="000201C1" w:rsidP="000201C1">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Logbook</w:t>
      </w:r>
      <w:r w:rsidR="004942FF"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 xml:space="preserve"> were personalised based on randomisation arms and participants were asked to fill these in throughout the 6</w:t>
      </w:r>
      <w:r w:rsidR="00281DC2" w:rsidRPr="00CA4ABC">
        <w:rPr>
          <w:rFonts w:eastAsia="Times New Roman" w:cstheme="minorHAnsi"/>
          <w:color w:val="000000" w:themeColor="text1"/>
          <w:lang w:eastAsia="en-GB"/>
        </w:rPr>
        <w:t>-</w:t>
      </w:r>
      <w:r w:rsidRPr="00CA4ABC">
        <w:rPr>
          <w:rFonts w:eastAsia="Times New Roman" w:cstheme="minorHAnsi"/>
          <w:color w:val="000000" w:themeColor="text1"/>
          <w:lang w:eastAsia="en-GB"/>
        </w:rPr>
        <w:t>week intervention period</w:t>
      </w:r>
      <w:r w:rsidR="00281DC2" w:rsidRPr="00CA4ABC">
        <w:rPr>
          <w:rFonts w:eastAsia="Times New Roman" w:cstheme="minorHAnsi"/>
          <w:color w:val="000000" w:themeColor="text1"/>
          <w:lang w:eastAsia="en-GB"/>
        </w:rPr>
        <w:t>. Written instructions were outlined in the logbook</w:t>
      </w:r>
      <w:r w:rsidR="00134BD3" w:rsidRPr="00CA4ABC">
        <w:rPr>
          <w:rFonts w:eastAsia="Times New Roman" w:cstheme="minorHAnsi"/>
          <w:color w:val="000000" w:themeColor="text1"/>
          <w:lang w:eastAsia="en-GB"/>
        </w:rPr>
        <w:t xml:space="preserve">s </w:t>
      </w:r>
      <w:r w:rsidR="00281DC2" w:rsidRPr="00CA4ABC">
        <w:rPr>
          <w:rFonts w:eastAsia="Times New Roman" w:cstheme="minorHAnsi"/>
          <w:color w:val="000000" w:themeColor="text1"/>
          <w:lang w:eastAsia="en-GB"/>
        </w:rPr>
        <w:t xml:space="preserve">and </w:t>
      </w:r>
      <w:r w:rsidRPr="00CA4ABC">
        <w:rPr>
          <w:rFonts w:eastAsia="Times New Roman" w:cstheme="minorHAnsi"/>
          <w:color w:val="000000" w:themeColor="text1"/>
          <w:lang w:eastAsia="en-GB"/>
        </w:rPr>
        <w:t>verbal instructions</w:t>
      </w:r>
      <w:r w:rsidR="00281DC2" w:rsidRPr="00CA4ABC">
        <w:rPr>
          <w:rFonts w:eastAsia="Times New Roman" w:cstheme="minorHAnsi"/>
          <w:color w:val="000000" w:themeColor="text1"/>
          <w:lang w:eastAsia="en-GB"/>
        </w:rPr>
        <w:t xml:space="preserve"> were</w:t>
      </w:r>
      <w:r w:rsidRPr="00CA4ABC">
        <w:rPr>
          <w:rFonts w:eastAsia="Times New Roman" w:cstheme="minorHAnsi"/>
          <w:color w:val="000000" w:themeColor="text1"/>
          <w:lang w:eastAsia="en-GB"/>
        </w:rPr>
        <w:t xml:space="preserve"> provided at visit one. An example of a log book for those on the two-protein supplement arm is available in appendix 14.</w:t>
      </w:r>
    </w:p>
    <w:p w14:paraId="4B529768" w14:textId="7BF81973" w:rsidR="004C12CF" w:rsidRPr="00CA4ABC" w:rsidRDefault="004C12CF" w:rsidP="004053D7">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Week one of the study commenced on 07.02.22. All participants completed the intervention in parallel, apart from one participant who was unwell for the first week and therefore started in week 2 and returned to complete the week 1 video</w:t>
      </w:r>
      <w:r w:rsidR="002A75A9" w:rsidRPr="00CA4ABC">
        <w:rPr>
          <w:rFonts w:eastAsia="Times New Roman" w:cstheme="minorHAnsi"/>
          <w:color w:val="000000" w:themeColor="text1"/>
          <w:lang w:eastAsia="en-GB"/>
        </w:rPr>
        <w:t>s in week 7.</w:t>
      </w:r>
    </w:p>
    <w:p w14:paraId="65F9D5D6" w14:textId="6ACD0622" w:rsidR="004C12CF" w:rsidRPr="00CA4ABC" w:rsidRDefault="002A75A9" w:rsidP="00A509CC">
      <w:pPr>
        <w:spacing w:before="100" w:beforeAutospacing="1" w:after="100" w:afterAutospacing="1" w:line="360" w:lineRule="auto"/>
        <w:rPr>
          <w:rFonts w:eastAsia="Times New Roman" w:cstheme="minorHAnsi"/>
          <w:color w:val="000000" w:themeColor="text1"/>
          <w:lang w:eastAsia="en-GB"/>
        </w:rPr>
      </w:pPr>
      <w:r w:rsidRPr="00CA4ABC">
        <w:rPr>
          <w:rFonts w:eastAsia="Times New Roman" w:cstheme="minorHAnsi"/>
          <w:color w:val="000000" w:themeColor="text1"/>
          <w:lang w:eastAsia="en-GB"/>
        </w:rPr>
        <w:t>After</w:t>
      </w:r>
      <w:r w:rsidR="004C12CF" w:rsidRPr="00CA4ABC">
        <w:rPr>
          <w:rFonts w:eastAsia="Times New Roman" w:cstheme="minorHAnsi"/>
          <w:color w:val="000000" w:themeColor="text1"/>
          <w:lang w:eastAsia="en-GB"/>
        </w:rPr>
        <w:t xml:space="preserve"> the 6-week intervention, participants </w:t>
      </w:r>
      <w:r w:rsidRPr="00CA4ABC">
        <w:rPr>
          <w:rFonts w:eastAsia="Times New Roman" w:cstheme="minorHAnsi"/>
          <w:color w:val="000000" w:themeColor="text1"/>
          <w:lang w:eastAsia="en-GB"/>
        </w:rPr>
        <w:t>revisited</w:t>
      </w:r>
      <w:r w:rsidR="004C12CF" w:rsidRPr="00CA4ABC">
        <w:rPr>
          <w:rFonts w:eastAsia="Times New Roman" w:cstheme="minorHAnsi"/>
          <w:color w:val="000000" w:themeColor="text1"/>
          <w:lang w:eastAsia="en-GB"/>
        </w:rPr>
        <w:t xml:space="preserve"> </w:t>
      </w:r>
      <w:r w:rsidR="0096758F" w:rsidRPr="00CA4ABC">
        <w:rPr>
          <w:rFonts w:eastAsia="Times New Roman" w:cstheme="minorHAnsi"/>
          <w:color w:val="000000" w:themeColor="text1"/>
          <w:lang w:eastAsia="en-GB"/>
        </w:rPr>
        <w:t>S</w:t>
      </w:r>
      <w:r w:rsidR="004C12CF" w:rsidRPr="00CA4ABC">
        <w:rPr>
          <w:rFonts w:eastAsia="Times New Roman" w:cstheme="minorHAnsi"/>
          <w:color w:val="000000" w:themeColor="text1"/>
          <w:lang w:eastAsia="en-GB"/>
        </w:rPr>
        <w:t>port Sheffield and returned their study documentation and retook the measurements collected at baseline.  Log books were reviewed for completion</w:t>
      </w:r>
      <w:r w:rsidR="00134BD3" w:rsidRPr="00CA4ABC">
        <w:rPr>
          <w:rFonts w:eastAsia="Times New Roman" w:cstheme="minorHAnsi"/>
          <w:color w:val="000000" w:themeColor="text1"/>
          <w:lang w:eastAsia="en-GB"/>
        </w:rPr>
        <w:t>,</w:t>
      </w:r>
      <w:r w:rsidR="004C12CF" w:rsidRPr="00CA4ABC">
        <w:rPr>
          <w:rFonts w:eastAsia="Times New Roman" w:cstheme="minorHAnsi"/>
          <w:color w:val="000000" w:themeColor="text1"/>
          <w:lang w:eastAsia="en-GB"/>
        </w:rPr>
        <w:t xml:space="preserve"> and cross</w:t>
      </w:r>
      <w:r w:rsidR="00281DC2" w:rsidRPr="00CA4ABC">
        <w:rPr>
          <w:rFonts w:eastAsia="Times New Roman" w:cstheme="minorHAnsi"/>
          <w:color w:val="000000" w:themeColor="text1"/>
          <w:lang w:eastAsia="en-GB"/>
        </w:rPr>
        <w:t>-</w:t>
      </w:r>
      <w:r w:rsidR="004C12CF" w:rsidRPr="00CA4ABC">
        <w:rPr>
          <w:rFonts w:eastAsia="Times New Roman" w:cstheme="minorHAnsi"/>
          <w:color w:val="000000" w:themeColor="text1"/>
          <w:lang w:eastAsia="en-GB"/>
        </w:rPr>
        <w:t>checks were made to further assess adherence</w:t>
      </w:r>
      <w:r w:rsidR="000201C1" w:rsidRPr="00CA4ABC">
        <w:rPr>
          <w:rFonts w:eastAsia="Times New Roman" w:cstheme="minorHAnsi"/>
          <w:color w:val="000000" w:themeColor="text1"/>
          <w:lang w:eastAsia="en-GB"/>
        </w:rPr>
        <w:t>. I</w:t>
      </w:r>
      <w:r w:rsidR="004C12CF" w:rsidRPr="00CA4ABC">
        <w:rPr>
          <w:rFonts w:eastAsia="Times New Roman" w:cstheme="minorHAnsi"/>
          <w:color w:val="000000" w:themeColor="text1"/>
          <w:lang w:eastAsia="en-GB"/>
        </w:rPr>
        <w:t>ntervention outcome questionnaire</w:t>
      </w:r>
      <w:r w:rsidRPr="00CA4ABC">
        <w:rPr>
          <w:rFonts w:eastAsia="Times New Roman" w:cstheme="minorHAnsi"/>
          <w:color w:val="000000" w:themeColor="text1"/>
          <w:lang w:eastAsia="en-GB"/>
        </w:rPr>
        <w:t>(</w:t>
      </w:r>
      <w:r w:rsidR="004C12CF" w:rsidRPr="00CA4ABC">
        <w:rPr>
          <w:rFonts w:eastAsia="Times New Roman" w:cstheme="minorHAnsi"/>
          <w:color w:val="000000" w:themeColor="text1"/>
          <w:lang w:eastAsia="en-GB"/>
        </w:rPr>
        <w:t>s</w:t>
      </w:r>
      <w:r w:rsidRPr="00CA4ABC">
        <w:rPr>
          <w:rFonts w:eastAsia="Times New Roman" w:cstheme="minorHAnsi"/>
          <w:color w:val="000000" w:themeColor="text1"/>
          <w:lang w:eastAsia="en-GB"/>
        </w:rPr>
        <w:t>)</w:t>
      </w:r>
      <w:r w:rsidR="004C12CF" w:rsidRPr="00CA4ABC">
        <w:rPr>
          <w:rFonts w:eastAsia="Times New Roman" w:cstheme="minorHAnsi"/>
          <w:color w:val="000000" w:themeColor="text1"/>
          <w:lang w:eastAsia="en-GB"/>
        </w:rPr>
        <w:t xml:space="preserve"> were</w:t>
      </w:r>
      <w:r w:rsidR="000201C1" w:rsidRPr="00CA4ABC">
        <w:rPr>
          <w:rFonts w:eastAsia="Times New Roman" w:cstheme="minorHAnsi"/>
          <w:color w:val="000000" w:themeColor="text1"/>
          <w:lang w:eastAsia="en-GB"/>
        </w:rPr>
        <w:t xml:space="preserve"> also</w:t>
      </w:r>
      <w:r w:rsidR="004C12CF" w:rsidRPr="00CA4ABC">
        <w:rPr>
          <w:rFonts w:eastAsia="Times New Roman" w:cstheme="minorHAnsi"/>
          <w:color w:val="000000" w:themeColor="text1"/>
          <w:lang w:eastAsia="en-GB"/>
        </w:rPr>
        <w:t xml:space="preserve"> completed; one focus</w:t>
      </w:r>
      <w:r w:rsidR="000201C1" w:rsidRPr="00CA4ABC">
        <w:rPr>
          <w:rFonts w:eastAsia="Times New Roman" w:cstheme="minorHAnsi"/>
          <w:color w:val="000000" w:themeColor="text1"/>
          <w:lang w:eastAsia="en-GB"/>
        </w:rPr>
        <w:t>ing</w:t>
      </w:r>
      <w:r w:rsidR="004C12CF" w:rsidRPr="00CA4ABC">
        <w:rPr>
          <w:rFonts w:eastAsia="Times New Roman" w:cstheme="minorHAnsi"/>
          <w:color w:val="000000" w:themeColor="text1"/>
          <w:lang w:eastAsia="en-GB"/>
        </w:rPr>
        <w:t xml:space="preserve"> on exercise/trial experience and one more specifically designed to enquire about the protein supplement </w:t>
      </w:r>
      <w:r w:rsidRPr="00CA4ABC">
        <w:rPr>
          <w:rFonts w:eastAsia="Times New Roman" w:cstheme="minorHAnsi"/>
          <w:color w:val="000000" w:themeColor="text1"/>
          <w:lang w:eastAsia="en-GB"/>
        </w:rPr>
        <w:t>which was</w:t>
      </w:r>
      <w:r w:rsidR="004C12CF" w:rsidRPr="00CA4ABC">
        <w:rPr>
          <w:rFonts w:eastAsia="Times New Roman" w:cstheme="minorHAnsi"/>
          <w:color w:val="000000" w:themeColor="text1"/>
          <w:lang w:eastAsia="en-GB"/>
        </w:rPr>
        <w:t xml:space="preserve"> only provided to those who</w:t>
      </w:r>
      <w:r w:rsidR="000201C1" w:rsidRPr="00CA4ABC">
        <w:rPr>
          <w:rFonts w:eastAsia="Times New Roman" w:cstheme="minorHAnsi"/>
          <w:color w:val="000000" w:themeColor="text1"/>
          <w:lang w:eastAsia="en-GB"/>
        </w:rPr>
        <w:t xml:space="preserve"> were randomised to th</w:t>
      </w:r>
      <w:r w:rsidR="00EB08D0">
        <w:rPr>
          <w:rFonts w:eastAsia="Times New Roman" w:cstheme="minorHAnsi"/>
          <w:color w:val="000000" w:themeColor="text1"/>
          <w:lang w:eastAsia="en-GB"/>
        </w:rPr>
        <w:t>ese</w:t>
      </w:r>
      <w:r w:rsidR="000201C1" w:rsidRPr="00CA4ABC">
        <w:rPr>
          <w:rFonts w:eastAsia="Times New Roman" w:cstheme="minorHAnsi"/>
          <w:color w:val="000000" w:themeColor="text1"/>
          <w:lang w:eastAsia="en-GB"/>
        </w:rPr>
        <w:t xml:space="preserve"> arm</w:t>
      </w:r>
      <w:r w:rsidR="00EB08D0">
        <w:rPr>
          <w:rFonts w:eastAsia="Times New Roman" w:cstheme="minorHAnsi"/>
          <w:color w:val="000000" w:themeColor="text1"/>
          <w:lang w:eastAsia="en-GB"/>
        </w:rPr>
        <w:t>s</w:t>
      </w:r>
      <w:r w:rsidR="004C12CF" w:rsidRPr="00CA4ABC">
        <w:rPr>
          <w:rFonts w:eastAsia="Times New Roman" w:cstheme="minorHAnsi"/>
          <w:color w:val="000000" w:themeColor="text1"/>
          <w:lang w:eastAsia="en-GB"/>
        </w:rPr>
        <w:t>.</w:t>
      </w:r>
      <w:r w:rsidR="004C12CF" w:rsidRPr="00CA4ABC">
        <w:rPr>
          <w:rFonts w:eastAsia="Times New Roman" w:cstheme="minorHAnsi"/>
          <w:color w:val="000000" w:themeColor="text1"/>
        </w:rPr>
        <w:t xml:space="preserve"> </w:t>
      </w:r>
    </w:p>
    <w:p w14:paraId="4553EBDE" w14:textId="64E15D98" w:rsidR="00345581" w:rsidRPr="00CA4ABC" w:rsidRDefault="004C12CF" w:rsidP="00345581">
      <w:pPr>
        <w:pStyle w:val="Heading3"/>
        <w:spacing w:line="360" w:lineRule="auto"/>
        <w:rPr>
          <w:rFonts w:asciiTheme="minorHAnsi" w:hAnsiTheme="minorHAnsi" w:cstheme="minorHAnsi"/>
          <w:color w:val="000000" w:themeColor="text1"/>
        </w:rPr>
      </w:pPr>
      <w:bookmarkStart w:id="265" w:name="_Toc135384358"/>
      <w:r w:rsidRPr="00CA4ABC">
        <w:rPr>
          <w:rFonts w:asciiTheme="minorHAnsi" w:hAnsiTheme="minorHAnsi" w:cstheme="minorHAnsi"/>
          <w:color w:val="000000" w:themeColor="text1"/>
        </w:rPr>
        <w:lastRenderedPageBreak/>
        <w:t>5.2.</w:t>
      </w:r>
      <w:r w:rsidR="00A509CC" w:rsidRPr="00CA4ABC">
        <w:rPr>
          <w:rFonts w:asciiTheme="minorHAnsi" w:hAnsiTheme="minorHAnsi" w:cstheme="minorHAnsi"/>
          <w:color w:val="000000" w:themeColor="text1"/>
        </w:rPr>
        <w:t>8</w:t>
      </w:r>
      <w:r w:rsidRPr="00CA4ABC">
        <w:rPr>
          <w:rFonts w:asciiTheme="minorHAnsi" w:hAnsiTheme="minorHAnsi" w:cstheme="minorHAnsi"/>
          <w:color w:val="000000" w:themeColor="text1"/>
        </w:rPr>
        <w:t xml:space="preserve"> Data Processing</w:t>
      </w:r>
      <w:bookmarkEnd w:id="265"/>
      <w:r w:rsidRPr="00CA4ABC">
        <w:rPr>
          <w:rFonts w:asciiTheme="minorHAnsi" w:hAnsiTheme="minorHAnsi" w:cstheme="minorHAnsi"/>
          <w:color w:val="000000" w:themeColor="text1"/>
        </w:rPr>
        <w:t xml:space="preserve"> </w:t>
      </w:r>
    </w:p>
    <w:p w14:paraId="1837CE55" w14:textId="70DB4010" w:rsidR="004C12CF" w:rsidRPr="00CA4ABC" w:rsidRDefault="005E7EC2" w:rsidP="005E7EC2">
      <w:pPr>
        <w:pStyle w:val="Heading3"/>
        <w:spacing w:line="360" w:lineRule="auto"/>
        <w:rPr>
          <w:rFonts w:asciiTheme="minorHAnsi" w:hAnsiTheme="minorHAnsi" w:cstheme="minorHAnsi"/>
          <w:color w:val="000000" w:themeColor="text1"/>
        </w:rPr>
      </w:pPr>
      <w:bookmarkStart w:id="266" w:name="_Toc125879955"/>
      <w:bookmarkStart w:id="267" w:name="_Toc127044461"/>
      <w:bookmarkStart w:id="268" w:name="_Toc127527493"/>
      <w:bookmarkStart w:id="269" w:name="_Toc127967649"/>
      <w:bookmarkStart w:id="270" w:name="_Toc135384359"/>
      <w:r w:rsidRPr="00CA4ABC">
        <w:rPr>
          <w:rFonts w:asciiTheme="minorHAnsi" w:hAnsiTheme="minorHAnsi" w:cstheme="minorHAnsi"/>
          <w:i/>
          <w:iCs/>
          <w:color w:val="000000" w:themeColor="text1"/>
        </w:rPr>
        <w:t>Quantitative</w:t>
      </w:r>
      <w:r w:rsidRPr="00CA4ABC">
        <w:rPr>
          <w:rFonts w:asciiTheme="minorHAnsi" w:hAnsiTheme="minorHAnsi" w:cstheme="minorHAnsi"/>
          <w:color w:val="000000" w:themeColor="text1"/>
        </w:rPr>
        <w:t xml:space="preserve">: </w:t>
      </w:r>
      <w:r w:rsidR="004C12CF" w:rsidRPr="00CA4ABC">
        <w:rPr>
          <w:rFonts w:asciiTheme="minorHAnsi" w:hAnsiTheme="minorHAnsi" w:cstheme="minorHAnsi"/>
          <w:color w:val="000000" w:themeColor="text1"/>
        </w:rPr>
        <w:t xml:space="preserve">A data management plan was created by the researchers </w:t>
      </w:r>
      <w:r w:rsidR="00134BD3" w:rsidRPr="00CA4ABC">
        <w:rPr>
          <w:rFonts w:asciiTheme="minorHAnsi" w:hAnsiTheme="minorHAnsi" w:cstheme="minorHAnsi"/>
          <w:color w:val="000000" w:themeColor="text1"/>
        </w:rPr>
        <w:t>before</w:t>
      </w:r>
      <w:r w:rsidR="004C12CF" w:rsidRPr="00CA4ABC">
        <w:rPr>
          <w:rFonts w:asciiTheme="minorHAnsi" w:hAnsiTheme="minorHAnsi" w:cstheme="minorHAnsi"/>
          <w:color w:val="000000" w:themeColor="text1"/>
        </w:rPr>
        <w:t xml:space="preserve"> collecting baseline an</w:t>
      </w:r>
      <w:r w:rsidR="00134BD3" w:rsidRPr="00CA4ABC">
        <w:rPr>
          <w:rFonts w:asciiTheme="minorHAnsi" w:hAnsiTheme="minorHAnsi" w:cstheme="minorHAnsi"/>
          <w:color w:val="000000" w:themeColor="text1"/>
        </w:rPr>
        <w:t>d</w:t>
      </w:r>
      <w:r w:rsidR="004C12CF" w:rsidRPr="00CA4ABC">
        <w:rPr>
          <w:rFonts w:asciiTheme="minorHAnsi" w:hAnsiTheme="minorHAnsi" w:cstheme="minorHAnsi"/>
          <w:color w:val="000000" w:themeColor="text1"/>
        </w:rPr>
        <w:t xml:space="preserve"> follow-up measurements and submitted as part of the ethics application. All study data was pseudonymised, labelled using the participant’s ID number </w:t>
      </w:r>
      <w:r w:rsidR="0096758F" w:rsidRPr="00CA4ABC">
        <w:rPr>
          <w:rFonts w:asciiTheme="minorHAnsi" w:hAnsiTheme="minorHAnsi" w:cstheme="minorHAnsi"/>
          <w:color w:val="000000" w:themeColor="text1"/>
        </w:rPr>
        <w:t>and</w:t>
      </w:r>
      <w:r w:rsidR="004C12CF" w:rsidRPr="00CA4ABC">
        <w:rPr>
          <w:rFonts w:asciiTheme="minorHAnsi" w:hAnsiTheme="minorHAnsi" w:cstheme="minorHAnsi"/>
          <w:color w:val="000000" w:themeColor="text1"/>
        </w:rPr>
        <w:t xml:space="preserve"> entered into electronic databases for analysis</w:t>
      </w:r>
      <w:r w:rsidR="008C28FB" w:rsidRPr="00CA4ABC">
        <w:rPr>
          <w:rFonts w:asciiTheme="minorHAnsi" w:hAnsiTheme="minorHAnsi" w:cstheme="minorHAnsi"/>
          <w:color w:val="000000" w:themeColor="text1"/>
        </w:rPr>
        <w:t xml:space="preserve"> (</w:t>
      </w:r>
      <w:r w:rsidR="004C12CF" w:rsidRPr="00CA4ABC">
        <w:rPr>
          <w:rFonts w:asciiTheme="minorHAnsi" w:hAnsiTheme="minorHAnsi" w:cstheme="minorHAnsi"/>
          <w:color w:val="000000" w:themeColor="text1"/>
        </w:rPr>
        <w:t>Microsoft excel, version 16.66.1.</w:t>
      </w:r>
      <w:bookmarkEnd w:id="266"/>
      <w:bookmarkEnd w:id="267"/>
      <w:bookmarkEnd w:id="268"/>
      <w:r w:rsidR="008C28FB" w:rsidRPr="00CA4ABC">
        <w:rPr>
          <w:rFonts w:asciiTheme="minorHAnsi" w:hAnsiTheme="minorHAnsi" w:cstheme="minorHAnsi"/>
          <w:color w:val="000000" w:themeColor="text1"/>
        </w:rPr>
        <w:t>)</w:t>
      </w:r>
      <w:bookmarkEnd w:id="269"/>
      <w:bookmarkEnd w:id="270"/>
    </w:p>
    <w:p w14:paraId="4F3DB6F4" w14:textId="1ACB183B" w:rsidR="005E7EC2" w:rsidRPr="00CA4ABC" w:rsidRDefault="005E7EC2" w:rsidP="007E7C66">
      <w:pPr>
        <w:spacing w:line="360" w:lineRule="auto"/>
        <w:rPr>
          <w:rFonts w:cstheme="minorHAnsi"/>
          <w:color w:val="000000" w:themeColor="text1"/>
        </w:rPr>
      </w:pPr>
      <w:r w:rsidRPr="00CA4ABC">
        <w:rPr>
          <w:rFonts w:cstheme="minorHAnsi"/>
          <w:i/>
          <w:iCs/>
          <w:color w:val="000000" w:themeColor="text1"/>
        </w:rPr>
        <w:t>Qualitative:</w:t>
      </w:r>
      <w:r w:rsidRPr="00CA4ABC">
        <w:rPr>
          <w:rFonts w:cstheme="minorHAnsi"/>
          <w:color w:val="000000" w:themeColor="text1"/>
        </w:rPr>
        <w:t xml:space="preserve"> </w:t>
      </w:r>
      <w:r w:rsidR="00DD303D" w:rsidRPr="00CA4ABC">
        <w:rPr>
          <w:rFonts w:cstheme="minorHAnsi"/>
          <w:color w:val="000000" w:themeColor="text1"/>
        </w:rPr>
        <w:t>Audio</w:t>
      </w:r>
      <w:r w:rsidRPr="00CA4ABC">
        <w:rPr>
          <w:rFonts w:cstheme="minorHAnsi"/>
          <w:color w:val="000000" w:themeColor="text1"/>
        </w:rPr>
        <w:t xml:space="preserve"> recorded </w:t>
      </w:r>
      <w:r w:rsidR="00DD303D" w:rsidRPr="00CA4ABC">
        <w:rPr>
          <w:rFonts w:cstheme="minorHAnsi"/>
          <w:color w:val="000000" w:themeColor="text1"/>
        </w:rPr>
        <w:t>interviews were</w:t>
      </w:r>
      <w:r w:rsidRPr="00CA4ABC">
        <w:rPr>
          <w:rFonts w:cstheme="minorHAnsi"/>
          <w:color w:val="000000" w:themeColor="text1"/>
        </w:rPr>
        <w:t xml:space="preserve"> transferred to a password</w:t>
      </w:r>
      <w:r w:rsidR="00134BD3" w:rsidRPr="00CA4ABC">
        <w:rPr>
          <w:rFonts w:cstheme="minorHAnsi"/>
          <w:color w:val="000000" w:themeColor="text1"/>
        </w:rPr>
        <w:t>-</w:t>
      </w:r>
      <w:r w:rsidRPr="00CA4ABC">
        <w:rPr>
          <w:rFonts w:cstheme="minorHAnsi"/>
          <w:color w:val="000000" w:themeColor="text1"/>
        </w:rPr>
        <w:t xml:space="preserve">protected computer. </w:t>
      </w:r>
      <w:r w:rsidR="00134BD3" w:rsidRPr="00CA4ABC">
        <w:rPr>
          <w:rFonts w:cstheme="minorHAnsi"/>
          <w:color w:val="000000"/>
          <w:shd w:val="clear" w:color="auto" w:fill="FFFFFF"/>
        </w:rPr>
        <w:t xml:space="preserve">An approved external transcription service (TP transcription Limited) transcribed all recordings verbatim into word documents. </w:t>
      </w:r>
      <w:r w:rsidRPr="00CA4ABC">
        <w:rPr>
          <w:rFonts w:cstheme="minorHAnsi"/>
          <w:color w:val="000000" w:themeColor="text1"/>
        </w:rPr>
        <w:t>Transcripts were stored</w:t>
      </w:r>
      <w:r w:rsidR="00DD303D" w:rsidRPr="00CA4ABC">
        <w:rPr>
          <w:rFonts w:cstheme="minorHAnsi"/>
          <w:color w:val="000000" w:themeColor="text1"/>
        </w:rPr>
        <w:t xml:space="preserve"> </w:t>
      </w:r>
      <w:r w:rsidRPr="00CA4ABC">
        <w:rPr>
          <w:rFonts w:cstheme="minorHAnsi"/>
          <w:color w:val="000000" w:themeColor="text1"/>
        </w:rPr>
        <w:t>electronic</w:t>
      </w:r>
      <w:r w:rsidR="00DD303D" w:rsidRPr="00CA4ABC">
        <w:rPr>
          <w:rFonts w:cstheme="minorHAnsi"/>
          <w:color w:val="000000" w:themeColor="text1"/>
        </w:rPr>
        <w:t>ally</w:t>
      </w:r>
      <w:r w:rsidRPr="00CA4ABC">
        <w:rPr>
          <w:rFonts w:cstheme="minorHAnsi"/>
          <w:color w:val="000000" w:themeColor="text1"/>
        </w:rPr>
        <w:t xml:space="preserve"> on a password</w:t>
      </w:r>
      <w:r w:rsidR="00134BD3" w:rsidRPr="00CA4ABC">
        <w:rPr>
          <w:rFonts w:cstheme="minorHAnsi"/>
          <w:color w:val="000000" w:themeColor="text1"/>
        </w:rPr>
        <w:t>-</w:t>
      </w:r>
      <w:r w:rsidRPr="00CA4ABC">
        <w:rPr>
          <w:rFonts w:cstheme="minorHAnsi"/>
          <w:color w:val="000000" w:themeColor="text1"/>
        </w:rPr>
        <w:t>protected computer. Any</w:t>
      </w:r>
      <w:r w:rsidR="00DD303D" w:rsidRPr="00CA4ABC">
        <w:rPr>
          <w:rFonts w:cstheme="minorHAnsi"/>
          <w:color w:val="000000" w:themeColor="text1"/>
        </w:rPr>
        <w:t xml:space="preserve"> printed</w:t>
      </w:r>
      <w:r w:rsidRPr="00CA4ABC">
        <w:rPr>
          <w:rFonts w:cstheme="minorHAnsi"/>
          <w:color w:val="000000" w:themeColor="text1"/>
        </w:rPr>
        <w:t xml:space="preserve"> physical transcripts had identifiable data removed and were stored in a locked filing cabinet </w:t>
      </w:r>
      <w:r w:rsidR="00134BD3" w:rsidRPr="00CA4ABC">
        <w:rPr>
          <w:rFonts w:cstheme="minorHAnsi"/>
          <w:color w:val="000000" w:themeColor="text1"/>
        </w:rPr>
        <w:t>at</w:t>
      </w:r>
      <w:r w:rsidRPr="00CA4ABC">
        <w:rPr>
          <w:rFonts w:cstheme="minorHAnsi"/>
          <w:color w:val="000000" w:themeColor="text1"/>
        </w:rPr>
        <w:t xml:space="preserve"> the University of Sheffield Medical School.</w:t>
      </w:r>
    </w:p>
    <w:p w14:paraId="4374274B" w14:textId="106C63BA" w:rsidR="00A509CC" w:rsidRPr="00CA4ABC" w:rsidRDefault="004C12CF" w:rsidP="005E7EC2">
      <w:pPr>
        <w:spacing w:before="100" w:beforeAutospacing="1" w:after="100" w:afterAutospacing="1" w:line="360" w:lineRule="auto"/>
        <w:rPr>
          <w:rFonts w:cstheme="minorHAnsi"/>
          <w:color w:val="000000" w:themeColor="text1"/>
        </w:rPr>
      </w:pPr>
      <w:r w:rsidRPr="00CA4ABC">
        <w:rPr>
          <w:rFonts w:cstheme="minorHAnsi"/>
          <w:color w:val="000000" w:themeColor="text1"/>
        </w:rPr>
        <w:t>5.2.</w:t>
      </w:r>
      <w:r w:rsidR="00A509CC" w:rsidRPr="00CA4ABC">
        <w:rPr>
          <w:rFonts w:cstheme="minorHAnsi"/>
          <w:color w:val="000000" w:themeColor="text1"/>
        </w:rPr>
        <w:t>9</w:t>
      </w:r>
      <w:r w:rsidRPr="00CA4ABC">
        <w:rPr>
          <w:rFonts w:cstheme="minorHAnsi"/>
          <w:color w:val="000000" w:themeColor="text1"/>
        </w:rPr>
        <w:t xml:space="preserve"> Data Analysis</w:t>
      </w:r>
    </w:p>
    <w:p w14:paraId="1A07A70D" w14:textId="41C8DEB8" w:rsidR="004942FF" w:rsidRPr="00CA4ABC" w:rsidRDefault="00A509CC" w:rsidP="004942FF">
      <w:pPr>
        <w:spacing w:before="100" w:beforeAutospacing="1" w:after="100" w:afterAutospacing="1" w:line="360" w:lineRule="auto"/>
        <w:rPr>
          <w:rFonts w:cstheme="minorHAnsi"/>
          <w:color w:val="000000" w:themeColor="text1"/>
        </w:rPr>
      </w:pPr>
      <w:r w:rsidRPr="00CA4ABC">
        <w:rPr>
          <w:rFonts w:cstheme="minorHAnsi"/>
          <w:i/>
          <w:iCs/>
          <w:color w:val="000000" w:themeColor="text1"/>
        </w:rPr>
        <w:t>Quantitative:</w:t>
      </w:r>
      <w:r w:rsidRPr="00CA4ABC">
        <w:rPr>
          <w:rFonts w:cstheme="minorHAnsi"/>
          <w:color w:val="000000" w:themeColor="text1"/>
        </w:rPr>
        <w:t xml:space="preserve"> </w:t>
      </w:r>
      <w:r w:rsidR="000201C1" w:rsidRPr="00CA4ABC">
        <w:rPr>
          <w:rFonts w:cstheme="minorHAnsi"/>
          <w:color w:val="000000" w:themeColor="text1"/>
        </w:rPr>
        <w:t>Data</w:t>
      </w:r>
      <w:r w:rsidR="004C12CF" w:rsidRPr="00CA4ABC">
        <w:rPr>
          <w:rFonts w:cstheme="minorHAnsi"/>
          <w:color w:val="000000" w:themeColor="text1"/>
        </w:rPr>
        <w:t xml:space="preserve"> was analysed in relation to outcome measures</w:t>
      </w:r>
      <w:r w:rsidR="00134BD3" w:rsidRPr="00CA4ABC">
        <w:rPr>
          <w:rFonts w:cstheme="minorHAnsi"/>
          <w:color w:val="000000" w:themeColor="text1"/>
        </w:rPr>
        <w:t>,</w:t>
      </w:r>
      <w:r w:rsidR="004C12CF" w:rsidRPr="00CA4ABC">
        <w:rPr>
          <w:rFonts w:cstheme="minorHAnsi"/>
          <w:color w:val="000000" w:themeColor="text1"/>
        </w:rPr>
        <w:t xml:space="preserve"> and comparisons were made between baseline and follow</w:t>
      </w:r>
      <w:r w:rsidR="00134BD3" w:rsidRPr="00CA4ABC">
        <w:rPr>
          <w:rFonts w:cstheme="minorHAnsi"/>
          <w:color w:val="000000" w:themeColor="text1"/>
        </w:rPr>
        <w:t>-</w:t>
      </w:r>
      <w:r w:rsidR="004C12CF" w:rsidRPr="00CA4ABC">
        <w:rPr>
          <w:rFonts w:cstheme="minorHAnsi"/>
          <w:color w:val="000000" w:themeColor="text1"/>
        </w:rPr>
        <w:t xml:space="preserve">up or week 0, week 3 and week 6. </w:t>
      </w:r>
      <w:r w:rsidR="00DD303D" w:rsidRPr="00CA4ABC">
        <w:rPr>
          <w:rFonts w:cstheme="minorHAnsi"/>
          <w:color w:val="000000" w:themeColor="text1"/>
        </w:rPr>
        <w:t>The p</w:t>
      </w:r>
      <w:r w:rsidR="004C12CF" w:rsidRPr="00CA4ABC">
        <w:rPr>
          <w:rFonts w:cstheme="minorHAnsi"/>
          <w:color w:val="000000" w:themeColor="text1"/>
        </w:rPr>
        <w:t>rogression criteria f</w:t>
      </w:r>
      <w:r w:rsidR="00DD303D" w:rsidRPr="00CA4ABC">
        <w:rPr>
          <w:rFonts w:cstheme="minorHAnsi"/>
          <w:color w:val="000000" w:themeColor="text1"/>
        </w:rPr>
        <w:t>or</w:t>
      </w:r>
      <w:r w:rsidR="004C12CF" w:rsidRPr="00CA4ABC">
        <w:rPr>
          <w:rFonts w:cstheme="minorHAnsi"/>
          <w:color w:val="000000" w:themeColor="text1"/>
        </w:rPr>
        <w:t xml:space="preserve"> moving from</w:t>
      </w:r>
      <w:r w:rsidR="00DD303D" w:rsidRPr="00CA4ABC">
        <w:rPr>
          <w:rFonts w:cstheme="minorHAnsi"/>
          <w:color w:val="000000" w:themeColor="text1"/>
        </w:rPr>
        <w:t xml:space="preserve"> a</w:t>
      </w:r>
      <w:r w:rsidR="004C12CF" w:rsidRPr="00CA4ABC">
        <w:rPr>
          <w:rFonts w:cstheme="minorHAnsi"/>
          <w:color w:val="000000" w:themeColor="text1"/>
        </w:rPr>
        <w:t xml:space="preserve"> feasibility study to full</w:t>
      </w:r>
      <w:r w:rsidR="00134BD3" w:rsidRPr="00CA4ABC">
        <w:rPr>
          <w:rFonts w:cstheme="minorHAnsi"/>
          <w:color w:val="000000" w:themeColor="text1"/>
        </w:rPr>
        <w:t>-</w:t>
      </w:r>
      <w:r w:rsidR="004C12CF" w:rsidRPr="00CA4ABC">
        <w:rPr>
          <w:rFonts w:cstheme="minorHAnsi"/>
          <w:color w:val="000000" w:themeColor="text1"/>
        </w:rPr>
        <w:t xml:space="preserve">scale RCT </w:t>
      </w:r>
      <w:r w:rsidR="00DD303D" w:rsidRPr="00CA4ABC">
        <w:rPr>
          <w:rFonts w:cstheme="minorHAnsi"/>
          <w:color w:val="000000" w:themeColor="text1"/>
        </w:rPr>
        <w:t>was checked</w:t>
      </w:r>
      <w:r w:rsidR="004C12CF" w:rsidRPr="00CA4ABC">
        <w:rPr>
          <w:rFonts w:cstheme="minorHAnsi"/>
          <w:color w:val="000000" w:themeColor="text1"/>
        </w:rPr>
        <w:t xml:space="preserve">. Minimum acceptable criteria were defined for each measurement: recruitment rates, retention, adherence (for each intervention) and acceptability (for each intervention.) </w:t>
      </w:r>
      <w:r w:rsidR="00DD303D" w:rsidRPr="00CA4ABC">
        <w:rPr>
          <w:rFonts w:cstheme="minorHAnsi"/>
          <w:color w:val="000000" w:themeColor="text1"/>
        </w:rPr>
        <w:t>S</w:t>
      </w:r>
      <w:r w:rsidR="004C12CF" w:rsidRPr="00CA4ABC">
        <w:rPr>
          <w:rFonts w:cstheme="minorHAnsi"/>
          <w:color w:val="000000" w:themeColor="text1"/>
        </w:rPr>
        <w:t xml:space="preserve">econdary outcome data was </w:t>
      </w:r>
      <w:r w:rsidR="00DD303D" w:rsidRPr="00CA4ABC">
        <w:rPr>
          <w:rFonts w:cstheme="minorHAnsi"/>
          <w:color w:val="000000" w:themeColor="text1"/>
        </w:rPr>
        <w:t>managed</w:t>
      </w:r>
      <w:r w:rsidR="004C12CF" w:rsidRPr="00CA4ABC">
        <w:rPr>
          <w:rFonts w:cstheme="minorHAnsi"/>
          <w:color w:val="000000" w:themeColor="text1"/>
        </w:rPr>
        <w:t xml:space="preserve"> </w:t>
      </w:r>
      <w:r w:rsidR="00DD303D" w:rsidRPr="00CA4ABC">
        <w:rPr>
          <w:rFonts w:cstheme="minorHAnsi"/>
          <w:color w:val="000000" w:themeColor="text1"/>
        </w:rPr>
        <w:t>appropriately in relation to the measurement defined</w:t>
      </w:r>
      <w:r w:rsidR="0096758F" w:rsidRPr="00CA4ABC">
        <w:rPr>
          <w:rFonts w:cstheme="minorHAnsi"/>
          <w:color w:val="000000" w:themeColor="text1"/>
        </w:rPr>
        <w:t xml:space="preserve"> (see table 19</w:t>
      </w:r>
      <w:r w:rsidR="004C12CF" w:rsidRPr="00CA4ABC">
        <w:rPr>
          <w:rFonts w:cstheme="minorHAnsi"/>
          <w:color w:val="000000" w:themeColor="text1"/>
        </w:rPr>
        <w:t>.</w:t>
      </w:r>
      <w:r w:rsidR="0096758F" w:rsidRPr="00CA4ABC">
        <w:rPr>
          <w:rFonts w:cstheme="minorHAnsi"/>
          <w:color w:val="000000" w:themeColor="text1"/>
        </w:rPr>
        <w:t>)</w:t>
      </w:r>
      <w:r w:rsidR="004C12CF" w:rsidRPr="00CA4ABC">
        <w:rPr>
          <w:rFonts w:cstheme="minorHAnsi"/>
          <w:color w:val="000000" w:themeColor="text1"/>
        </w:rPr>
        <w:br/>
        <w:t>a) Primary Outcomes measurements:</w:t>
      </w:r>
      <w:r w:rsidR="004942FF" w:rsidRPr="00CA4ABC">
        <w:rPr>
          <w:rFonts w:cstheme="minorHAnsi"/>
          <w:color w:val="000000" w:themeColor="text1"/>
        </w:rPr>
        <w:t xml:space="preserve"> </w:t>
      </w:r>
    </w:p>
    <w:p w14:paraId="40D39DA7" w14:textId="39E340D9" w:rsidR="004942FF" w:rsidRPr="00CA4ABC" w:rsidRDefault="004C12CF">
      <w:pPr>
        <w:pStyle w:val="ListParagraph"/>
        <w:numPr>
          <w:ilvl w:val="0"/>
          <w:numId w:val="40"/>
        </w:numPr>
        <w:spacing w:before="100" w:beforeAutospacing="1" w:after="100" w:afterAutospacing="1" w:line="360" w:lineRule="auto"/>
        <w:rPr>
          <w:rFonts w:cstheme="minorHAnsi"/>
          <w:color w:val="000000" w:themeColor="text1"/>
        </w:rPr>
      </w:pPr>
      <w:r w:rsidRPr="00CA4ABC">
        <w:rPr>
          <w:rFonts w:cstheme="minorHAnsi"/>
          <w:color w:val="000000" w:themeColor="text1"/>
        </w:rPr>
        <w:t>Recruitment rates (numbers/% recruited from</w:t>
      </w:r>
      <w:r w:rsidR="00134BD3" w:rsidRPr="00CA4ABC">
        <w:rPr>
          <w:rFonts w:cstheme="minorHAnsi"/>
          <w:color w:val="000000" w:themeColor="text1"/>
        </w:rPr>
        <w:t xml:space="preserve"> the</w:t>
      </w:r>
      <w:r w:rsidRPr="00CA4ABC">
        <w:rPr>
          <w:rFonts w:cstheme="minorHAnsi"/>
          <w:color w:val="000000" w:themeColor="text1"/>
        </w:rPr>
        <w:t xml:space="preserve"> </w:t>
      </w:r>
      <w:r w:rsidR="00134BD3" w:rsidRPr="00CA4ABC">
        <w:rPr>
          <w:rFonts w:cstheme="minorHAnsi"/>
          <w:color w:val="000000" w:themeColor="text1"/>
        </w:rPr>
        <w:t xml:space="preserve">advertising campaign </w:t>
      </w:r>
      <w:r w:rsidRPr="00CA4ABC">
        <w:rPr>
          <w:rFonts w:cstheme="minorHAnsi"/>
          <w:color w:val="000000" w:themeColor="text1"/>
        </w:rPr>
        <w:t xml:space="preserve">and from potential participants identified) </w:t>
      </w:r>
    </w:p>
    <w:p w14:paraId="30DC6482" w14:textId="0BE07427" w:rsidR="004942FF" w:rsidRPr="00CA4ABC" w:rsidRDefault="004C12CF">
      <w:pPr>
        <w:pStyle w:val="ListParagraph"/>
        <w:numPr>
          <w:ilvl w:val="0"/>
          <w:numId w:val="40"/>
        </w:numPr>
        <w:spacing w:before="100" w:beforeAutospacing="1" w:after="100" w:afterAutospacing="1" w:line="360" w:lineRule="auto"/>
        <w:rPr>
          <w:rFonts w:cstheme="minorHAnsi"/>
          <w:color w:val="000000" w:themeColor="text1"/>
        </w:rPr>
      </w:pPr>
      <w:r w:rsidRPr="00CA4ABC">
        <w:rPr>
          <w:rFonts w:cstheme="minorHAnsi"/>
          <w:color w:val="000000" w:themeColor="text1"/>
        </w:rPr>
        <w:t>Dropout rates throughout</w:t>
      </w:r>
      <w:r w:rsidR="00134BD3" w:rsidRPr="00CA4ABC">
        <w:rPr>
          <w:rFonts w:cstheme="minorHAnsi"/>
          <w:color w:val="000000" w:themeColor="text1"/>
        </w:rPr>
        <w:t xml:space="preserve"> the</w:t>
      </w:r>
      <w:r w:rsidRPr="00CA4ABC">
        <w:rPr>
          <w:rFonts w:cstheme="minorHAnsi"/>
          <w:color w:val="000000" w:themeColor="text1"/>
        </w:rPr>
        <w:t xml:space="preserve"> tria</w:t>
      </w:r>
      <w:r w:rsidR="004942FF" w:rsidRPr="00CA4ABC">
        <w:rPr>
          <w:rFonts w:cstheme="minorHAnsi"/>
          <w:color w:val="000000" w:themeColor="text1"/>
        </w:rPr>
        <w:t>l</w:t>
      </w:r>
    </w:p>
    <w:p w14:paraId="17D565A5" w14:textId="77777777" w:rsidR="004942FF" w:rsidRPr="00CA4ABC" w:rsidRDefault="004C12CF">
      <w:pPr>
        <w:pStyle w:val="ListParagraph"/>
        <w:numPr>
          <w:ilvl w:val="0"/>
          <w:numId w:val="40"/>
        </w:numPr>
        <w:spacing w:before="100" w:beforeAutospacing="1" w:after="100" w:afterAutospacing="1" w:line="360" w:lineRule="auto"/>
        <w:rPr>
          <w:rFonts w:cstheme="minorHAnsi"/>
          <w:color w:val="000000" w:themeColor="text1"/>
        </w:rPr>
      </w:pPr>
      <w:r w:rsidRPr="00CA4ABC">
        <w:rPr>
          <w:rFonts w:cstheme="minorHAnsi"/>
          <w:color w:val="000000" w:themeColor="text1"/>
        </w:rPr>
        <w:t>Adherence to exercise intervention (registers and self-reported in exercise diaries)</w:t>
      </w:r>
    </w:p>
    <w:p w14:paraId="08A464D7" w14:textId="46631E9D" w:rsidR="004942FF" w:rsidRPr="00CA4ABC" w:rsidRDefault="004C12CF">
      <w:pPr>
        <w:pStyle w:val="ListParagraph"/>
        <w:numPr>
          <w:ilvl w:val="0"/>
          <w:numId w:val="40"/>
        </w:numPr>
        <w:spacing w:before="100" w:beforeAutospacing="1" w:after="100" w:afterAutospacing="1" w:line="360" w:lineRule="auto"/>
        <w:rPr>
          <w:rFonts w:cstheme="minorHAnsi"/>
          <w:color w:val="000000" w:themeColor="text1"/>
        </w:rPr>
      </w:pPr>
      <w:r w:rsidRPr="00CA4ABC">
        <w:rPr>
          <w:rFonts w:cstheme="minorHAnsi"/>
          <w:color w:val="000000" w:themeColor="text1"/>
        </w:rPr>
        <w:t>Adherence to protein intervention (nutrition diaries in logbook</w:t>
      </w:r>
      <w:r w:rsidR="00134BD3" w:rsidRPr="00CA4ABC">
        <w:rPr>
          <w:rFonts w:cstheme="minorHAnsi"/>
          <w:color w:val="000000" w:themeColor="text1"/>
        </w:rPr>
        <w:t>s</w:t>
      </w:r>
      <w:r w:rsidRPr="00CA4ABC">
        <w:rPr>
          <w:rFonts w:cstheme="minorHAnsi"/>
          <w:color w:val="000000" w:themeColor="text1"/>
        </w:rPr>
        <w:t xml:space="preserve">) </w:t>
      </w:r>
    </w:p>
    <w:p w14:paraId="5205C77F" w14:textId="77777777" w:rsidR="004942FF" w:rsidRPr="00CA4ABC" w:rsidRDefault="004C12CF">
      <w:pPr>
        <w:pStyle w:val="ListParagraph"/>
        <w:numPr>
          <w:ilvl w:val="0"/>
          <w:numId w:val="40"/>
        </w:numPr>
        <w:spacing w:before="100" w:beforeAutospacing="1" w:after="100" w:afterAutospacing="1" w:line="360" w:lineRule="auto"/>
        <w:rPr>
          <w:rFonts w:cstheme="minorHAnsi"/>
          <w:color w:val="000000" w:themeColor="text1"/>
        </w:rPr>
      </w:pPr>
      <w:r w:rsidRPr="00CA4ABC">
        <w:rPr>
          <w:rFonts w:cstheme="minorHAnsi"/>
          <w:color w:val="000000" w:themeColor="text1"/>
        </w:rPr>
        <w:t>Acceptability of exercise intervention (outcome questionnaire)</w:t>
      </w:r>
    </w:p>
    <w:p w14:paraId="65DE9028" w14:textId="22FFFFD1" w:rsidR="004C12CF" w:rsidRPr="00CA4ABC" w:rsidRDefault="004C12CF">
      <w:pPr>
        <w:pStyle w:val="ListParagraph"/>
        <w:numPr>
          <w:ilvl w:val="0"/>
          <w:numId w:val="40"/>
        </w:numPr>
        <w:spacing w:before="100" w:beforeAutospacing="1" w:after="100" w:afterAutospacing="1" w:line="360" w:lineRule="auto"/>
        <w:rPr>
          <w:rFonts w:cstheme="minorHAnsi"/>
          <w:color w:val="000000" w:themeColor="text1"/>
        </w:rPr>
      </w:pPr>
      <w:r w:rsidRPr="00CA4ABC">
        <w:rPr>
          <w:rFonts w:cstheme="minorHAnsi"/>
          <w:color w:val="000000" w:themeColor="text1"/>
        </w:rPr>
        <w:t xml:space="preserve">Acceptability of nutrition intervention (outcome questionnaires) </w:t>
      </w:r>
    </w:p>
    <w:p w14:paraId="264D3FE6" w14:textId="77777777" w:rsidR="004C12CF" w:rsidRPr="00CA4ABC" w:rsidRDefault="004C12CF" w:rsidP="004053D7">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b) Secondary Outcome measurements:</w:t>
      </w:r>
    </w:p>
    <w:p w14:paraId="7C992D92" w14:textId="77777777" w:rsidR="004C12CF" w:rsidRPr="00CA4ABC" w:rsidRDefault="004C12CF">
      <w:pPr>
        <w:pStyle w:val="NormalWeb"/>
        <w:numPr>
          <w:ilvl w:val="0"/>
          <w:numId w:val="18"/>
        </w:numPr>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lastRenderedPageBreak/>
        <w:t xml:space="preserve">Anthropometric Measurements </w:t>
      </w:r>
    </w:p>
    <w:p w14:paraId="1B764422" w14:textId="77777777" w:rsidR="004C12CF" w:rsidRPr="00CA4ABC" w:rsidRDefault="004C12CF">
      <w:pPr>
        <w:pStyle w:val="NormalWeb"/>
        <w:numPr>
          <w:ilvl w:val="0"/>
          <w:numId w:val="18"/>
        </w:numPr>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Physical activity - RAPA scores </w:t>
      </w:r>
    </w:p>
    <w:p w14:paraId="23209D34" w14:textId="77777777" w:rsidR="004C12CF" w:rsidRPr="00CA4ABC" w:rsidRDefault="004C12CF">
      <w:pPr>
        <w:pStyle w:val="NormalWeb"/>
        <w:numPr>
          <w:ilvl w:val="0"/>
          <w:numId w:val="18"/>
        </w:numPr>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Food diaries </w:t>
      </w:r>
    </w:p>
    <w:p w14:paraId="06F1FFEF" w14:textId="55CC10A5" w:rsidR="000201C1" w:rsidRPr="00CA4ABC" w:rsidRDefault="004C12CF">
      <w:pPr>
        <w:pStyle w:val="NormalWeb"/>
        <w:numPr>
          <w:ilvl w:val="0"/>
          <w:numId w:val="18"/>
        </w:numPr>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Muscle parameters </w:t>
      </w:r>
    </w:p>
    <w:p w14:paraId="10A771B8" w14:textId="304C3C0F" w:rsidR="000201C1" w:rsidRDefault="000201C1" w:rsidP="000201C1">
      <w:pPr>
        <w:pStyle w:val="NormalWeb"/>
        <w:spacing w:line="360" w:lineRule="auto"/>
        <w:outlineLvl w:val="2"/>
        <w:rPr>
          <w:rFonts w:asciiTheme="minorHAnsi" w:hAnsiTheme="minorHAnsi" w:cstheme="minorHAnsi"/>
          <w:color w:val="000000" w:themeColor="text1"/>
        </w:rPr>
      </w:pPr>
      <w:bookmarkStart w:id="271" w:name="_Toc125879956"/>
      <w:bookmarkStart w:id="272" w:name="_Toc127044462"/>
      <w:bookmarkStart w:id="273" w:name="_Toc127527494"/>
      <w:bookmarkStart w:id="274" w:name="_Toc127967650"/>
      <w:bookmarkStart w:id="275" w:name="_Toc135384360"/>
      <w:r w:rsidRPr="00CA4ABC">
        <w:rPr>
          <w:rFonts w:asciiTheme="minorHAnsi" w:hAnsiTheme="minorHAnsi" w:cstheme="minorHAnsi"/>
          <w:color w:val="000000" w:themeColor="text1"/>
        </w:rPr>
        <w:t xml:space="preserve">Dietary intake data from the food diaries </w:t>
      </w:r>
      <w:r w:rsidR="00226FC9" w:rsidRPr="00CA4ABC">
        <w:rPr>
          <w:rFonts w:asciiTheme="minorHAnsi" w:hAnsiTheme="minorHAnsi" w:cstheme="minorHAnsi"/>
          <w:color w:val="000000" w:themeColor="text1"/>
        </w:rPr>
        <w:t>were</w:t>
      </w:r>
      <w:r w:rsidRPr="00CA4ABC">
        <w:rPr>
          <w:rFonts w:asciiTheme="minorHAnsi" w:hAnsiTheme="minorHAnsi" w:cstheme="minorHAnsi"/>
          <w:color w:val="000000" w:themeColor="text1"/>
        </w:rPr>
        <w:t xml:space="preserve"> analysed using Dietplan 7 nutritional analysis software (Forestfield Software Ltd., Horsham, UK)</w:t>
      </w:r>
      <w:bookmarkEnd w:id="271"/>
      <w:bookmarkEnd w:id="272"/>
      <w:bookmarkEnd w:id="273"/>
      <w:bookmarkEnd w:id="274"/>
      <w:bookmarkEnd w:id="275"/>
    </w:p>
    <w:p w14:paraId="77A8D76C" w14:textId="77777777" w:rsidR="001B150A" w:rsidRPr="00CA4ABC" w:rsidRDefault="001B150A" w:rsidP="000201C1">
      <w:pPr>
        <w:pStyle w:val="NormalWeb"/>
        <w:spacing w:line="360" w:lineRule="auto"/>
        <w:outlineLvl w:val="2"/>
        <w:rPr>
          <w:rFonts w:asciiTheme="minorHAnsi" w:hAnsiTheme="minorHAnsi" w:cstheme="minorHAnsi"/>
          <w:color w:val="000000" w:themeColor="text1"/>
        </w:rPr>
      </w:pPr>
    </w:p>
    <w:p w14:paraId="5D3FBFB7" w14:textId="5BC4CC58" w:rsidR="00A509CC" w:rsidRPr="00CA4ABC" w:rsidRDefault="00A509CC" w:rsidP="00D57140">
      <w:pPr>
        <w:spacing w:line="360" w:lineRule="auto"/>
        <w:rPr>
          <w:rFonts w:cstheme="minorHAnsi"/>
          <w:color w:val="000000" w:themeColor="text1"/>
        </w:rPr>
      </w:pPr>
      <w:r w:rsidRPr="00CA4ABC">
        <w:rPr>
          <w:rFonts w:cstheme="minorHAnsi"/>
          <w:i/>
          <w:iCs/>
          <w:color w:val="000000" w:themeColor="text1"/>
        </w:rPr>
        <w:t>Qualitative:</w:t>
      </w:r>
      <w:r w:rsidRPr="00CA4ABC">
        <w:rPr>
          <w:rFonts w:cstheme="minorHAnsi"/>
          <w:color w:val="000000" w:themeColor="text1"/>
        </w:rPr>
        <w:t xml:space="preserve"> Data was analysed independently by the author of this thesis (ET) and EH. It was considered that two researcher</w:t>
      </w:r>
      <w:r w:rsidR="0096758F" w:rsidRPr="00CA4ABC">
        <w:rPr>
          <w:rFonts w:cstheme="minorHAnsi"/>
          <w:color w:val="000000" w:themeColor="text1"/>
        </w:rPr>
        <w:t>s</w:t>
      </w:r>
      <w:r w:rsidRPr="00CA4ABC">
        <w:rPr>
          <w:rFonts w:cstheme="minorHAnsi"/>
          <w:color w:val="000000" w:themeColor="text1"/>
        </w:rPr>
        <w:t xml:space="preserve"> would increase methodological quality, as it is noted that a researcher’s characteristics (e.g. background, experience and training, and preconceptions) can have an effect on the research process and that these characteristics should be acknowledged (reflexivity)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{"citationItems":[{"id":"ITEM-1","itemData":{"DOI":"10.1080/2159676X.2019.1628806","ISSN":"1939845X","abstract":"Since initially writing on thematic analysis in 2006, the popularity of the method we outlined has exploded, the variety of TA approaches have expanded, and, not least, our thinking has developed a...","author":[{"dropping-particle":"","family":"Braun","given":"Virginia","non-dropping-particle":"","parse-names":false,"suffix":""},{"dropping-particle":"","family":"Clarke","given":"Victoria","non-dropping-particle":"","parse-names":false,"suffix":""}],"container-title":"https://doi.org/10.1080/2159676X.2019.1628806","id":"ITEM-1","issue":"4","issued":{"date-parts":[["2019","8","8"]]},"page":"589-597","publisher":"Routledge","title":"Reflecting on reflexive thematic analysis","type":"article-journal","volume":"11"},"uris":["http://www.mendeley.com/documents/?uuid=37a0a39c-473a-3ecd-96eb-6111a1579aeb"]}],"mendeley":{"formattedCitation":"(280)","plainTextFormattedCitation":"(280)","previouslyFormattedCitation":"(280)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(280)</w:t>
      </w:r>
      <w:r w:rsidRPr="00CA4ABC">
        <w:rPr>
          <w:rFonts w:cstheme="minorHAnsi"/>
          <w:color w:val="000000" w:themeColor="text1"/>
        </w:rPr>
        <w:fldChar w:fldCharType="end"/>
      </w:r>
      <w:r w:rsidRPr="00CA4ABC">
        <w:rPr>
          <w:rFonts w:cstheme="minorHAnsi"/>
          <w:color w:val="000000" w:themeColor="text1"/>
        </w:rPr>
        <w:t xml:space="preserve">. </w:t>
      </w:r>
      <w:r w:rsidR="00226FC9" w:rsidRPr="00CA4ABC">
        <w:rPr>
          <w:rFonts w:cstheme="minorHAnsi"/>
          <w:color w:val="000000" w:themeColor="text1"/>
        </w:rPr>
        <w:t>Using</w:t>
      </w:r>
      <w:r w:rsidRPr="00CA4ABC">
        <w:rPr>
          <w:rFonts w:cstheme="minorHAnsi"/>
          <w:color w:val="000000" w:themeColor="text1"/>
        </w:rPr>
        <w:t xml:space="preserve"> two independent researchers can also increase the </w:t>
      </w:r>
      <w:r w:rsidR="009716EE" w:rsidRPr="00CA4ABC">
        <w:rPr>
          <w:rFonts w:cstheme="minorHAnsi"/>
          <w:color w:val="000000" w:themeColor="text1"/>
        </w:rPr>
        <w:t xml:space="preserve">themes' soundness, dependability and </w:t>
      </w:r>
      <w:r w:rsidR="00E90C7B" w:rsidRPr="00CA4ABC">
        <w:rPr>
          <w:rFonts w:cstheme="minorHAnsi"/>
          <w:color w:val="000000" w:themeColor="text1"/>
        </w:rPr>
        <w:t>confirmability</w:t>
      </w:r>
      <w:r w:rsidR="009716EE" w:rsidRPr="00CA4ABC">
        <w:rPr>
          <w:rFonts w:cstheme="minorHAnsi"/>
          <w:color w:val="000000" w:themeColor="text1"/>
        </w:rPr>
        <w:t xml:space="preserve">. </w:t>
      </w:r>
      <w:r w:rsidRPr="00CA4ABC">
        <w:rPr>
          <w:rFonts w:cstheme="minorHAnsi"/>
          <w:color w:val="000000" w:themeColor="text1"/>
        </w:rPr>
        <w:t xml:space="preserve">Structured thematic analysis, based on the protocol proposed by Braun and Clarke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{"citationItems":[{"id":"ITEM-1","itemData":{"ISBN":"9781473953239","author":[{"dropping-particle":"","family":"Braun, Virginia; Clarke","given":"Victoria","non-dropping-particle":"","parse-names":false,"suffix":""}],"id":"ITEM-1","issued":{"date-parts":[["2021"]]},"title":"Theamtic Analysis: A Practical Guide","type":"article-journal"},"uris":["http://www.mendeley.com/documents/?uuid=4e8d4d9f-d393-32aa-b0f5-b0082aeba116"]}],"mendeley":{"formattedCitation":"(281)","plainTextFormattedCitation":"(281)","previouslyFormattedCitation":"(281)"},"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(281)</w:t>
      </w:r>
      <w:r w:rsidRPr="00CA4ABC">
        <w:rPr>
          <w:rFonts w:cstheme="minorHAnsi"/>
          <w:color w:val="000000" w:themeColor="text1"/>
        </w:rPr>
        <w:fldChar w:fldCharType="end"/>
      </w:r>
      <w:r w:rsidRPr="00CA4ABC">
        <w:rPr>
          <w:rFonts w:cstheme="minorHAnsi"/>
          <w:color w:val="000000" w:themeColor="text1"/>
        </w:rPr>
        <w:t xml:space="preserve">, </w:t>
      </w:r>
      <w:r w:rsidR="00226FC9" w:rsidRPr="00CA4ABC">
        <w:rPr>
          <w:rFonts w:cstheme="minorHAnsi"/>
          <w:color w:val="000000" w:themeColor="text1"/>
        </w:rPr>
        <w:t>was</w:t>
      </w:r>
      <w:r w:rsidRPr="00CA4ABC">
        <w:rPr>
          <w:rFonts w:cstheme="minorHAnsi"/>
          <w:color w:val="000000" w:themeColor="text1"/>
        </w:rPr>
        <w:t xml:space="preserve"> used to analyse the transcripts. Briefly, this consists of six phases (1) familiarisation, 2) data coding, 3) initial theme generation, 4) theme development and review, 5)</w:t>
      </w:r>
      <w:r w:rsidR="00226FC9" w:rsidRPr="00CA4ABC">
        <w:rPr>
          <w:rFonts w:cstheme="minorHAnsi"/>
          <w:color w:val="000000" w:themeColor="text1"/>
        </w:rPr>
        <w:t xml:space="preserve"> </w:t>
      </w:r>
      <w:r w:rsidRPr="00CA4ABC">
        <w:rPr>
          <w:rFonts w:cstheme="minorHAnsi"/>
          <w:color w:val="000000" w:themeColor="text1"/>
        </w:rPr>
        <w:t xml:space="preserve">theme refining, defining and naming, </w:t>
      </w:r>
      <w:r w:rsidR="00226FC9" w:rsidRPr="00CA4ABC">
        <w:rPr>
          <w:rFonts w:cstheme="minorHAnsi"/>
          <w:color w:val="000000" w:themeColor="text1"/>
        </w:rPr>
        <w:t>and 6</w:t>
      </w:r>
      <w:r w:rsidRPr="00CA4ABC">
        <w:rPr>
          <w:rFonts w:cstheme="minorHAnsi"/>
          <w:color w:val="000000" w:themeColor="text1"/>
        </w:rPr>
        <w:t xml:space="preserve">) writing up. Steps one to three were followed by both researchers separately before coming together to complete steps four and five. Lastly, step six was </w:t>
      </w:r>
      <w:r w:rsidR="00226FC9" w:rsidRPr="00CA4ABC">
        <w:rPr>
          <w:rFonts w:cstheme="minorHAnsi"/>
          <w:color w:val="000000" w:themeColor="text1"/>
        </w:rPr>
        <w:t xml:space="preserve">independently </w:t>
      </w:r>
      <w:r w:rsidRPr="00CA4ABC">
        <w:rPr>
          <w:rFonts w:cstheme="minorHAnsi"/>
          <w:color w:val="000000" w:themeColor="text1"/>
        </w:rPr>
        <w:t>co</w:t>
      </w:r>
      <w:r w:rsidR="009716EE" w:rsidRPr="00CA4ABC">
        <w:rPr>
          <w:rFonts w:cstheme="minorHAnsi"/>
          <w:color w:val="000000" w:themeColor="text1"/>
        </w:rPr>
        <w:t>nducted</w:t>
      </w:r>
      <w:r w:rsidR="00226FC9" w:rsidRPr="00CA4ABC">
        <w:rPr>
          <w:rFonts w:cstheme="minorHAnsi"/>
          <w:color w:val="000000" w:themeColor="text1"/>
        </w:rPr>
        <w:t xml:space="preserve"> </w:t>
      </w:r>
      <w:r w:rsidRPr="00CA4ABC">
        <w:rPr>
          <w:rFonts w:cstheme="minorHAnsi"/>
          <w:color w:val="000000" w:themeColor="text1"/>
        </w:rPr>
        <w:t>by ET. Notes taken by ET to help with the familiarisation phase can be found in appendix 21. Quirkos</w:t>
      </w:r>
      <w:r w:rsidR="00D57140" w:rsidRPr="00CA4ABC">
        <w:rPr>
          <w:rFonts w:cstheme="minorHAnsi"/>
          <w:color w:val="000000" w:themeColor="text1"/>
        </w:rPr>
        <w:t xml:space="preserve"> software</w:t>
      </w:r>
      <w:r w:rsidRPr="00CA4ABC">
        <w:rPr>
          <w:rFonts w:cstheme="minorHAnsi"/>
          <w:color w:val="000000" w:themeColor="text1"/>
        </w:rPr>
        <w:t xml:space="preserve"> (version 2.5.0) was used to assist with coding the transcripts, grouping these </w:t>
      </w:r>
      <w:r w:rsidR="00226FC9" w:rsidRPr="00CA4ABC">
        <w:rPr>
          <w:rFonts w:cstheme="minorHAnsi"/>
          <w:color w:val="000000" w:themeColor="text1"/>
        </w:rPr>
        <w:t>codes</w:t>
      </w:r>
      <w:r w:rsidRPr="00CA4ABC">
        <w:rPr>
          <w:rFonts w:cstheme="minorHAnsi"/>
          <w:color w:val="000000" w:themeColor="text1"/>
        </w:rPr>
        <w:t xml:space="preserve"> and then generating themes (steps 2-4). Appendix 22 shows the “quirks” created by ET. The six steps described are not a linear process, however. Reading and re-reading the transcripts occurred thoroughly and repeatedly and reconsidering </w:t>
      </w:r>
      <w:r w:rsidR="00EB08D0">
        <w:rPr>
          <w:rFonts w:cstheme="minorHAnsi"/>
          <w:color w:val="000000" w:themeColor="text1"/>
        </w:rPr>
        <w:t xml:space="preserve">of the </w:t>
      </w:r>
      <w:r w:rsidRPr="00CA4ABC">
        <w:rPr>
          <w:rFonts w:cstheme="minorHAnsi"/>
          <w:color w:val="000000" w:themeColor="text1"/>
        </w:rPr>
        <w:t>themes w</w:t>
      </w:r>
      <w:r w:rsidR="00E90C7B" w:rsidRPr="00CA4ABC">
        <w:rPr>
          <w:rFonts w:cstheme="minorHAnsi"/>
          <w:color w:val="000000" w:themeColor="text1"/>
        </w:rPr>
        <w:t>as</w:t>
      </w:r>
      <w:r w:rsidRPr="00CA4ABC">
        <w:rPr>
          <w:rFonts w:cstheme="minorHAnsi"/>
          <w:color w:val="000000" w:themeColor="text1"/>
        </w:rPr>
        <w:t xml:space="preserve"> undertaken to increase the credibility of </w:t>
      </w:r>
      <w:r w:rsidR="00E90C7B" w:rsidRPr="00CA4ABC">
        <w:rPr>
          <w:rFonts w:cstheme="minorHAnsi"/>
          <w:color w:val="000000" w:themeColor="text1"/>
        </w:rPr>
        <w:t xml:space="preserve">the </w:t>
      </w:r>
      <w:r w:rsidRPr="00CA4ABC">
        <w:rPr>
          <w:rFonts w:cstheme="minorHAnsi"/>
          <w:color w:val="000000" w:themeColor="text1"/>
        </w:rPr>
        <w:t xml:space="preserve">themes. </w:t>
      </w:r>
    </w:p>
    <w:p w14:paraId="56CC00FC" w14:textId="715B2FA5" w:rsidR="00345581" w:rsidRPr="00CA4ABC" w:rsidRDefault="004C12CF" w:rsidP="00345581">
      <w:pPr>
        <w:pStyle w:val="NormalWeb"/>
        <w:spacing w:line="360" w:lineRule="auto"/>
        <w:outlineLvl w:val="2"/>
        <w:rPr>
          <w:rFonts w:asciiTheme="minorHAnsi" w:hAnsiTheme="minorHAnsi" w:cstheme="minorHAnsi"/>
          <w:color w:val="000000" w:themeColor="text1"/>
        </w:rPr>
      </w:pPr>
      <w:bookmarkStart w:id="276" w:name="_Toc135384361"/>
      <w:r w:rsidRPr="00CA4ABC">
        <w:rPr>
          <w:rFonts w:asciiTheme="minorHAnsi" w:hAnsiTheme="minorHAnsi" w:cstheme="minorHAnsi"/>
          <w:color w:val="000000" w:themeColor="text1"/>
        </w:rPr>
        <w:t>5.2.10 Statistical analysis:</w:t>
      </w:r>
      <w:bookmarkEnd w:id="276"/>
    </w:p>
    <w:p w14:paraId="01FFE642" w14:textId="71173845" w:rsidR="0096758F" w:rsidRPr="00CA4ABC" w:rsidRDefault="004C12CF" w:rsidP="00A509CC">
      <w:pPr>
        <w:pStyle w:val="NormalWeb"/>
        <w:spacing w:line="360" w:lineRule="auto"/>
        <w:ind w:firstLine="720"/>
        <w:outlineLvl w:val="2"/>
        <w:rPr>
          <w:rFonts w:asciiTheme="minorHAnsi" w:hAnsiTheme="minorHAnsi" w:cstheme="minorHAnsi"/>
          <w:color w:val="000000" w:themeColor="text1"/>
        </w:rPr>
        <w:sectPr w:rsidR="0096758F" w:rsidRPr="00CA4ABC" w:rsidSect="00DB6ED5">
          <w:pgSz w:w="11900" w:h="16840"/>
          <w:pgMar w:top="1440" w:right="1440" w:bottom="1440" w:left="1440" w:header="708" w:footer="708" w:gutter="0"/>
          <w:cols w:space="708"/>
          <w:docGrid w:linePitch="360"/>
        </w:sectPr>
      </w:pPr>
      <w:bookmarkStart w:id="277" w:name="_Toc125879958"/>
      <w:bookmarkStart w:id="278" w:name="_Toc127044464"/>
      <w:bookmarkStart w:id="279" w:name="_Toc127527496"/>
      <w:bookmarkStart w:id="280" w:name="_Toc127967652"/>
      <w:bookmarkStart w:id="281" w:name="_Toc135384362"/>
      <w:r w:rsidRPr="00CA4ABC">
        <w:rPr>
          <w:rFonts w:asciiTheme="minorHAnsi" w:hAnsiTheme="minorHAnsi" w:cstheme="minorHAnsi"/>
          <w:color w:val="000000" w:themeColor="text1"/>
        </w:rPr>
        <w:t>Statistics analysis was undertaken using SPSS</w:t>
      </w:r>
      <w:r w:rsidR="00D57140" w:rsidRPr="00CA4ABC">
        <w:rPr>
          <w:rFonts w:asciiTheme="minorHAnsi" w:hAnsiTheme="minorHAnsi" w:cstheme="minorHAnsi"/>
          <w:color w:val="000000" w:themeColor="text1"/>
        </w:rPr>
        <w:t xml:space="preserve"> (</w:t>
      </w:r>
      <w:r w:rsidRPr="00CA4ABC">
        <w:rPr>
          <w:rFonts w:asciiTheme="minorHAnsi" w:hAnsiTheme="minorHAnsi" w:cstheme="minorHAnsi"/>
          <w:color w:val="000000" w:themeColor="text1"/>
        </w:rPr>
        <w:t>version 26.</w:t>
      </w:r>
      <w:r w:rsidR="00D57140"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 Participant numbers dictate that descriptive statistics are appropriate, including mean and standard deviations. </w:t>
      </w:r>
      <w:r w:rsidRPr="00CA4ABC">
        <w:rPr>
          <w:rFonts w:asciiTheme="minorHAnsi" w:hAnsiTheme="minorHAnsi" w:cstheme="minorHAnsi"/>
          <w:color w:val="000000" w:themeColor="text1"/>
        </w:rPr>
        <w:lastRenderedPageBreak/>
        <w:t>Where applicable, comparisons between baseline and follow-up or week 0, week 3 and week 6 were made using paired t-tests or ANOVA, respectively</w:t>
      </w:r>
      <w:bookmarkEnd w:id="277"/>
      <w:bookmarkEnd w:id="278"/>
      <w:bookmarkEnd w:id="279"/>
      <w:bookmarkEnd w:id="280"/>
      <w:bookmarkEnd w:id="281"/>
    </w:p>
    <w:p w14:paraId="1D72CD42" w14:textId="152A6A46" w:rsidR="004C12CF" w:rsidRPr="00CA4ABC" w:rsidRDefault="004C12CF">
      <w:pPr>
        <w:pStyle w:val="ListParagraph"/>
        <w:numPr>
          <w:ilvl w:val="1"/>
          <w:numId w:val="37"/>
        </w:numPr>
        <w:spacing w:line="360" w:lineRule="auto"/>
        <w:outlineLvl w:val="1"/>
        <w:rPr>
          <w:rFonts w:cstheme="minorHAnsi"/>
          <w:b/>
          <w:bCs/>
          <w:color w:val="000000" w:themeColor="text1"/>
        </w:rPr>
      </w:pPr>
      <w:bookmarkStart w:id="282" w:name="_Toc135384363"/>
      <w:r w:rsidRPr="00CA4ABC">
        <w:rPr>
          <w:rFonts w:cstheme="minorHAnsi"/>
          <w:b/>
          <w:bCs/>
          <w:color w:val="000000" w:themeColor="text1"/>
        </w:rPr>
        <w:lastRenderedPageBreak/>
        <w:t>Results:</w:t>
      </w:r>
      <w:bookmarkEnd w:id="282"/>
    </w:p>
    <w:p w14:paraId="58391CE4" w14:textId="22C8AA26" w:rsidR="004C12CF" w:rsidRPr="00CA4ABC" w:rsidRDefault="004C12CF" w:rsidP="004053D7">
      <w:pPr>
        <w:pStyle w:val="Heading2"/>
        <w:spacing w:line="360" w:lineRule="auto"/>
        <w:rPr>
          <w:rFonts w:asciiTheme="minorHAnsi" w:hAnsiTheme="minorHAnsi" w:cstheme="minorHAnsi"/>
          <w:b/>
          <w:bCs/>
          <w:color w:val="000000" w:themeColor="text1"/>
        </w:rPr>
      </w:pPr>
      <w:bookmarkStart w:id="283" w:name="_Toc135384364"/>
      <w:r w:rsidRPr="00CA4ABC">
        <w:rPr>
          <w:rFonts w:asciiTheme="minorHAnsi" w:hAnsiTheme="minorHAnsi" w:cstheme="minorHAnsi"/>
          <w:b/>
          <w:bCs/>
          <w:color w:val="000000" w:themeColor="text1"/>
        </w:rPr>
        <w:t>Part A - Quantitative results</w:t>
      </w:r>
      <w:bookmarkEnd w:id="283"/>
    </w:p>
    <w:p w14:paraId="11B18CC1" w14:textId="02A58473" w:rsidR="00C5450A" w:rsidRPr="00CA4ABC" w:rsidRDefault="004C12CF">
      <w:pPr>
        <w:pStyle w:val="MDPI52figure"/>
        <w:numPr>
          <w:ilvl w:val="2"/>
          <w:numId w:val="19"/>
        </w:numPr>
        <w:spacing w:line="360" w:lineRule="auto"/>
        <w:jc w:val="left"/>
        <w:outlineLvl w:val="2"/>
        <w:rPr>
          <w:rFonts w:asciiTheme="minorHAnsi" w:hAnsiTheme="minorHAnsi" w:cstheme="minorHAnsi"/>
          <w:color w:val="000000" w:themeColor="text1"/>
          <w:sz w:val="24"/>
          <w:szCs w:val="24"/>
        </w:rPr>
      </w:pPr>
      <w:bookmarkStart w:id="284" w:name="_Toc135384365"/>
      <w:r w:rsidRPr="00CA4ABC">
        <w:rPr>
          <w:rFonts w:asciiTheme="minorHAnsi" w:hAnsiTheme="minorHAnsi" w:cstheme="minorHAnsi"/>
          <w:color w:val="000000" w:themeColor="text1"/>
          <w:sz w:val="24"/>
          <w:szCs w:val="24"/>
        </w:rPr>
        <w:t>Participant characteristics</w:t>
      </w:r>
      <w:bookmarkEnd w:id="284"/>
      <w:r w:rsidRPr="00CA4ABC">
        <w:rPr>
          <w:rFonts w:asciiTheme="minorHAnsi" w:hAnsiTheme="minorHAnsi" w:cstheme="minorHAnsi"/>
          <w:color w:val="000000" w:themeColor="text1"/>
          <w:sz w:val="24"/>
          <w:szCs w:val="24"/>
        </w:rPr>
        <w:t xml:space="preserve"> </w:t>
      </w:r>
    </w:p>
    <w:p w14:paraId="47FCC5CD" w14:textId="6E85BAD0" w:rsidR="004C12CF" w:rsidRPr="00CA4ABC" w:rsidRDefault="004C12CF" w:rsidP="00373971">
      <w:pPr>
        <w:shd w:val="clear" w:color="auto" w:fill="FFFFFF"/>
        <w:spacing w:before="100" w:beforeAutospacing="1" w:after="75" w:line="360" w:lineRule="auto"/>
        <w:rPr>
          <w:rFonts w:cstheme="minorHAnsi"/>
          <w:color w:val="000000" w:themeColor="text1"/>
        </w:rPr>
      </w:pPr>
      <w:r w:rsidRPr="00CA4ABC">
        <w:rPr>
          <w:rFonts w:cstheme="minorHAnsi"/>
          <w:color w:val="000000" w:themeColor="text1"/>
        </w:rPr>
        <w:t>A total of 11 participants</w:t>
      </w:r>
      <w:r w:rsidR="00C5450A" w:rsidRPr="00CA4ABC">
        <w:rPr>
          <w:rFonts w:cstheme="minorHAnsi"/>
          <w:color w:val="000000" w:themeColor="text1"/>
        </w:rPr>
        <w:t xml:space="preserve"> </w:t>
      </w:r>
      <w:r w:rsidRPr="00CA4ABC">
        <w:rPr>
          <w:rFonts w:cstheme="minorHAnsi"/>
          <w:color w:val="000000" w:themeColor="text1"/>
        </w:rPr>
        <w:t>provided</w:t>
      </w:r>
      <w:r w:rsidR="00134BD3" w:rsidRPr="00CA4ABC">
        <w:rPr>
          <w:rFonts w:cstheme="minorHAnsi"/>
          <w:color w:val="000000" w:themeColor="text1"/>
        </w:rPr>
        <w:t xml:space="preserve"> </w:t>
      </w:r>
      <w:r w:rsidRPr="00CA4ABC">
        <w:rPr>
          <w:rFonts w:cstheme="minorHAnsi"/>
          <w:color w:val="000000" w:themeColor="text1"/>
        </w:rPr>
        <w:t xml:space="preserve">baseline, </w:t>
      </w:r>
      <w:r w:rsidR="00C5450A" w:rsidRPr="00CA4ABC">
        <w:rPr>
          <w:rFonts w:cstheme="minorHAnsi"/>
          <w:color w:val="000000" w:themeColor="text1"/>
        </w:rPr>
        <w:t>week 1-6 data</w:t>
      </w:r>
      <w:r w:rsidRPr="00CA4ABC">
        <w:rPr>
          <w:rFonts w:cstheme="minorHAnsi"/>
          <w:color w:val="000000" w:themeColor="text1"/>
        </w:rPr>
        <w:t xml:space="preserve"> and follow-up measurement</w:t>
      </w:r>
      <w:r w:rsidR="00C5450A" w:rsidRPr="00CA4ABC">
        <w:rPr>
          <w:rFonts w:cstheme="minorHAnsi"/>
          <w:color w:val="000000" w:themeColor="text1"/>
        </w:rPr>
        <w:t>s</w:t>
      </w:r>
      <w:r w:rsidRPr="00CA4ABC">
        <w:rPr>
          <w:rFonts w:cstheme="minorHAnsi"/>
          <w:color w:val="000000" w:themeColor="text1"/>
        </w:rPr>
        <w:t>.</w:t>
      </w:r>
      <w:r w:rsidR="00C5450A" w:rsidRPr="00CA4ABC">
        <w:rPr>
          <w:rFonts w:cstheme="minorHAnsi"/>
          <w:color w:val="000000" w:themeColor="text1"/>
        </w:rPr>
        <w:t xml:space="preserve"> </w:t>
      </w:r>
      <w:r w:rsidR="001C28D6" w:rsidRPr="00CA4ABC">
        <w:rPr>
          <w:rFonts w:cstheme="minorHAnsi"/>
          <w:color w:val="000000" w:themeColor="text1"/>
        </w:rPr>
        <w:t>All p</w:t>
      </w:r>
      <w:r w:rsidR="00C5450A" w:rsidRPr="00CA4ABC">
        <w:rPr>
          <w:rFonts w:cstheme="minorHAnsi"/>
          <w:color w:val="000000" w:themeColor="text1"/>
        </w:rPr>
        <w:t>articipants were female and aged between 40-63 years</w:t>
      </w:r>
      <w:r w:rsidR="00373971" w:rsidRPr="00CA4ABC">
        <w:rPr>
          <w:rFonts w:cstheme="minorHAnsi"/>
          <w:color w:val="000000" w:themeColor="text1"/>
        </w:rPr>
        <w:t xml:space="preserve"> (</w:t>
      </w:r>
      <w:r w:rsidR="00373971" w:rsidRPr="00CA4ABC">
        <w:rPr>
          <w:rFonts w:cstheme="minorHAnsi"/>
          <w:color w:val="000000" w:themeColor="text1"/>
        </w:rPr>
        <w:fldChar w:fldCharType="begin"/>
      </w:r>
      <w:r w:rsidR="00373971" w:rsidRPr="00CA4ABC">
        <w:rPr>
          <w:rFonts w:cstheme="minorHAnsi"/>
          <w:color w:val="000000" w:themeColor="text1"/>
        </w:rPr>
        <w:instrText xml:space="preserve"> REF _Ref122446491 \h  \* MERGEFORMAT </w:instrText>
      </w:r>
      <w:r w:rsidR="00373971" w:rsidRPr="00CA4ABC">
        <w:rPr>
          <w:rFonts w:cstheme="minorHAnsi"/>
          <w:color w:val="000000" w:themeColor="text1"/>
        </w:rPr>
      </w:r>
      <w:r w:rsidR="00373971" w:rsidRPr="00CA4ABC">
        <w:rPr>
          <w:rFonts w:cstheme="minorHAnsi"/>
          <w:color w:val="000000" w:themeColor="text1"/>
        </w:rPr>
        <w:fldChar w:fldCharType="separate"/>
      </w:r>
      <w:r w:rsidR="00373971" w:rsidRPr="00CA4ABC">
        <w:rPr>
          <w:rFonts w:cstheme="minorHAnsi"/>
          <w:color w:val="000000" w:themeColor="text1"/>
        </w:rPr>
        <w:t xml:space="preserve">Table </w:t>
      </w:r>
      <w:r w:rsidR="00373971" w:rsidRPr="00CA4ABC">
        <w:rPr>
          <w:rFonts w:cstheme="minorHAnsi"/>
          <w:noProof/>
          <w:color w:val="000000" w:themeColor="text1"/>
        </w:rPr>
        <w:t>17</w:t>
      </w:r>
      <w:r w:rsidR="00373971" w:rsidRPr="00CA4ABC">
        <w:rPr>
          <w:rFonts w:cstheme="minorHAnsi"/>
          <w:color w:val="000000" w:themeColor="text1"/>
        </w:rPr>
        <w:fldChar w:fldCharType="end"/>
      </w:r>
      <w:r w:rsidR="00C5450A" w:rsidRPr="00CA4ABC">
        <w:rPr>
          <w:rFonts w:cstheme="minorHAnsi"/>
          <w:color w:val="000000" w:themeColor="text1"/>
        </w:rPr>
        <w:t>.</w:t>
      </w:r>
      <w:r w:rsidR="00373971" w:rsidRPr="00CA4ABC">
        <w:rPr>
          <w:rFonts w:cstheme="minorHAnsi"/>
          <w:color w:val="000000" w:themeColor="text1"/>
        </w:rPr>
        <w:t>)</w:t>
      </w:r>
      <w:r w:rsidR="00C5450A" w:rsidRPr="00CA4ABC">
        <w:rPr>
          <w:rFonts w:cstheme="minorHAnsi"/>
          <w:color w:val="000000" w:themeColor="text1"/>
        </w:rPr>
        <w:t xml:space="preserve"> Based on BMI, two participants were classed as normal weight and nine participants were defined as overweight. Most participants (n=10) described their ethnicity as “White </w:t>
      </w:r>
      <w:r w:rsidR="00C5450A" w:rsidRPr="00CA4ABC">
        <w:rPr>
          <w:rFonts w:cstheme="minorHAnsi"/>
          <w:b/>
          <w:bCs/>
          <w:color w:val="000000" w:themeColor="text1"/>
        </w:rPr>
        <w:t xml:space="preserve">-  </w:t>
      </w:r>
      <w:r w:rsidR="00C5450A" w:rsidRPr="00CA4ABC">
        <w:rPr>
          <w:rFonts w:cstheme="minorHAnsi"/>
          <w:color w:val="000000" w:themeColor="text1"/>
        </w:rPr>
        <w:t xml:space="preserve">English, Welsh, Scottish, Northern Irish or British” with one participant describing their ethnicity as “white - Any other White background”. One participant </w:t>
      </w:r>
      <w:r w:rsidR="00134BD3" w:rsidRPr="00CA4ABC">
        <w:rPr>
          <w:rFonts w:cstheme="minorHAnsi"/>
          <w:color w:val="000000" w:themeColor="text1"/>
        </w:rPr>
        <w:t>said</w:t>
      </w:r>
      <w:r w:rsidR="00C5450A" w:rsidRPr="00CA4ABC">
        <w:rPr>
          <w:rFonts w:cstheme="minorHAnsi"/>
          <w:color w:val="000000" w:themeColor="text1"/>
        </w:rPr>
        <w:t xml:space="preserve"> they smoked, stating they had two cigarettes</w:t>
      </w:r>
      <w:r w:rsidR="00134BD3" w:rsidRPr="00CA4ABC">
        <w:rPr>
          <w:rFonts w:cstheme="minorHAnsi"/>
          <w:color w:val="000000" w:themeColor="text1"/>
        </w:rPr>
        <w:t xml:space="preserve"> per</w:t>
      </w:r>
      <w:r w:rsidR="00D942B5" w:rsidRPr="00CA4ABC">
        <w:rPr>
          <w:rFonts w:cstheme="minorHAnsi"/>
          <w:color w:val="000000" w:themeColor="text1"/>
        </w:rPr>
        <w:t xml:space="preserve"> </w:t>
      </w:r>
      <w:r w:rsidR="00C5450A" w:rsidRPr="00CA4ABC">
        <w:rPr>
          <w:rFonts w:cstheme="minorHAnsi"/>
          <w:color w:val="000000" w:themeColor="text1"/>
        </w:rPr>
        <w:t xml:space="preserve">day. </w:t>
      </w:r>
    </w:p>
    <w:tbl>
      <w:tblPr>
        <w:tblStyle w:val="TableGrid"/>
        <w:tblW w:w="0" w:type="auto"/>
        <w:tblLook w:val="04A0" w:firstRow="1" w:lastRow="0" w:firstColumn="1" w:lastColumn="0" w:noHBand="0" w:noVBand="1"/>
      </w:tblPr>
      <w:tblGrid>
        <w:gridCol w:w="4505"/>
        <w:gridCol w:w="4505"/>
      </w:tblGrid>
      <w:tr w:rsidR="004053D7" w:rsidRPr="00CA4ABC" w14:paraId="076CC2DE" w14:textId="77777777" w:rsidTr="00D92CE4">
        <w:tc>
          <w:tcPr>
            <w:tcW w:w="4505" w:type="dxa"/>
          </w:tcPr>
          <w:p w14:paraId="473D2F86" w14:textId="77777777" w:rsidR="004C12CF" w:rsidRPr="00CA4ABC" w:rsidRDefault="004C12CF" w:rsidP="00345581">
            <w:pPr>
              <w:spacing w:before="100" w:beforeAutospacing="1" w:after="75"/>
              <w:jc w:val="center"/>
              <w:rPr>
                <w:rFonts w:cstheme="minorHAnsi"/>
                <w:b/>
                <w:bCs/>
                <w:color w:val="000000" w:themeColor="text1"/>
              </w:rPr>
            </w:pPr>
            <w:r w:rsidRPr="00CA4ABC">
              <w:rPr>
                <w:rFonts w:cstheme="minorHAnsi"/>
                <w:b/>
                <w:bCs/>
                <w:color w:val="000000" w:themeColor="text1"/>
              </w:rPr>
              <w:t>Characteristic</w:t>
            </w:r>
          </w:p>
        </w:tc>
        <w:tc>
          <w:tcPr>
            <w:tcW w:w="4505" w:type="dxa"/>
          </w:tcPr>
          <w:p w14:paraId="115510A8" w14:textId="77777777" w:rsidR="004C12CF" w:rsidRPr="00CA4ABC" w:rsidRDefault="004C12CF" w:rsidP="00345581">
            <w:pPr>
              <w:spacing w:before="100" w:beforeAutospacing="1" w:after="75"/>
              <w:jc w:val="center"/>
              <w:rPr>
                <w:rFonts w:cstheme="minorHAnsi"/>
                <w:b/>
                <w:bCs/>
                <w:color w:val="000000" w:themeColor="text1"/>
              </w:rPr>
            </w:pPr>
            <w:r w:rsidRPr="00CA4ABC">
              <w:rPr>
                <w:rFonts w:cstheme="minorHAnsi"/>
                <w:b/>
                <w:bCs/>
                <w:color w:val="000000" w:themeColor="text1"/>
              </w:rPr>
              <w:t>Average for all participants (n=11)</w:t>
            </w:r>
          </w:p>
        </w:tc>
      </w:tr>
      <w:tr w:rsidR="004053D7" w:rsidRPr="00CA4ABC" w14:paraId="2060FFF8" w14:textId="77777777" w:rsidTr="009E173A">
        <w:tc>
          <w:tcPr>
            <w:tcW w:w="4505" w:type="dxa"/>
          </w:tcPr>
          <w:p w14:paraId="727C7D36"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Age (years)</w:t>
            </w:r>
          </w:p>
        </w:tc>
        <w:tc>
          <w:tcPr>
            <w:tcW w:w="4505" w:type="dxa"/>
          </w:tcPr>
          <w:p w14:paraId="2CDC7428"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54.5 (range 40-63)</w:t>
            </w:r>
          </w:p>
        </w:tc>
      </w:tr>
      <w:tr w:rsidR="004053D7" w:rsidRPr="00CA4ABC" w14:paraId="51D86B30" w14:textId="77777777" w:rsidTr="009E173A">
        <w:tc>
          <w:tcPr>
            <w:tcW w:w="4505" w:type="dxa"/>
          </w:tcPr>
          <w:p w14:paraId="444893FA"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Percentage female (%)</w:t>
            </w:r>
          </w:p>
        </w:tc>
        <w:tc>
          <w:tcPr>
            <w:tcW w:w="4505" w:type="dxa"/>
          </w:tcPr>
          <w:p w14:paraId="2F61B138"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100</w:t>
            </w:r>
          </w:p>
        </w:tc>
      </w:tr>
      <w:tr w:rsidR="004053D7" w:rsidRPr="00CA4ABC" w14:paraId="0797E517" w14:textId="77777777" w:rsidTr="009E173A">
        <w:tc>
          <w:tcPr>
            <w:tcW w:w="4505" w:type="dxa"/>
          </w:tcPr>
          <w:p w14:paraId="7694F2F7"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Height (cm)</w:t>
            </w:r>
          </w:p>
        </w:tc>
        <w:tc>
          <w:tcPr>
            <w:tcW w:w="4505" w:type="dxa"/>
          </w:tcPr>
          <w:p w14:paraId="4B39E876"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166.8cm (162.2-171.3),</w:t>
            </w:r>
          </w:p>
        </w:tc>
      </w:tr>
      <w:tr w:rsidR="004053D7" w:rsidRPr="00CA4ABC" w14:paraId="1975EE4A" w14:textId="77777777" w:rsidTr="009E173A">
        <w:tc>
          <w:tcPr>
            <w:tcW w:w="4505" w:type="dxa"/>
          </w:tcPr>
          <w:p w14:paraId="693C5E3F"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Body mass (kg)</w:t>
            </w:r>
          </w:p>
        </w:tc>
        <w:tc>
          <w:tcPr>
            <w:tcW w:w="4505" w:type="dxa"/>
          </w:tcPr>
          <w:p w14:paraId="4BF88E3F"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70.3 (66.4-80.5),</w:t>
            </w:r>
          </w:p>
        </w:tc>
      </w:tr>
      <w:tr w:rsidR="004053D7" w:rsidRPr="00CA4ABC" w14:paraId="334EA3EF" w14:textId="77777777" w:rsidTr="009E173A">
        <w:tc>
          <w:tcPr>
            <w:tcW w:w="4505" w:type="dxa"/>
          </w:tcPr>
          <w:p w14:paraId="5C4359D5"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Body Mass Index (kg/m</w:t>
            </w:r>
            <w:r w:rsidRPr="00CA4ABC">
              <w:rPr>
                <w:rFonts w:cstheme="minorHAnsi"/>
                <w:color w:val="000000" w:themeColor="text1"/>
                <w:vertAlign w:val="superscript"/>
              </w:rPr>
              <w:t>2</w:t>
            </w:r>
            <w:r w:rsidRPr="00CA4ABC">
              <w:rPr>
                <w:rFonts w:cstheme="minorHAnsi"/>
                <w:color w:val="000000" w:themeColor="text1"/>
              </w:rPr>
              <w:t>)</w:t>
            </w:r>
          </w:p>
        </w:tc>
        <w:tc>
          <w:tcPr>
            <w:tcW w:w="4505" w:type="dxa"/>
          </w:tcPr>
          <w:p w14:paraId="1EDA2F20" w14:textId="77777777" w:rsidR="004C12CF" w:rsidRPr="00CA4ABC" w:rsidRDefault="004C12CF" w:rsidP="00345581">
            <w:pPr>
              <w:spacing w:before="100" w:beforeAutospacing="1" w:after="75"/>
              <w:rPr>
                <w:rFonts w:cstheme="minorHAnsi"/>
                <w:color w:val="000000" w:themeColor="text1"/>
              </w:rPr>
            </w:pPr>
            <w:r w:rsidRPr="00CA4ABC">
              <w:rPr>
                <w:rFonts w:cstheme="minorHAnsi"/>
                <w:color w:val="000000" w:themeColor="text1"/>
              </w:rPr>
              <w:t>25.9 (24.8-27.6)</w:t>
            </w:r>
          </w:p>
        </w:tc>
      </w:tr>
    </w:tbl>
    <w:p w14:paraId="6D3AF670" w14:textId="39B77C29" w:rsidR="004C12CF" w:rsidRPr="00A55697" w:rsidRDefault="004C12CF" w:rsidP="00045B59">
      <w:pPr>
        <w:pStyle w:val="Caption"/>
        <w:spacing w:line="360" w:lineRule="auto"/>
        <w:rPr>
          <w:rFonts w:cstheme="minorHAnsi"/>
          <w:i w:val="0"/>
          <w:iCs w:val="0"/>
          <w:color w:val="000000" w:themeColor="text1"/>
          <w:sz w:val="24"/>
          <w:szCs w:val="24"/>
        </w:rPr>
      </w:pPr>
      <w:bookmarkStart w:id="285" w:name="_Ref122446491"/>
      <w:bookmarkStart w:id="286" w:name="_Toc122956582"/>
      <w:r w:rsidRPr="00A55697">
        <w:rPr>
          <w:rFonts w:cstheme="minorHAnsi"/>
          <w:i w:val="0"/>
          <w:iCs w:val="0"/>
          <w:color w:val="000000" w:themeColor="text1"/>
          <w:sz w:val="24"/>
          <w:szCs w:val="24"/>
        </w:rPr>
        <w:t xml:space="preserve">Table </w:t>
      </w:r>
      <w:r w:rsidRPr="00A55697">
        <w:rPr>
          <w:rFonts w:cstheme="minorHAnsi"/>
          <w:i w:val="0"/>
          <w:iCs w:val="0"/>
          <w:color w:val="000000" w:themeColor="text1"/>
          <w:sz w:val="24"/>
          <w:szCs w:val="24"/>
        </w:rPr>
        <w:fldChar w:fldCharType="begin"/>
      </w:r>
      <w:r w:rsidRPr="00A55697">
        <w:rPr>
          <w:rFonts w:cstheme="minorHAnsi"/>
          <w:i w:val="0"/>
          <w:iCs w:val="0"/>
          <w:color w:val="000000" w:themeColor="text1"/>
          <w:sz w:val="24"/>
          <w:szCs w:val="24"/>
        </w:rPr>
        <w:instrText xml:space="preserve"> SEQ Table \* ARABIC </w:instrText>
      </w:r>
      <w:r w:rsidRPr="00A55697">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18</w:t>
      </w:r>
      <w:r w:rsidRPr="00A55697">
        <w:rPr>
          <w:rFonts w:cstheme="minorHAnsi"/>
          <w:i w:val="0"/>
          <w:iCs w:val="0"/>
          <w:color w:val="000000" w:themeColor="text1"/>
          <w:sz w:val="24"/>
          <w:szCs w:val="24"/>
        </w:rPr>
        <w:fldChar w:fldCharType="end"/>
      </w:r>
      <w:bookmarkEnd w:id="285"/>
      <w:r w:rsidR="00A55697" w:rsidRPr="00A55697">
        <w:rPr>
          <w:rFonts w:cstheme="minorHAnsi"/>
          <w:i w:val="0"/>
          <w:iCs w:val="0"/>
          <w:color w:val="000000" w:themeColor="text1"/>
          <w:sz w:val="24"/>
          <w:szCs w:val="24"/>
        </w:rPr>
        <w:t xml:space="preserve">. </w:t>
      </w:r>
      <w:r w:rsidRPr="00A55697">
        <w:rPr>
          <w:rFonts w:cstheme="minorHAnsi"/>
          <w:i w:val="0"/>
          <w:iCs w:val="0"/>
          <w:color w:val="000000" w:themeColor="text1"/>
          <w:sz w:val="24"/>
          <w:szCs w:val="24"/>
        </w:rPr>
        <w:t xml:space="preserve">REMEND </w:t>
      </w:r>
      <w:r w:rsidR="00373971" w:rsidRPr="00A55697">
        <w:rPr>
          <w:rFonts w:cstheme="minorHAnsi"/>
          <w:i w:val="0"/>
          <w:iCs w:val="0"/>
          <w:color w:val="000000" w:themeColor="text1"/>
          <w:sz w:val="24"/>
          <w:szCs w:val="24"/>
        </w:rPr>
        <w:t xml:space="preserve">final </w:t>
      </w:r>
      <w:r w:rsidRPr="00A55697">
        <w:rPr>
          <w:rFonts w:cstheme="minorHAnsi"/>
          <w:i w:val="0"/>
          <w:iCs w:val="0"/>
          <w:color w:val="000000" w:themeColor="text1"/>
          <w:sz w:val="24"/>
          <w:szCs w:val="24"/>
        </w:rPr>
        <w:t>participants characteristics. Age is presented as mean, range. Height, weight and BMI are presented as median (IQR).</w:t>
      </w:r>
      <w:bookmarkEnd w:id="286"/>
    </w:p>
    <w:p w14:paraId="2D7F85DF" w14:textId="5F0AC0A8" w:rsidR="007F5B0B" w:rsidRPr="00CA4ABC" w:rsidRDefault="007F5B0B" w:rsidP="007F5B0B">
      <w:pPr>
        <w:pStyle w:val="Heading3"/>
        <w:spacing w:line="360" w:lineRule="auto"/>
        <w:rPr>
          <w:rFonts w:asciiTheme="minorHAnsi" w:hAnsiTheme="minorHAnsi" w:cstheme="minorHAnsi"/>
          <w:color w:val="000000" w:themeColor="text1"/>
        </w:rPr>
      </w:pPr>
      <w:bookmarkStart w:id="287" w:name="_Toc135384366"/>
      <w:r w:rsidRPr="00CA4ABC">
        <w:rPr>
          <w:rFonts w:asciiTheme="minorHAnsi" w:hAnsiTheme="minorHAnsi" w:cstheme="minorHAnsi"/>
          <w:color w:val="000000" w:themeColor="text1"/>
        </w:rPr>
        <w:t>5.3.2 Progression criteria from moving from feasibility study to full</w:t>
      </w:r>
      <w:r w:rsidR="00134BD3"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scale RCT</w:t>
      </w:r>
      <w:bookmarkEnd w:id="287"/>
    </w:p>
    <w:p w14:paraId="30609AD3" w14:textId="650B18D5" w:rsidR="00DB6ED5" w:rsidRPr="00CA4ABC" w:rsidRDefault="007F5B0B" w:rsidP="007F5B0B">
      <w:pPr>
        <w:spacing w:line="360" w:lineRule="auto"/>
        <w:ind w:firstLine="720"/>
        <w:rPr>
          <w:rFonts w:cstheme="minorHAnsi"/>
          <w:color w:val="000000" w:themeColor="text1"/>
        </w:rPr>
        <w:sectPr w:rsidR="00DB6ED5" w:rsidRPr="00CA4ABC" w:rsidSect="00DB6ED5">
          <w:pgSz w:w="11900" w:h="16840"/>
          <w:pgMar w:top="1440" w:right="1440" w:bottom="1440" w:left="1440" w:header="708" w:footer="708" w:gutter="0"/>
          <w:cols w:space="708"/>
          <w:docGrid w:linePitch="360"/>
        </w:sectPr>
      </w:pPr>
      <w:r w:rsidRPr="00CA4ABC">
        <w:rPr>
          <w:rFonts w:cstheme="minorHAnsi"/>
          <w:color w:val="000000" w:themeColor="text1"/>
        </w:rPr>
        <w:t xml:space="preserve">Objectives were achieved to a high level </w:t>
      </w:r>
      <w:r w:rsidR="00892D61" w:rsidRPr="00CA4ABC">
        <w:rPr>
          <w:rFonts w:cstheme="minorHAnsi"/>
          <w:color w:val="000000" w:themeColor="text1"/>
        </w:rPr>
        <w:t xml:space="preserve">(green) </w:t>
      </w:r>
      <w:r w:rsidRPr="00CA4ABC">
        <w:rPr>
          <w:rFonts w:cstheme="minorHAnsi"/>
          <w:color w:val="000000" w:themeColor="text1"/>
        </w:rPr>
        <w:t>for recruitment, volunteer retention, acceptability of exercise intervention, avoidance of adverse events and feasibility and acceptability of the outcomes.</w:t>
      </w:r>
      <w:r w:rsidRPr="00CA4ABC">
        <w:rPr>
          <w:rFonts w:cstheme="minorHAnsi"/>
          <w:b/>
          <w:bCs/>
          <w:color w:val="000000" w:themeColor="text1"/>
          <w:sz w:val="20"/>
          <w:szCs w:val="20"/>
        </w:rPr>
        <w:t xml:space="preserve"> </w:t>
      </w:r>
      <w:r w:rsidRPr="00CA4ABC">
        <w:rPr>
          <w:rFonts w:cstheme="minorHAnsi"/>
          <w:color w:val="000000" w:themeColor="text1"/>
        </w:rPr>
        <w:t xml:space="preserve"> </w:t>
      </w:r>
      <w:r w:rsidR="00D942B5" w:rsidRPr="00CA4ABC">
        <w:rPr>
          <w:rFonts w:cstheme="minorHAnsi"/>
          <w:color w:val="000000" w:themeColor="text1"/>
        </w:rPr>
        <w:t>Intervention</w:t>
      </w:r>
      <w:r w:rsidRPr="00CA4ABC">
        <w:rPr>
          <w:rFonts w:cstheme="minorHAnsi"/>
          <w:color w:val="000000" w:themeColor="text1"/>
        </w:rPr>
        <w:t xml:space="preserve"> adherence to both the exercise and protein supplement</w:t>
      </w:r>
      <w:r w:rsidR="00D942B5" w:rsidRPr="00CA4ABC">
        <w:rPr>
          <w:rFonts w:cstheme="minorHAnsi"/>
          <w:color w:val="000000" w:themeColor="text1"/>
        </w:rPr>
        <w:t xml:space="preserve"> was classed as</w:t>
      </w:r>
      <w:r w:rsidR="00892D61" w:rsidRPr="00CA4ABC">
        <w:rPr>
          <w:rFonts w:cstheme="minorHAnsi"/>
          <w:color w:val="000000" w:themeColor="text1"/>
        </w:rPr>
        <w:t xml:space="preserve"> adequate</w:t>
      </w:r>
      <w:r w:rsidR="00D942B5" w:rsidRPr="00CA4ABC">
        <w:rPr>
          <w:rFonts w:cstheme="minorHAnsi"/>
          <w:color w:val="000000" w:themeColor="text1"/>
        </w:rPr>
        <w:t xml:space="preserve"> </w:t>
      </w:r>
      <w:r w:rsidR="00892D61" w:rsidRPr="00CA4ABC">
        <w:rPr>
          <w:rFonts w:cstheme="minorHAnsi"/>
          <w:color w:val="000000" w:themeColor="text1"/>
        </w:rPr>
        <w:t>(</w:t>
      </w:r>
      <w:r w:rsidR="00D942B5" w:rsidRPr="00CA4ABC">
        <w:rPr>
          <w:rFonts w:cstheme="minorHAnsi"/>
          <w:color w:val="000000" w:themeColor="text1"/>
        </w:rPr>
        <w:t>amber)</w:t>
      </w:r>
      <w:r w:rsidRPr="00CA4ABC">
        <w:rPr>
          <w:rFonts w:cstheme="minorHAnsi"/>
          <w:color w:val="000000" w:themeColor="text1"/>
        </w:rPr>
        <w:t>. A low success rate</w:t>
      </w:r>
      <w:r w:rsidR="00892D61" w:rsidRPr="00CA4ABC">
        <w:rPr>
          <w:rFonts w:cstheme="minorHAnsi"/>
          <w:color w:val="000000" w:themeColor="text1"/>
        </w:rPr>
        <w:t xml:space="preserve"> (red)</w:t>
      </w:r>
      <w:r w:rsidRPr="00CA4ABC">
        <w:rPr>
          <w:rFonts w:cstheme="minorHAnsi"/>
          <w:color w:val="000000" w:themeColor="text1"/>
        </w:rPr>
        <w:t xml:space="preserve"> was documented for the acceptability of the nutrition intervention. Full success criteria and whether it was met or not is outlined in </w:t>
      </w:r>
      <w:r w:rsidRPr="00CA4ABC">
        <w:rPr>
          <w:rFonts w:cstheme="minorHAnsi"/>
          <w:color w:val="000000" w:themeColor="text1"/>
        </w:rPr>
        <w:fldChar w:fldCharType="begin"/>
      </w:r>
      <w:r w:rsidRPr="00CA4ABC">
        <w:rPr>
          <w:rFonts w:cstheme="minorHAnsi"/>
          <w:color w:val="000000" w:themeColor="text1"/>
        </w:rPr>
        <w:instrText xml:space="preserve"> REF _Ref122447349 \h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Table </w:t>
      </w:r>
      <w:r w:rsidRPr="00CA4ABC">
        <w:rPr>
          <w:rFonts w:cstheme="minorHAnsi"/>
          <w:noProof/>
          <w:color w:val="000000" w:themeColor="text1"/>
        </w:rPr>
        <w:t>24</w:t>
      </w:r>
      <w:r w:rsidRPr="00CA4ABC">
        <w:rPr>
          <w:rFonts w:cstheme="minorHAnsi"/>
          <w:color w:val="000000" w:themeColor="text1"/>
        </w:rPr>
        <w:fldChar w:fldCharType="end"/>
      </w:r>
      <w:r w:rsidRPr="00CA4ABC">
        <w:rPr>
          <w:rFonts w:cstheme="minorHAnsi"/>
          <w:color w:val="000000" w:themeColor="text1"/>
        </w:rPr>
        <w:t>.</w:t>
      </w:r>
    </w:p>
    <w:p w14:paraId="103F84C5" w14:textId="77777777" w:rsidR="007F5B0B" w:rsidRPr="00CA4ABC" w:rsidRDefault="007F5B0B" w:rsidP="007F5B0B">
      <w:pPr>
        <w:spacing w:line="360" w:lineRule="auto"/>
        <w:ind w:firstLine="720"/>
        <w:rPr>
          <w:rFonts w:cstheme="minorHAnsi"/>
          <w:color w:val="000000" w:themeColor="text1"/>
        </w:rPr>
      </w:pPr>
    </w:p>
    <w:p w14:paraId="6FD53B5A" w14:textId="77777777" w:rsidR="007F5B0B" w:rsidRPr="00CA4ABC" w:rsidRDefault="007F5B0B" w:rsidP="007F5B0B">
      <w:pPr>
        <w:spacing w:line="360" w:lineRule="auto"/>
        <w:rPr>
          <w:rFonts w:cstheme="minorHAnsi"/>
          <w:color w:val="000000" w:themeColor="text1"/>
        </w:rPr>
      </w:pPr>
    </w:p>
    <w:tbl>
      <w:tblPr>
        <w:tblStyle w:val="TableGrid"/>
        <w:tblW w:w="16160" w:type="dxa"/>
        <w:tblInd w:w="-1139" w:type="dxa"/>
        <w:tblLook w:val="04A0" w:firstRow="1" w:lastRow="0" w:firstColumn="1" w:lastColumn="0" w:noHBand="0" w:noVBand="1"/>
      </w:tblPr>
      <w:tblGrid>
        <w:gridCol w:w="2127"/>
        <w:gridCol w:w="7796"/>
        <w:gridCol w:w="6237"/>
      </w:tblGrid>
      <w:tr w:rsidR="007F5B0B" w:rsidRPr="00CA4ABC" w14:paraId="41A49B0C" w14:textId="77777777" w:rsidTr="008631C7">
        <w:trPr>
          <w:trHeight w:val="135"/>
        </w:trPr>
        <w:tc>
          <w:tcPr>
            <w:tcW w:w="2127" w:type="dxa"/>
          </w:tcPr>
          <w:p w14:paraId="6252D7F7" w14:textId="77777777" w:rsidR="007F5B0B" w:rsidRPr="00CA4ABC" w:rsidRDefault="007F5B0B" w:rsidP="00803CD7">
            <w:pPr>
              <w:jc w:val="center"/>
              <w:rPr>
                <w:rFonts w:cstheme="minorHAnsi"/>
                <w:b/>
                <w:bCs/>
                <w:color w:val="000000" w:themeColor="text1"/>
                <w:sz w:val="20"/>
                <w:szCs w:val="20"/>
              </w:rPr>
            </w:pPr>
            <w:r w:rsidRPr="00CA4ABC">
              <w:rPr>
                <w:rFonts w:cstheme="minorHAnsi"/>
                <w:b/>
                <w:bCs/>
                <w:color w:val="000000" w:themeColor="text1"/>
                <w:sz w:val="20"/>
                <w:szCs w:val="20"/>
              </w:rPr>
              <w:t>Objectives</w:t>
            </w:r>
          </w:p>
        </w:tc>
        <w:tc>
          <w:tcPr>
            <w:tcW w:w="7796" w:type="dxa"/>
          </w:tcPr>
          <w:p w14:paraId="1F340AB4" w14:textId="77777777" w:rsidR="007F5B0B" w:rsidRPr="00CA4ABC" w:rsidRDefault="007F5B0B" w:rsidP="00803CD7">
            <w:pPr>
              <w:jc w:val="center"/>
              <w:rPr>
                <w:rFonts w:cstheme="minorHAnsi"/>
                <w:b/>
                <w:bCs/>
                <w:color w:val="000000" w:themeColor="text1"/>
                <w:sz w:val="20"/>
                <w:szCs w:val="20"/>
              </w:rPr>
            </w:pPr>
            <w:r w:rsidRPr="00CA4ABC">
              <w:rPr>
                <w:rFonts w:cstheme="minorHAnsi"/>
                <w:b/>
                <w:bCs/>
                <w:color w:val="000000" w:themeColor="text1"/>
                <w:sz w:val="20"/>
                <w:szCs w:val="20"/>
              </w:rPr>
              <w:t>Success criteria</w:t>
            </w:r>
          </w:p>
        </w:tc>
        <w:tc>
          <w:tcPr>
            <w:tcW w:w="6237" w:type="dxa"/>
          </w:tcPr>
          <w:p w14:paraId="2A8B6B6A" w14:textId="77777777" w:rsidR="007F5B0B" w:rsidRPr="00CA4ABC" w:rsidRDefault="007F5B0B" w:rsidP="00803CD7">
            <w:pPr>
              <w:jc w:val="center"/>
              <w:rPr>
                <w:rFonts w:cstheme="minorHAnsi"/>
                <w:b/>
                <w:bCs/>
                <w:color w:val="000000" w:themeColor="text1"/>
                <w:sz w:val="20"/>
                <w:szCs w:val="20"/>
              </w:rPr>
            </w:pPr>
            <w:r w:rsidRPr="00CA4ABC">
              <w:rPr>
                <w:rFonts w:cstheme="minorHAnsi"/>
                <w:b/>
                <w:bCs/>
                <w:color w:val="000000" w:themeColor="text1"/>
                <w:sz w:val="20"/>
                <w:szCs w:val="20"/>
              </w:rPr>
              <w:t>Was this met/not met?</w:t>
            </w:r>
          </w:p>
        </w:tc>
      </w:tr>
      <w:tr w:rsidR="007F5B0B" w:rsidRPr="00CA4ABC" w14:paraId="475493E2" w14:textId="77777777" w:rsidTr="008631C7">
        <w:trPr>
          <w:trHeight w:val="670"/>
        </w:trPr>
        <w:tc>
          <w:tcPr>
            <w:tcW w:w="2127" w:type="dxa"/>
          </w:tcPr>
          <w:p w14:paraId="62DCF785"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 xml:space="preserve">Recruitment of eligible 40-65 year old volunteers. </w:t>
            </w:r>
          </w:p>
        </w:tc>
        <w:tc>
          <w:tcPr>
            <w:tcW w:w="7796" w:type="dxa"/>
          </w:tcPr>
          <w:p w14:paraId="52109330" w14:textId="6E90DA39"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rPr>
              <w:t xml:space="preserve">Recruitment target of one </w:t>
            </w:r>
            <w:r w:rsidR="005425DE">
              <w:rPr>
                <w:rFonts w:cstheme="minorHAnsi"/>
                <w:color w:val="000000" w:themeColor="text1"/>
                <w:sz w:val="20"/>
                <w:szCs w:val="20"/>
              </w:rPr>
              <w:t xml:space="preserve">acceptable class size </w:t>
            </w:r>
            <w:r w:rsidRPr="00CA4ABC">
              <w:rPr>
                <w:rFonts w:cstheme="minorHAnsi"/>
                <w:color w:val="000000" w:themeColor="text1"/>
                <w:sz w:val="20"/>
                <w:szCs w:val="20"/>
              </w:rPr>
              <w:t>(12 participants) within one month</w:t>
            </w:r>
            <w:r w:rsidR="005425DE">
              <w:rPr>
                <w:rFonts w:cstheme="minorHAnsi"/>
                <w:color w:val="000000" w:themeColor="text1"/>
                <w:sz w:val="20"/>
                <w:szCs w:val="20"/>
              </w:rPr>
              <w:t>.</w:t>
            </w:r>
          </w:p>
        </w:tc>
        <w:tc>
          <w:tcPr>
            <w:tcW w:w="6237" w:type="dxa"/>
            <w:shd w:val="clear" w:color="auto" w:fill="92D050"/>
          </w:tcPr>
          <w:p w14:paraId="60EB8B87" w14:textId="77777777"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shd w:val="clear" w:color="auto" w:fill="92D050"/>
              </w:rPr>
              <w:t>Met, although one was not able to start the trial</w:t>
            </w:r>
          </w:p>
        </w:tc>
      </w:tr>
      <w:tr w:rsidR="007F5B0B" w:rsidRPr="00CA4ABC" w14:paraId="0120F836" w14:textId="77777777" w:rsidTr="008631C7">
        <w:trPr>
          <w:trHeight w:val="700"/>
        </w:trPr>
        <w:tc>
          <w:tcPr>
            <w:tcW w:w="2127" w:type="dxa"/>
          </w:tcPr>
          <w:p w14:paraId="12BA16C7"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Retention of volunteers</w:t>
            </w:r>
          </w:p>
        </w:tc>
        <w:tc>
          <w:tcPr>
            <w:tcW w:w="7796" w:type="dxa"/>
          </w:tcPr>
          <w:p w14:paraId="08088353" w14:textId="77777777"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rPr>
              <w:t>90% retention of volunteers for the 6-week programme.</w:t>
            </w:r>
          </w:p>
        </w:tc>
        <w:tc>
          <w:tcPr>
            <w:tcW w:w="6237" w:type="dxa"/>
            <w:shd w:val="clear" w:color="auto" w:fill="92D050"/>
          </w:tcPr>
          <w:p w14:paraId="49A2AF04" w14:textId="1556DDA4"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rPr>
              <w:t xml:space="preserve">This was met for all volunteers who commenced the exercise intervention (n=11). One participant dropped out prior to this, after giving informed consent, but the reason was not related to the trial. </w:t>
            </w:r>
          </w:p>
        </w:tc>
      </w:tr>
      <w:tr w:rsidR="007F5B0B" w:rsidRPr="00CA4ABC" w14:paraId="44BCEDC1" w14:textId="77777777" w:rsidTr="008631C7">
        <w:trPr>
          <w:trHeight w:val="135"/>
        </w:trPr>
        <w:tc>
          <w:tcPr>
            <w:tcW w:w="2127" w:type="dxa"/>
          </w:tcPr>
          <w:p w14:paraId="68DED53B"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Intervention adherence by volunteers (exercise)</w:t>
            </w:r>
          </w:p>
        </w:tc>
        <w:tc>
          <w:tcPr>
            <w:tcW w:w="7796" w:type="dxa"/>
          </w:tcPr>
          <w:p w14:paraId="47A71951"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Green - 2 exercise session per week for the six weeks achieved by 80%</w:t>
            </w:r>
          </w:p>
          <w:p w14:paraId="70831868"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Amber - 2 exercise session per week for 4/6 weeks achieved by 80% of participants.</w:t>
            </w:r>
          </w:p>
          <w:p w14:paraId="704C41C5"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Red - 2 exercise sessions per week for 6 weeks achieved by &lt;50% of participants</w:t>
            </w:r>
          </w:p>
          <w:p w14:paraId="3884034D"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Participants achieving an average of 12 sessions across all of 6 weeks</w:t>
            </w:r>
          </w:p>
        </w:tc>
        <w:tc>
          <w:tcPr>
            <w:tcW w:w="6237" w:type="dxa"/>
            <w:shd w:val="clear" w:color="auto" w:fill="FFC000"/>
          </w:tcPr>
          <w:p w14:paraId="3B7F67A1"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55% of participants achieved 2 sessions/week for 6 weeks.</w:t>
            </w:r>
          </w:p>
          <w:p w14:paraId="21B77058"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90% of participants achieved 2 session/week for 4/6 weeks.</w:t>
            </w:r>
          </w:p>
          <w:p w14:paraId="155DA62E"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Met - An average of 13 sessions were achieved by participants.</w:t>
            </w:r>
          </w:p>
        </w:tc>
      </w:tr>
      <w:tr w:rsidR="007F5B0B" w:rsidRPr="00CA4ABC" w14:paraId="30F368DB" w14:textId="77777777" w:rsidTr="008631C7">
        <w:trPr>
          <w:trHeight w:val="135"/>
        </w:trPr>
        <w:tc>
          <w:tcPr>
            <w:tcW w:w="2127" w:type="dxa"/>
          </w:tcPr>
          <w:p w14:paraId="1EF9E40D"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Intervention adherence by volunteers (nutrition)</w:t>
            </w:r>
          </w:p>
        </w:tc>
        <w:tc>
          <w:tcPr>
            <w:tcW w:w="7796" w:type="dxa"/>
          </w:tcPr>
          <w:p w14:paraId="73AE7F84"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 xml:space="preserve">Green - Consuming </w:t>
            </w:r>
            <w:r w:rsidRPr="00CA4ABC">
              <w:rPr>
                <w:rFonts w:cstheme="minorHAnsi"/>
                <w:color w:val="000000" w:themeColor="text1"/>
                <w:sz w:val="20"/>
                <w:szCs w:val="20"/>
                <w:shd w:val="clear" w:color="auto" w:fill="FFFFFF"/>
              </w:rPr>
              <w:t>≥</w:t>
            </w:r>
            <w:r w:rsidRPr="00CA4ABC">
              <w:rPr>
                <w:rFonts w:cstheme="minorHAnsi"/>
                <w:color w:val="000000" w:themeColor="text1"/>
                <w:sz w:val="20"/>
                <w:szCs w:val="20"/>
              </w:rPr>
              <w:t>90% of the protein supplement</w:t>
            </w:r>
          </w:p>
          <w:p w14:paraId="085EDF05"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 xml:space="preserve">Amber – Consuming </w:t>
            </w:r>
            <w:r w:rsidRPr="00CA4ABC">
              <w:rPr>
                <w:rFonts w:cstheme="minorHAnsi"/>
                <w:color w:val="000000" w:themeColor="text1"/>
                <w:sz w:val="20"/>
                <w:szCs w:val="20"/>
                <w:shd w:val="clear" w:color="auto" w:fill="FFFFFF"/>
              </w:rPr>
              <w:t>≥75</w:t>
            </w:r>
            <w:r w:rsidRPr="00CA4ABC">
              <w:rPr>
                <w:rFonts w:cstheme="minorHAnsi"/>
                <w:color w:val="000000" w:themeColor="text1"/>
                <w:sz w:val="20"/>
                <w:szCs w:val="20"/>
              </w:rPr>
              <w:t>% of the protein supplement</w:t>
            </w:r>
          </w:p>
          <w:p w14:paraId="3A9E843B" w14:textId="77777777" w:rsidR="007F5B0B" w:rsidRPr="00CA4ABC" w:rsidRDefault="007F5B0B">
            <w:pPr>
              <w:pStyle w:val="ListParagraph"/>
              <w:numPr>
                <w:ilvl w:val="0"/>
                <w:numId w:val="9"/>
              </w:numPr>
              <w:rPr>
                <w:rFonts w:cstheme="minorHAnsi"/>
                <w:color w:val="000000" w:themeColor="text1"/>
                <w:sz w:val="20"/>
                <w:szCs w:val="20"/>
              </w:rPr>
            </w:pPr>
            <w:r w:rsidRPr="00CA4ABC">
              <w:rPr>
                <w:rFonts w:cstheme="minorHAnsi"/>
                <w:color w:val="000000" w:themeColor="text1"/>
                <w:sz w:val="20"/>
                <w:szCs w:val="20"/>
              </w:rPr>
              <w:t>Red – consuming &lt;75% of the supplement</w:t>
            </w:r>
          </w:p>
        </w:tc>
        <w:tc>
          <w:tcPr>
            <w:tcW w:w="6237" w:type="dxa"/>
            <w:shd w:val="clear" w:color="auto" w:fill="FFC000"/>
          </w:tcPr>
          <w:p w14:paraId="6E4394DC" w14:textId="77777777"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rPr>
              <w:t xml:space="preserve"> Compliance rates </w:t>
            </w:r>
            <w:r w:rsidRPr="00CA4ABC">
              <w:rPr>
                <w:rFonts w:cstheme="minorHAnsi"/>
                <w:color w:val="000000" w:themeColor="text1"/>
                <w:sz w:val="20"/>
                <w:szCs w:val="20"/>
                <w:shd w:val="clear" w:color="auto" w:fill="FFC000"/>
              </w:rPr>
              <w:t>were ≥90%</w:t>
            </w:r>
            <w:r w:rsidRPr="00CA4ABC">
              <w:rPr>
                <w:rFonts w:cstheme="minorHAnsi"/>
                <w:color w:val="000000" w:themeColor="text1"/>
                <w:sz w:val="20"/>
                <w:szCs w:val="20"/>
              </w:rPr>
              <w:t xml:space="preserve"> for four participants (99%, 100%, 90%, 95%) and was &lt;75% for 3 participants (14%, 57% and 55%)</w:t>
            </w:r>
          </w:p>
          <w:p w14:paraId="31B2BC6D" w14:textId="77777777" w:rsidR="007F5B0B" w:rsidRPr="00CA4ABC" w:rsidRDefault="007F5B0B" w:rsidP="00803CD7">
            <w:pPr>
              <w:rPr>
                <w:rFonts w:cstheme="minorHAnsi"/>
                <w:color w:val="000000" w:themeColor="text1"/>
                <w:sz w:val="20"/>
                <w:szCs w:val="20"/>
              </w:rPr>
            </w:pPr>
          </w:p>
        </w:tc>
      </w:tr>
      <w:tr w:rsidR="007F5B0B" w:rsidRPr="00CA4ABC" w14:paraId="589F9DBF" w14:textId="77777777" w:rsidTr="008631C7">
        <w:trPr>
          <w:trHeight w:val="2684"/>
        </w:trPr>
        <w:tc>
          <w:tcPr>
            <w:tcW w:w="2127" w:type="dxa"/>
          </w:tcPr>
          <w:p w14:paraId="050A6970"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Acceptability of intervention (exercise)</w:t>
            </w:r>
          </w:p>
        </w:tc>
        <w:tc>
          <w:tcPr>
            <w:tcW w:w="7796" w:type="dxa"/>
          </w:tcPr>
          <w:p w14:paraId="7B7B92EC" w14:textId="77777777"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rPr>
              <w:t xml:space="preserve">Responses to outcomes questionnaire: </w:t>
            </w:r>
          </w:p>
          <w:p w14:paraId="4EC07280" w14:textId="77777777" w:rsidR="007F5B0B" w:rsidRPr="00CA4ABC" w:rsidRDefault="007F5B0B">
            <w:pPr>
              <w:pStyle w:val="ListParagraph"/>
              <w:numPr>
                <w:ilvl w:val="0"/>
                <w:numId w:val="12"/>
              </w:numPr>
              <w:rPr>
                <w:rFonts w:cstheme="minorHAnsi"/>
                <w:color w:val="000000" w:themeColor="text1"/>
                <w:sz w:val="20"/>
                <w:szCs w:val="20"/>
              </w:rPr>
            </w:pPr>
            <w:r w:rsidRPr="00CA4ABC">
              <w:rPr>
                <w:rFonts w:cstheme="minorHAnsi"/>
                <w:color w:val="000000" w:themeColor="text1"/>
                <w:sz w:val="20"/>
                <w:szCs w:val="20"/>
              </w:rPr>
              <w:t xml:space="preserve">Scores </w:t>
            </w:r>
            <w:r w:rsidRPr="00CA4ABC">
              <w:rPr>
                <w:rFonts w:cstheme="minorHAnsi"/>
                <w:color w:val="000000" w:themeColor="text1"/>
                <w:sz w:val="20"/>
                <w:szCs w:val="20"/>
                <w:shd w:val="clear" w:color="auto" w:fill="FFFFFF"/>
              </w:rPr>
              <w:t>≥3 to satisfaction (question 4) for 100% of participants (green); ≥85% of participants (amber); and &lt;85% of participants (red)</w:t>
            </w:r>
          </w:p>
          <w:p w14:paraId="47F581A0"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 xml:space="preserve"> Scores </w:t>
            </w:r>
            <w:r w:rsidRPr="00CA4ABC">
              <w:rPr>
                <w:rFonts w:cstheme="minorHAnsi"/>
                <w:color w:val="000000" w:themeColor="text1"/>
                <w:sz w:val="20"/>
                <w:szCs w:val="20"/>
                <w:shd w:val="clear" w:color="auto" w:fill="FFFFFF"/>
              </w:rPr>
              <w:t>≥3</w:t>
            </w:r>
            <w:r w:rsidRPr="00CA4ABC">
              <w:rPr>
                <w:rFonts w:cstheme="minorHAnsi"/>
                <w:color w:val="000000" w:themeColor="text1"/>
                <w:sz w:val="20"/>
                <w:szCs w:val="20"/>
              </w:rPr>
              <w:t xml:space="preserve"> to acceptability of resistance bands (question 5) for 100% of participants (green), </w:t>
            </w:r>
            <w:r w:rsidRPr="00CA4ABC">
              <w:rPr>
                <w:rFonts w:cstheme="minorHAnsi"/>
                <w:color w:val="000000" w:themeColor="text1"/>
                <w:sz w:val="20"/>
                <w:szCs w:val="20"/>
                <w:shd w:val="clear" w:color="auto" w:fill="FFFFFF"/>
              </w:rPr>
              <w:t>≥85% of participants (amber), &lt;85% of participants (red)</w:t>
            </w:r>
          </w:p>
          <w:p w14:paraId="307AAAE5"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Recommending exercise intervention to a friend by 100% of participants (green); recommending exercise intervention to a friend by 85% of participants (amber); recommending to a friend by &lt;75% of participants (red.)</w:t>
            </w:r>
          </w:p>
          <w:p w14:paraId="6CFAEFE0"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 xml:space="preserve">Rating overall experience of trial (question 15) as </w:t>
            </w:r>
            <w:r w:rsidRPr="00CA4ABC">
              <w:rPr>
                <w:rFonts w:cstheme="minorHAnsi"/>
                <w:color w:val="000000" w:themeColor="text1"/>
                <w:sz w:val="20"/>
                <w:szCs w:val="20"/>
                <w:shd w:val="clear" w:color="auto" w:fill="FFFFFF"/>
              </w:rPr>
              <w:t>≥4 (green); Amber – rating overall experience of trial ≥3 (amber); rating overall experience of trial &lt;3 (red)</w:t>
            </w:r>
          </w:p>
        </w:tc>
        <w:tc>
          <w:tcPr>
            <w:tcW w:w="6237" w:type="dxa"/>
            <w:shd w:val="clear" w:color="auto" w:fill="92D050"/>
          </w:tcPr>
          <w:p w14:paraId="71D158A9"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 xml:space="preserve">Green - 100% scored </w:t>
            </w:r>
            <w:r w:rsidRPr="00CA4ABC">
              <w:rPr>
                <w:rFonts w:cstheme="minorHAnsi"/>
                <w:color w:val="000000" w:themeColor="text1"/>
                <w:sz w:val="20"/>
                <w:szCs w:val="20"/>
                <w:shd w:val="clear" w:color="auto" w:fill="92D050"/>
              </w:rPr>
              <w:t>satisfaction of ≥3.</w:t>
            </w:r>
          </w:p>
          <w:p w14:paraId="07434801"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 xml:space="preserve">Green - 100% scored acceptability of resistance bands as </w:t>
            </w:r>
            <w:r w:rsidRPr="00CA4ABC">
              <w:rPr>
                <w:rFonts w:cstheme="minorHAnsi"/>
                <w:color w:val="000000" w:themeColor="text1"/>
                <w:sz w:val="20"/>
                <w:szCs w:val="20"/>
                <w:shd w:val="clear" w:color="auto" w:fill="92D050"/>
              </w:rPr>
              <w:t>≥3.</w:t>
            </w:r>
          </w:p>
          <w:p w14:paraId="3B2E0489"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Green – 100% of participants stated they would recommend the exercise intervention to a friend.</w:t>
            </w:r>
          </w:p>
          <w:p w14:paraId="6F70E21E" w14:textId="77777777" w:rsidR="007F5B0B" w:rsidRPr="00CA4ABC" w:rsidRDefault="007F5B0B">
            <w:pPr>
              <w:pStyle w:val="ListParagraph"/>
              <w:numPr>
                <w:ilvl w:val="0"/>
                <w:numId w:val="11"/>
              </w:numPr>
              <w:rPr>
                <w:rFonts w:cstheme="minorHAnsi"/>
                <w:color w:val="000000" w:themeColor="text1"/>
                <w:sz w:val="20"/>
                <w:szCs w:val="20"/>
              </w:rPr>
            </w:pPr>
            <w:r w:rsidRPr="00CA4ABC">
              <w:rPr>
                <w:rFonts w:cstheme="minorHAnsi"/>
                <w:color w:val="000000" w:themeColor="text1"/>
                <w:sz w:val="20"/>
                <w:szCs w:val="20"/>
              </w:rPr>
              <w:t xml:space="preserve">Green – 100% rated their overall experience of trial as </w:t>
            </w:r>
            <w:r w:rsidRPr="00CA4ABC">
              <w:rPr>
                <w:rFonts w:cstheme="minorHAnsi"/>
                <w:color w:val="000000" w:themeColor="text1"/>
                <w:sz w:val="20"/>
                <w:szCs w:val="20"/>
                <w:shd w:val="clear" w:color="auto" w:fill="92D050"/>
              </w:rPr>
              <w:t>≥4.</w:t>
            </w:r>
          </w:p>
        </w:tc>
      </w:tr>
      <w:tr w:rsidR="007F5B0B" w:rsidRPr="00CA4ABC" w14:paraId="6AAE0FB0" w14:textId="77777777" w:rsidTr="008631C7">
        <w:trPr>
          <w:trHeight w:val="2397"/>
        </w:trPr>
        <w:tc>
          <w:tcPr>
            <w:tcW w:w="2127" w:type="dxa"/>
          </w:tcPr>
          <w:p w14:paraId="7E73842C"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lastRenderedPageBreak/>
              <w:t>Acceptability of intervention (nutrition)</w:t>
            </w:r>
          </w:p>
        </w:tc>
        <w:tc>
          <w:tcPr>
            <w:tcW w:w="7796" w:type="dxa"/>
            <w:shd w:val="clear" w:color="auto" w:fill="auto"/>
          </w:tcPr>
          <w:p w14:paraId="30A27962" w14:textId="77777777" w:rsidR="007F5B0B" w:rsidRPr="00CA4ABC" w:rsidRDefault="007F5B0B" w:rsidP="00803CD7">
            <w:pPr>
              <w:rPr>
                <w:rFonts w:cstheme="minorHAnsi"/>
                <w:color w:val="000000" w:themeColor="text1"/>
                <w:sz w:val="20"/>
                <w:szCs w:val="20"/>
              </w:rPr>
            </w:pPr>
            <w:r w:rsidRPr="00CA4ABC">
              <w:rPr>
                <w:rFonts w:cstheme="minorHAnsi"/>
                <w:color w:val="000000" w:themeColor="text1"/>
                <w:sz w:val="20"/>
                <w:szCs w:val="20"/>
              </w:rPr>
              <w:t xml:space="preserve">Responses to outcomes questionnaire: </w:t>
            </w:r>
          </w:p>
          <w:p w14:paraId="64175F91" w14:textId="77777777" w:rsidR="007F5B0B" w:rsidRPr="00CA4ABC" w:rsidRDefault="007F5B0B">
            <w:pPr>
              <w:pStyle w:val="ListParagraph"/>
              <w:numPr>
                <w:ilvl w:val="0"/>
                <w:numId w:val="13"/>
              </w:numPr>
              <w:rPr>
                <w:rFonts w:cstheme="minorHAnsi"/>
                <w:color w:val="000000" w:themeColor="text1"/>
                <w:sz w:val="20"/>
                <w:szCs w:val="20"/>
              </w:rPr>
            </w:pPr>
            <w:r w:rsidRPr="00CA4ABC">
              <w:rPr>
                <w:rFonts w:cstheme="minorHAnsi"/>
                <w:color w:val="000000" w:themeColor="text1"/>
                <w:sz w:val="20"/>
                <w:szCs w:val="20"/>
                <w:shd w:val="clear" w:color="auto" w:fill="FFFFFF"/>
              </w:rPr>
              <w:t>≥3 for palatability scores by 100% of participants, ≥85% of participants (amber), &lt;85% of participants (red)</w:t>
            </w:r>
          </w:p>
          <w:p w14:paraId="6FBA3C01" w14:textId="77777777" w:rsidR="007F5B0B" w:rsidRPr="00CA4ABC" w:rsidRDefault="007F5B0B">
            <w:pPr>
              <w:pStyle w:val="ListParagraph"/>
              <w:numPr>
                <w:ilvl w:val="0"/>
                <w:numId w:val="13"/>
              </w:numPr>
              <w:rPr>
                <w:rFonts w:cstheme="minorHAnsi"/>
                <w:color w:val="000000" w:themeColor="text1"/>
                <w:sz w:val="20"/>
                <w:szCs w:val="20"/>
              </w:rPr>
            </w:pPr>
            <w:r w:rsidRPr="00CA4ABC">
              <w:rPr>
                <w:rFonts w:cstheme="minorHAnsi"/>
                <w:color w:val="000000" w:themeColor="text1"/>
                <w:sz w:val="20"/>
                <w:szCs w:val="20"/>
                <w:shd w:val="clear" w:color="auto" w:fill="FFFFFF"/>
              </w:rPr>
              <w:t>≥3 for texture scores by 100% of participants, ≥85% of participants (amber), &lt;85% of participants (red)</w:t>
            </w:r>
          </w:p>
          <w:p w14:paraId="569CD5A4" w14:textId="77777777" w:rsidR="007F5B0B" w:rsidRPr="00CA4ABC" w:rsidRDefault="007F5B0B">
            <w:pPr>
              <w:pStyle w:val="ListParagraph"/>
              <w:numPr>
                <w:ilvl w:val="0"/>
                <w:numId w:val="13"/>
              </w:numPr>
              <w:rPr>
                <w:rFonts w:cstheme="minorHAnsi"/>
                <w:color w:val="000000" w:themeColor="text1"/>
                <w:sz w:val="20"/>
                <w:szCs w:val="20"/>
              </w:rPr>
            </w:pPr>
            <w:r w:rsidRPr="00CA4ABC">
              <w:rPr>
                <w:rFonts w:cstheme="minorHAnsi"/>
                <w:color w:val="000000" w:themeColor="text1"/>
                <w:sz w:val="20"/>
                <w:szCs w:val="20"/>
              </w:rPr>
              <w:t xml:space="preserve">Green - Rating overall taste of supplement </w:t>
            </w:r>
            <w:r w:rsidRPr="00CA4ABC">
              <w:rPr>
                <w:rFonts w:cstheme="minorHAnsi"/>
                <w:color w:val="000000" w:themeColor="text1"/>
                <w:sz w:val="20"/>
                <w:szCs w:val="20"/>
                <w:shd w:val="clear" w:color="auto" w:fill="FFFFFF"/>
              </w:rPr>
              <w:t>≥4 (question 6); Amber – rating overall taste of supplement ≥3; red – rating overall supplement &lt;3</w:t>
            </w:r>
          </w:p>
          <w:p w14:paraId="59BCE857" w14:textId="77777777" w:rsidR="007F5B0B" w:rsidRPr="00CA4ABC" w:rsidRDefault="007F5B0B">
            <w:pPr>
              <w:pStyle w:val="ListParagraph"/>
              <w:numPr>
                <w:ilvl w:val="0"/>
                <w:numId w:val="13"/>
              </w:numPr>
              <w:rPr>
                <w:rFonts w:cstheme="minorHAnsi"/>
                <w:color w:val="000000" w:themeColor="text1"/>
                <w:sz w:val="20"/>
                <w:szCs w:val="20"/>
              </w:rPr>
            </w:pPr>
            <w:r w:rsidRPr="00CA4ABC">
              <w:rPr>
                <w:rFonts w:cstheme="minorHAnsi"/>
                <w:color w:val="000000" w:themeColor="text1"/>
                <w:sz w:val="20"/>
                <w:szCs w:val="20"/>
              </w:rPr>
              <w:t xml:space="preserve">Green – stating they would continue to take the supplement by </w:t>
            </w:r>
            <w:r w:rsidRPr="00CA4ABC">
              <w:rPr>
                <w:rFonts w:cstheme="minorHAnsi"/>
                <w:color w:val="000000" w:themeColor="text1"/>
                <w:sz w:val="20"/>
                <w:szCs w:val="20"/>
                <w:shd w:val="clear" w:color="auto" w:fill="FFFFFF"/>
              </w:rPr>
              <w:t>≥</w:t>
            </w:r>
            <w:r w:rsidRPr="00CA4ABC">
              <w:rPr>
                <w:rFonts w:cstheme="minorHAnsi"/>
                <w:color w:val="000000" w:themeColor="text1"/>
                <w:sz w:val="20"/>
                <w:szCs w:val="20"/>
              </w:rPr>
              <w:t xml:space="preserve">90% of participants; Amber – continuing to take supplement by </w:t>
            </w:r>
            <w:r w:rsidRPr="00CA4ABC">
              <w:rPr>
                <w:rFonts w:cstheme="minorHAnsi"/>
                <w:color w:val="000000" w:themeColor="text1"/>
                <w:sz w:val="20"/>
                <w:szCs w:val="20"/>
                <w:shd w:val="clear" w:color="auto" w:fill="FFFFFF"/>
              </w:rPr>
              <w:t>≥</w:t>
            </w:r>
            <w:r w:rsidRPr="00CA4ABC">
              <w:rPr>
                <w:rFonts w:cstheme="minorHAnsi"/>
                <w:color w:val="000000" w:themeColor="text1"/>
                <w:sz w:val="20"/>
                <w:szCs w:val="20"/>
              </w:rPr>
              <w:t>85% of  participants; Red – recommending to a friend by &lt;85% of participants.</w:t>
            </w:r>
          </w:p>
        </w:tc>
        <w:tc>
          <w:tcPr>
            <w:tcW w:w="6237" w:type="dxa"/>
            <w:shd w:val="clear" w:color="auto" w:fill="FF0000"/>
          </w:tcPr>
          <w:p w14:paraId="3F2A43CC" w14:textId="77777777" w:rsidR="007F5B0B" w:rsidRPr="00CA4ABC" w:rsidRDefault="007F5B0B">
            <w:pPr>
              <w:pStyle w:val="ListParagraph"/>
              <w:numPr>
                <w:ilvl w:val="0"/>
                <w:numId w:val="13"/>
              </w:numPr>
              <w:shd w:val="clear" w:color="auto" w:fill="FF0000"/>
              <w:rPr>
                <w:rFonts w:cstheme="minorHAnsi"/>
                <w:color w:val="000000" w:themeColor="text1"/>
                <w:sz w:val="20"/>
                <w:szCs w:val="20"/>
              </w:rPr>
            </w:pPr>
            <w:r w:rsidRPr="00CA4ABC">
              <w:rPr>
                <w:rFonts w:cstheme="minorHAnsi"/>
                <w:color w:val="000000" w:themeColor="text1"/>
                <w:sz w:val="20"/>
                <w:szCs w:val="20"/>
              </w:rPr>
              <w:t xml:space="preserve">Red, 43% of participants scored </w:t>
            </w:r>
            <w:r w:rsidRPr="00CA4ABC">
              <w:rPr>
                <w:rFonts w:cstheme="minorHAnsi"/>
                <w:color w:val="000000" w:themeColor="text1"/>
                <w:sz w:val="20"/>
                <w:szCs w:val="20"/>
                <w:shd w:val="clear" w:color="auto" w:fill="FF0000"/>
              </w:rPr>
              <w:t>palatability ≥3.</w:t>
            </w:r>
          </w:p>
          <w:p w14:paraId="5377BC0E" w14:textId="77777777" w:rsidR="007F5B0B" w:rsidRPr="00CA4ABC" w:rsidRDefault="007F5B0B">
            <w:pPr>
              <w:pStyle w:val="ListParagraph"/>
              <w:numPr>
                <w:ilvl w:val="0"/>
                <w:numId w:val="13"/>
              </w:numPr>
              <w:shd w:val="clear" w:color="auto" w:fill="FF0000"/>
              <w:rPr>
                <w:rFonts w:cstheme="minorHAnsi"/>
                <w:color w:val="000000" w:themeColor="text1"/>
                <w:sz w:val="20"/>
                <w:szCs w:val="20"/>
              </w:rPr>
            </w:pPr>
            <w:r w:rsidRPr="00CA4ABC">
              <w:rPr>
                <w:rFonts w:cstheme="minorHAnsi"/>
                <w:color w:val="000000" w:themeColor="text1"/>
                <w:sz w:val="20"/>
                <w:szCs w:val="20"/>
              </w:rPr>
              <w:t xml:space="preserve">Amber, 86% scored </w:t>
            </w:r>
            <w:r w:rsidRPr="00CA4ABC">
              <w:rPr>
                <w:rFonts w:cstheme="minorHAnsi"/>
                <w:color w:val="000000" w:themeColor="text1"/>
                <w:sz w:val="20"/>
                <w:szCs w:val="20"/>
                <w:shd w:val="clear" w:color="auto" w:fill="FF0000"/>
              </w:rPr>
              <w:t>texture ≥3</w:t>
            </w:r>
            <w:r w:rsidRPr="00CA4ABC">
              <w:rPr>
                <w:rFonts w:cstheme="minorHAnsi"/>
                <w:color w:val="000000" w:themeColor="text1"/>
                <w:sz w:val="20"/>
                <w:szCs w:val="20"/>
                <w:shd w:val="clear" w:color="auto" w:fill="FFFFFF"/>
              </w:rPr>
              <w:t xml:space="preserve"> </w:t>
            </w:r>
          </w:p>
          <w:p w14:paraId="337641D9" w14:textId="77777777" w:rsidR="007F5B0B" w:rsidRPr="00CA4ABC" w:rsidRDefault="007F5B0B">
            <w:pPr>
              <w:pStyle w:val="ListParagraph"/>
              <w:numPr>
                <w:ilvl w:val="0"/>
                <w:numId w:val="13"/>
              </w:numPr>
              <w:shd w:val="clear" w:color="auto" w:fill="FF0000"/>
              <w:rPr>
                <w:rFonts w:cstheme="minorHAnsi"/>
                <w:color w:val="000000" w:themeColor="text1"/>
                <w:sz w:val="20"/>
                <w:szCs w:val="20"/>
              </w:rPr>
            </w:pPr>
            <w:r w:rsidRPr="00CA4ABC">
              <w:rPr>
                <w:rFonts w:cstheme="minorHAnsi"/>
                <w:color w:val="000000" w:themeColor="text1"/>
                <w:sz w:val="20"/>
                <w:szCs w:val="20"/>
              </w:rPr>
              <w:t>Red, 86% of participants gave the supplement taste a score &lt;3.</w:t>
            </w:r>
          </w:p>
          <w:p w14:paraId="5AC8F6B9" w14:textId="77777777" w:rsidR="007F5B0B" w:rsidRPr="00CA4ABC" w:rsidRDefault="007F5B0B">
            <w:pPr>
              <w:pStyle w:val="ListParagraph"/>
              <w:numPr>
                <w:ilvl w:val="0"/>
                <w:numId w:val="13"/>
              </w:numPr>
              <w:shd w:val="clear" w:color="auto" w:fill="FF0000"/>
              <w:rPr>
                <w:rFonts w:cstheme="minorHAnsi"/>
                <w:color w:val="000000" w:themeColor="text1"/>
                <w:sz w:val="20"/>
                <w:szCs w:val="20"/>
              </w:rPr>
            </w:pPr>
            <w:r w:rsidRPr="00CA4ABC">
              <w:rPr>
                <w:rFonts w:cstheme="minorHAnsi"/>
                <w:color w:val="000000" w:themeColor="text1"/>
                <w:sz w:val="20"/>
                <w:szCs w:val="20"/>
              </w:rPr>
              <w:t>Red, one participant (14%) stated they would continue to take the supplement.</w:t>
            </w:r>
          </w:p>
        </w:tc>
      </w:tr>
      <w:tr w:rsidR="007F5B0B" w:rsidRPr="00CA4ABC" w14:paraId="766E6005" w14:textId="77777777" w:rsidTr="007E304C">
        <w:trPr>
          <w:trHeight w:val="762"/>
        </w:trPr>
        <w:tc>
          <w:tcPr>
            <w:tcW w:w="2127" w:type="dxa"/>
          </w:tcPr>
          <w:p w14:paraId="329CD623"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 xml:space="preserve">Avoidance of adverse events </w:t>
            </w:r>
          </w:p>
        </w:tc>
        <w:tc>
          <w:tcPr>
            <w:tcW w:w="7796" w:type="dxa"/>
          </w:tcPr>
          <w:p w14:paraId="45CFD894" w14:textId="77777777" w:rsidR="007F5B0B" w:rsidRPr="00CA4ABC" w:rsidRDefault="007F5B0B">
            <w:pPr>
              <w:pStyle w:val="ListParagraph"/>
              <w:numPr>
                <w:ilvl w:val="0"/>
                <w:numId w:val="8"/>
              </w:numPr>
              <w:rPr>
                <w:rFonts w:cstheme="minorHAnsi"/>
                <w:color w:val="000000" w:themeColor="text1"/>
                <w:sz w:val="20"/>
                <w:szCs w:val="20"/>
              </w:rPr>
            </w:pPr>
            <w:r w:rsidRPr="00CA4ABC">
              <w:rPr>
                <w:rFonts w:cstheme="minorHAnsi"/>
                <w:color w:val="000000" w:themeColor="text1"/>
                <w:sz w:val="20"/>
                <w:szCs w:val="20"/>
              </w:rPr>
              <w:t>No serious injuries from the exercise programme</w:t>
            </w:r>
          </w:p>
          <w:p w14:paraId="51B473C4" w14:textId="77777777" w:rsidR="007F5B0B" w:rsidRPr="00CA4ABC" w:rsidRDefault="007F5B0B">
            <w:pPr>
              <w:pStyle w:val="ListParagraph"/>
              <w:numPr>
                <w:ilvl w:val="0"/>
                <w:numId w:val="8"/>
              </w:numPr>
              <w:rPr>
                <w:rFonts w:cstheme="minorHAnsi"/>
                <w:color w:val="000000" w:themeColor="text1"/>
                <w:sz w:val="20"/>
                <w:szCs w:val="20"/>
              </w:rPr>
            </w:pPr>
            <w:r w:rsidRPr="00CA4ABC">
              <w:rPr>
                <w:rFonts w:cstheme="minorHAnsi"/>
                <w:color w:val="000000" w:themeColor="text1"/>
                <w:sz w:val="20"/>
                <w:szCs w:val="20"/>
              </w:rPr>
              <w:t>No adverse events from the nutrition supplement (nausea, stomach pains etc)</w:t>
            </w:r>
          </w:p>
          <w:p w14:paraId="12CA036B" w14:textId="77777777" w:rsidR="007F5B0B" w:rsidRPr="00CA4ABC" w:rsidRDefault="007F5B0B">
            <w:pPr>
              <w:pStyle w:val="ListParagraph"/>
              <w:numPr>
                <w:ilvl w:val="0"/>
                <w:numId w:val="8"/>
              </w:numPr>
              <w:rPr>
                <w:rFonts w:cstheme="minorHAnsi"/>
                <w:color w:val="000000" w:themeColor="text1"/>
                <w:sz w:val="20"/>
                <w:szCs w:val="20"/>
              </w:rPr>
            </w:pPr>
            <w:r w:rsidRPr="00CA4ABC">
              <w:rPr>
                <w:rFonts w:cstheme="minorHAnsi"/>
                <w:color w:val="000000" w:themeColor="text1"/>
                <w:sz w:val="20"/>
                <w:szCs w:val="20"/>
              </w:rPr>
              <w:t>No cessation of trial engagement as a result of adverse events</w:t>
            </w:r>
          </w:p>
        </w:tc>
        <w:tc>
          <w:tcPr>
            <w:tcW w:w="6237" w:type="dxa"/>
            <w:shd w:val="clear" w:color="auto" w:fill="92D050"/>
          </w:tcPr>
          <w:p w14:paraId="6AF1D1D9" w14:textId="77777777" w:rsidR="007F5B0B" w:rsidRPr="00CA4ABC" w:rsidRDefault="007F5B0B">
            <w:pPr>
              <w:pStyle w:val="ListParagraph"/>
              <w:numPr>
                <w:ilvl w:val="0"/>
                <w:numId w:val="8"/>
              </w:numPr>
              <w:rPr>
                <w:rFonts w:cstheme="minorHAnsi"/>
                <w:color w:val="000000" w:themeColor="text1"/>
                <w:sz w:val="20"/>
                <w:szCs w:val="20"/>
              </w:rPr>
            </w:pPr>
            <w:r w:rsidRPr="00CA4ABC">
              <w:rPr>
                <w:rFonts w:cstheme="minorHAnsi"/>
                <w:color w:val="000000" w:themeColor="text1"/>
                <w:sz w:val="20"/>
                <w:szCs w:val="20"/>
              </w:rPr>
              <w:t>MET, no serious injuries reported</w:t>
            </w:r>
          </w:p>
          <w:p w14:paraId="5A0C5197" w14:textId="34A4AC56" w:rsidR="007F5B0B" w:rsidRPr="00CA4ABC" w:rsidRDefault="007F5B0B">
            <w:pPr>
              <w:pStyle w:val="ListParagraph"/>
              <w:numPr>
                <w:ilvl w:val="0"/>
                <w:numId w:val="8"/>
              </w:numPr>
              <w:rPr>
                <w:rFonts w:cstheme="minorHAnsi"/>
                <w:color w:val="000000" w:themeColor="text1"/>
                <w:sz w:val="20"/>
                <w:szCs w:val="20"/>
              </w:rPr>
            </w:pPr>
            <w:r w:rsidRPr="00CA4ABC">
              <w:rPr>
                <w:rFonts w:cstheme="minorHAnsi"/>
                <w:color w:val="000000" w:themeColor="text1"/>
                <w:sz w:val="20"/>
                <w:szCs w:val="20"/>
              </w:rPr>
              <w:t>Not met - one event of stomach pains reported</w:t>
            </w:r>
            <w:r w:rsidR="00892D61" w:rsidRPr="00CA4ABC">
              <w:rPr>
                <w:rFonts w:cstheme="minorHAnsi"/>
                <w:color w:val="000000" w:themeColor="text1"/>
                <w:sz w:val="20"/>
                <w:szCs w:val="20"/>
              </w:rPr>
              <w:t xml:space="preserve"> after trial, but this was unclear if it was linked to the supplement</w:t>
            </w:r>
          </w:p>
          <w:p w14:paraId="25A2ED17" w14:textId="77777777" w:rsidR="007F5B0B" w:rsidRPr="00CA4ABC" w:rsidRDefault="007F5B0B">
            <w:pPr>
              <w:pStyle w:val="ListParagraph"/>
              <w:numPr>
                <w:ilvl w:val="0"/>
                <w:numId w:val="8"/>
              </w:numPr>
              <w:rPr>
                <w:rFonts w:cstheme="minorHAnsi"/>
                <w:color w:val="000000" w:themeColor="text1"/>
                <w:sz w:val="20"/>
                <w:szCs w:val="20"/>
              </w:rPr>
            </w:pPr>
            <w:r w:rsidRPr="00CA4ABC">
              <w:rPr>
                <w:rFonts w:cstheme="minorHAnsi"/>
                <w:color w:val="000000" w:themeColor="text1"/>
                <w:sz w:val="20"/>
                <w:szCs w:val="20"/>
              </w:rPr>
              <w:t>MET, no trial dropouts.</w:t>
            </w:r>
          </w:p>
        </w:tc>
      </w:tr>
      <w:tr w:rsidR="007F5B0B" w:rsidRPr="00CA4ABC" w14:paraId="354768FA" w14:textId="77777777" w:rsidTr="008631C7">
        <w:trPr>
          <w:trHeight w:val="841"/>
        </w:trPr>
        <w:tc>
          <w:tcPr>
            <w:tcW w:w="2127" w:type="dxa"/>
          </w:tcPr>
          <w:p w14:paraId="0366A9C3" w14:textId="77777777" w:rsidR="007F5B0B" w:rsidRPr="00CA4ABC" w:rsidRDefault="007F5B0B" w:rsidP="00803CD7">
            <w:pPr>
              <w:rPr>
                <w:rFonts w:cstheme="minorHAnsi"/>
                <w:b/>
                <w:bCs/>
                <w:color w:val="000000" w:themeColor="text1"/>
                <w:sz w:val="20"/>
                <w:szCs w:val="20"/>
              </w:rPr>
            </w:pPr>
            <w:r w:rsidRPr="00CA4ABC">
              <w:rPr>
                <w:rFonts w:cstheme="minorHAnsi"/>
                <w:b/>
                <w:bCs/>
                <w:color w:val="000000" w:themeColor="text1"/>
                <w:sz w:val="20"/>
                <w:szCs w:val="20"/>
              </w:rPr>
              <w:t>Feasibility and acceptability of the outcomes</w:t>
            </w:r>
          </w:p>
        </w:tc>
        <w:tc>
          <w:tcPr>
            <w:tcW w:w="7796" w:type="dxa"/>
          </w:tcPr>
          <w:p w14:paraId="148B60C1" w14:textId="77777777" w:rsidR="007F5B0B" w:rsidRPr="00CA4ABC" w:rsidRDefault="007F5B0B">
            <w:pPr>
              <w:pStyle w:val="ListParagraph"/>
              <w:numPr>
                <w:ilvl w:val="0"/>
                <w:numId w:val="10"/>
              </w:numPr>
              <w:rPr>
                <w:rFonts w:cstheme="minorHAnsi"/>
                <w:color w:val="000000" w:themeColor="text1"/>
                <w:sz w:val="20"/>
                <w:szCs w:val="20"/>
              </w:rPr>
            </w:pPr>
            <w:r w:rsidRPr="00CA4ABC">
              <w:rPr>
                <w:rFonts w:cstheme="minorHAnsi"/>
                <w:color w:val="000000" w:themeColor="text1"/>
                <w:sz w:val="20"/>
                <w:szCs w:val="20"/>
              </w:rPr>
              <w:t>Increases in OMNI-rise scores by 100% of participants</w:t>
            </w:r>
          </w:p>
          <w:p w14:paraId="420B8775" w14:textId="77777777" w:rsidR="007F5B0B" w:rsidRPr="00CA4ABC" w:rsidRDefault="007F5B0B">
            <w:pPr>
              <w:pStyle w:val="ListParagraph"/>
              <w:numPr>
                <w:ilvl w:val="0"/>
                <w:numId w:val="10"/>
              </w:numPr>
              <w:rPr>
                <w:rFonts w:cstheme="minorHAnsi"/>
                <w:color w:val="000000" w:themeColor="text1"/>
                <w:sz w:val="20"/>
                <w:szCs w:val="20"/>
              </w:rPr>
            </w:pPr>
            <w:r w:rsidRPr="00CA4ABC">
              <w:rPr>
                <w:rFonts w:cstheme="minorHAnsi"/>
                <w:color w:val="000000" w:themeColor="text1"/>
                <w:sz w:val="20"/>
                <w:szCs w:val="20"/>
              </w:rPr>
              <w:t>Advancing in band colour by 100% of participants</w:t>
            </w:r>
          </w:p>
          <w:p w14:paraId="4F5867F3" w14:textId="77777777" w:rsidR="007F5B0B" w:rsidRPr="00CA4ABC" w:rsidRDefault="007F5B0B">
            <w:pPr>
              <w:pStyle w:val="ListParagraph"/>
              <w:numPr>
                <w:ilvl w:val="0"/>
                <w:numId w:val="10"/>
              </w:numPr>
              <w:rPr>
                <w:rFonts w:cstheme="minorHAnsi"/>
                <w:color w:val="000000" w:themeColor="text1"/>
                <w:sz w:val="20"/>
                <w:szCs w:val="20"/>
              </w:rPr>
            </w:pPr>
            <w:r w:rsidRPr="00CA4ABC">
              <w:rPr>
                <w:rFonts w:cstheme="minorHAnsi"/>
                <w:color w:val="000000" w:themeColor="text1"/>
                <w:sz w:val="20"/>
                <w:szCs w:val="20"/>
              </w:rPr>
              <w:t xml:space="preserve">Participants stating that they felt like their strength had increased </w:t>
            </w:r>
          </w:p>
        </w:tc>
        <w:tc>
          <w:tcPr>
            <w:tcW w:w="6237" w:type="dxa"/>
            <w:shd w:val="clear" w:color="auto" w:fill="92D050"/>
          </w:tcPr>
          <w:p w14:paraId="0D98A3F5" w14:textId="77777777" w:rsidR="007F5B0B" w:rsidRPr="00CA4ABC" w:rsidRDefault="007F5B0B">
            <w:pPr>
              <w:pStyle w:val="ListParagraph"/>
              <w:numPr>
                <w:ilvl w:val="0"/>
                <w:numId w:val="10"/>
              </w:numPr>
              <w:rPr>
                <w:rFonts w:cstheme="minorHAnsi"/>
                <w:color w:val="000000" w:themeColor="text1"/>
                <w:sz w:val="20"/>
                <w:szCs w:val="20"/>
              </w:rPr>
            </w:pPr>
            <w:r w:rsidRPr="00CA4ABC">
              <w:rPr>
                <w:rFonts w:cstheme="minorHAnsi"/>
                <w:color w:val="000000" w:themeColor="text1"/>
                <w:sz w:val="20"/>
                <w:szCs w:val="20"/>
              </w:rPr>
              <w:t>MET for both OMNI-Rise score and band colour increases.</w:t>
            </w:r>
          </w:p>
          <w:p w14:paraId="33D696D7" w14:textId="77777777" w:rsidR="007F5B0B" w:rsidRPr="00CA4ABC" w:rsidRDefault="007F5B0B">
            <w:pPr>
              <w:pStyle w:val="ListParagraph"/>
              <w:numPr>
                <w:ilvl w:val="0"/>
                <w:numId w:val="10"/>
              </w:numPr>
              <w:rPr>
                <w:rFonts w:cstheme="minorHAnsi"/>
                <w:color w:val="000000" w:themeColor="text1"/>
                <w:sz w:val="20"/>
                <w:szCs w:val="20"/>
              </w:rPr>
            </w:pPr>
            <w:r w:rsidRPr="00CA4ABC">
              <w:rPr>
                <w:rFonts w:cstheme="minorHAnsi"/>
                <w:color w:val="000000" w:themeColor="text1"/>
                <w:sz w:val="20"/>
                <w:szCs w:val="20"/>
              </w:rPr>
              <w:t>70% felt their strength had increased.</w:t>
            </w:r>
          </w:p>
          <w:p w14:paraId="4A658FB8" w14:textId="77777777" w:rsidR="007F5B0B" w:rsidRPr="00CA4ABC" w:rsidRDefault="007F5B0B" w:rsidP="00803CD7">
            <w:pPr>
              <w:rPr>
                <w:rFonts w:cstheme="minorHAnsi"/>
                <w:color w:val="000000" w:themeColor="text1"/>
                <w:sz w:val="20"/>
                <w:szCs w:val="20"/>
              </w:rPr>
            </w:pPr>
          </w:p>
        </w:tc>
      </w:tr>
    </w:tbl>
    <w:p w14:paraId="0F92FE37" w14:textId="77777777" w:rsidR="007F5B0B" w:rsidRPr="00CA4ABC" w:rsidRDefault="007F5B0B" w:rsidP="007F5B0B">
      <w:pPr>
        <w:rPr>
          <w:rFonts w:cstheme="minorHAnsi"/>
          <w:color w:val="000000" w:themeColor="text1"/>
        </w:rPr>
      </w:pPr>
    </w:p>
    <w:p w14:paraId="152F2AB9" w14:textId="4FC28FD9" w:rsidR="007F5B0B" w:rsidRPr="00A55697" w:rsidRDefault="007F5B0B" w:rsidP="007F5B0B">
      <w:pPr>
        <w:pStyle w:val="Caption"/>
        <w:rPr>
          <w:rFonts w:cstheme="minorHAnsi"/>
          <w:i w:val="0"/>
          <w:iCs w:val="0"/>
          <w:color w:val="000000" w:themeColor="text1"/>
          <w:sz w:val="24"/>
          <w:szCs w:val="24"/>
        </w:rPr>
        <w:sectPr w:rsidR="007F5B0B" w:rsidRPr="00A55697" w:rsidSect="00DB6ED5">
          <w:pgSz w:w="16840" w:h="11900" w:orient="landscape"/>
          <w:pgMar w:top="1440" w:right="1440" w:bottom="1440" w:left="1440" w:header="708" w:footer="708" w:gutter="0"/>
          <w:cols w:space="708"/>
          <w:docGrid w:linePitch="360"/>
        </w:sectPr>
      </w:pPr>
      <w:bookmarkStart w:id="288" w:name="_Toc122956589"/>
      <w:r w:rsidRPr="00532B46">
        <w:rPr>
          <w:rFonts w:cstheme="minorHAnsi"/>
          <w:i w:val="0"/>
          <w:iCs w:val="0"/>
          <w:color w:val="000000" w:themeColor="text1"/>
          <w:sz w:val="24"/>
          <w:szCs w:val="24"/>
        </w:rPr>
        <w:t>T</w:t>
      </w:r>
      <w:bookmarkStart w:id="289" w:name="_Ref122447349"/>
      <w:r w:rsidRPr="00532B46">
        <w:rPr>
          <w:rFonts w:cstheme="minorHAnsi"/>
          <w:i w:val="0"/>
          <w:iCs w:val="0"/>
          <w:color w:val="000000" w:themeColor="text1"/>
          <w:sz w:val="24"/>
          <w:szCs w:val="24"/>
        </w:rPr>
        <w:t xml:space="preserve">able </w:t>
      </w:r>
      <w:r w:rsidRPr="00532B46">
        <w:rPr>
          <w:rFonts w:cstheme="minorHAnsi"/>
          <w:i w:val="0"/>
          <w:iCs w:val="0"/>
          <w:color w:val="000000" w:themeColor="text1"/>
          <w:sz w:val="24"/>
          <w:szCs w:val="24"/>
        </w:rPr>
        <w:fldChar w:fldCharType="begin"/>
      </w:r>
      <w:r w:rsidRPr="00532B46">
        <w:rPr>
          <w:rFonts w:cstheme="minorHAnsi"/>
          <w:i w:val="0"/>
          <w:iCs w:val="0"/>
          <w:color w:val="000000" w:themeColor="text1"/>
          <w:sz w:val="24"/>
          <w:szCs w:val="24"/>
        </w:rPr>
        <w:instrText xml:space="preserve"> SEQ Table \* ARABIC </w:instrText>
      </w:r>
      <w:r w:rsidRPr="00532B46">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19</w:t>
      </w:r>
      <w:r w:rsidRPr="00532B46">
        <w:rPr>
          <w:rFonts w:cstheme="minorHAnsi"/>
          <w:i w:val="0"/>
          <w:iCs w:val="0"/>
          <w:color w:val="000000" w:themeColor="text1"/>
          <w:sz w:val="24"/>
          <w:szCs w:val="24"/>
        </w:rPr>
        <w:fldChar w:fldCharType="end"/>
      </w:r>
      <w:bookmarkEnd w:id="289"/>
      <w:r w:rsidR="00A55697" w:rsidRPr="00532B46">
        <w:rPr>
          <w:rFonts w:cstheme="minorHAnsi"/>
          <w:i w:val="0"/>
          <w:iCs w:val="0"/>
          <w:color w:val="000000" w:themeColor="text1"/>
          <w:sz w:val="24"/>
          <w:szCs w:val="24"/>
        </w:rPr>
        <w:t>.</w:t>
      </w:r>
      <w:r w:rsidR="00A55697" w:rsidRPr="00A55697">
        <w:rPr>
          <w:rFonts w:cstheme="minorHAnsi"/>
          <w:i w:val="0"/>
          <w:iCs w:val="0"/>
          <w:color w:val="000000" w:themeColor="text1"/>
          <w:sz w:val="24"/>
          <w:szCs w:val="24"/>
        </w:rPr>
        <w:t xml:space="preserve"> </w:t>
      </w:r>
      <w:r w:rsidRPr="00A55697">
        <w:rPr>
          <w:rFonts w:cstheme="minorHAnsi"/>
          <w:i w:val="0"/>
          <w:iCs w:val="0"/>
          <w:color w:val="000000" w:themeColor="text1"/>
          <w:sz w:val="24"/>
          <w:szCs w:val="24"/>
        </w:rPr>
        <w:t>RAG criteria for progressing from a feasibility trial to a full-scale complex intervention trial.</w:t>
      </w:r>
      <w:bookmarkEnd w:id="288"/>
    </w:p>
    <w:p w14:paraId="3568ECD9" w14:textId="198D1DF0" w:rsidR="004C12CF" w:rsidRPr="00CA4ABC" w:rsidRDefault="004C12CF" w:rsidP="004053D7">
      <w:pPr>
        <w:pStyle w:val="Heading3"/>
        <w:spacing w:line="360" w:lineRule="auto"/>
        <w:rPr>
          <w:rFonts w:asciiTheme="minorHAnsi" w:hAnsiTheme="minorHAnsi" w:cstheme="minorHAnsi"/>
          <w:color w:val="000000" w:themeColor="text1"/>
        </w:rPr>
      </w:pPr>
      <w:bookmarkStart w:id="290" w:name="_Toc135384367"/>
      <w:bookmarkStart w:id="291" w:name="OLE_LINK3"/>
      <w:bookmarkStart w:id="292" w:name="OLE_LINK4"/>
      <w:r w:rsidRPr="00CA4ABC">
        <w:rPr>
          <w:rFonts w:asciiTheme="minorHAnsi" w:hAnsiTheme="minorHAnsi" w:cstheme="minorHAnsi"/>
          <w:color w:val="000000" w:themeColor="text1"/>
        </w:rPr>
        <w:lastRenderedPageBreak/>
        <w:t>5.3.</w:t>
      </w:r>
      <w:r w:rsidR="007F5B0B" w:rsidRPr="00CA4ABC">
        <w:rPr>
          <w:rFonts w:asciiTheme="minorHAnsi" w:hAnsiTheme="minorHAnsi" w:cstheme="minorHAnsi"/>
          <w:color w:val="000000" w:themeColor="text1"/>
        </w:rPr>
        <w:t>3 Further</w:t>
      </w:r>
      <w:r w:rsidRPr="00CA4ABC">
        <w:rPr>
          <w:rFonts w:asciiTheme="minorHAnsi" w:hAnsiTheme="minorHAnsi" w:cstheme="minorHAnsi"/>
          <w:color w:val="000000" w:themeColor="text1"/>
        </w:rPr>
        <w:t xml:space="preserve"> </w:t>
      </w:r>
      <w:r w:rsidR="007F5B0B" w:rsidRPr="00CA4ABC">
        <w:rPr>
          <w:rFonts w:asciiTheme="minorHAnsi" w:hAnsiTheme="minorHAnsi" w:cstheme="minorHAnsi"/>
          <w:color w:val="000000" w:themeColor="text1"/>
        </w:rPr>
        <w:t>p</w:t>
      </w:r>
      <w:r w:rsidRPr="00CA4ABC">
        <w:rPr>
          <w:rFonts w:asciiTheme="minorHAnsi" w:hAnsiTheme="minorHAnsi" w:cstheme="minorHAnsi"/>
          <w:color w:val="000000" w:themeColor="text1"/>
        </w:rPr>
        <w:t>rimary outcomes measurements</w:t>
      </w:r>
      <w:bookmarkEnd w:id="290"/>
    </w:p>
    <w:p w14:paraId="31389E64" w14:textId="6CB19235" w:rsidR="004C12CF" w:rsidRPr="00CA4ABC" w:rsidRDefault="004C12CF" w:rsidP="00357DD3">
      <w:pPr>
        <w:pStyle w:val="Heading3"/>
        <w:spacing w:line="360" w:lineRule="auto"/>
        <w:rPr>
          <w:rFonts w:asciiTheme="minorHAnsi" w:hAnsiTheme="minorHAnsi" w:cstheme="minorHAnsi"/>
          <w:color w:val="000000" w:themeColor="text1"/>
        </w:rPr>
      </w:pPr>
      <w:bookmarkStart w:id="293" w:name="_Toc135384368"/>
      <w:r w:rsidRPr="00CA4ABC">
        <w:rPr>
          <w:rFonts w:asciiTheme="minorHAnsi" w:hAnsiTheme="minorHAnsi" w:cstheme="minorHAnsi"/>
          <w:color w:val="000000" w:themeColor="text1"/>
        </w:rPr>
        <w:t>5.3.</w:t>
      </w:r>
      <w:r w:rsidR="007F5B0B" w:rsidRPr="00CA4ABC">
        <w:rPr>
          <w:rFonts w:asciiTheme="minorHAnsi" w:hAnsiTheme="minorHAnsi" w:cstheme="minorHAnsi"/>
          <w:color w:val="000000" w:themeColor="text1"/>
        </w:rPr>
        <w:t>3</w:t>
      </w:r>
      <w:r w:rsidRPr="00CA4ABC">
        <w:rPr>
          <w:rFonts w:asciiTheme="minorHAnsi" w:hAnsiTheme="minorHAnsi" w:cstheme="minorHAnsi"/>
          <w:color w:val="000000" w:themeColor="text1"/>
        </w:rPr>
        <w:t>.1 Participant recruitment, retention and randomisation</w:t>
      </w:r>
      <w:bookmarkEnd w:id="293"/>
      <w:r w:rsidRPr="00CA4ABC">
        <w:rPr>
          <w:rFonts w:asciiTheme="minorHAnsi" w:hAnsiTheme="minorHAnsi" w:cstheme="minorHAnsi"/>
          <w:color w:val="000000" w:themeColor="text1"/>
        </w:rPr>
        <w:t xml:space="preserve"> </w:t>
      </w:r>
    </w:p>
    <w:p w14:paraId="64211DF8" w14:textId="0B129A00" w:rsidR="004C12CF" w:rsidRPr="00CA4ABC" w:rsidRDefault="004C12CF" w:rsidP="00357DD3">
      <w:pPr>
        <w:spacing w:line="360" w:lineRule="auto"/>
        <w:ind w:firstLine="720"/>
        <w:rPr>
          <w:rFonts w:cstheme="minorHAnsi"/>
          <w:color w:val="000000" w:themeColor="text1"/>
        </w:rPr>
      </w:pPr>
      <w:r w:rsidRPr="00CA4ABC">
        <w:rPr>
          <w:rFonts w:cstheme="minorHAnsi"/>
          <w:color w:val="000000" w:themeColor="text1"/>
        </w:rPr>
        <w:t xml:space="preserve">Thirty-two participants showed an expression of interest in taking part in the study, during the recruitment window (either via Facebook messenger or email) and were sent a participant information sheet. </w:t>
      </w:r>
      <w:r w:rsidR="0017120A" w:rsidRPr="00CA4ABC">
        <w:rPr>
          <w:rFonts w:cstheme="minorHAnsi"/>
          <w:color w:val="000000" w:themeColor="text1"/>
        </w:rPr>
        <w:t>Thirteen individuals continued to show interest in the trial, but o</w:t>
      </w:r>
      <w:r w:rsidRPr="00CA4ABC">
        <w:rPr>
          <w:rFonts w:cstheme="minorHAnsi"/>
          <w:color w:val="000000" w:themeColor="text1"/>
        </w:rPr>
        <w:t xml:space="preserve">ne volunteer </w:t>
      </w:r>
      <w:r w:rsidR="0017120A" w:rsidRPr="00CA4ABC">
        <w:rPr>
          <w:rFonts w:cstheme="minorHAnsi"/>
          <w:color w:val="000000" w:themeColor="text1"/>
        </w:rPr>
        <w:t xml:space="preserve">stopped responding </w:t>
      </w:r>
      <w:r w:rsidRPr="00CA4ABC">
        <w:rPr>
          <w:rFonts w:cstheme="minorHAnsi"/>
          <w:color w:val="000000" w:themeColor="text1"/>
        </w:rPr>
        <w:t>to emails, so informed consent could not be obtained. In total, informed consent and baseline measurements were collect</w:t>
      </w:r>
      <w:r w:rsidR="001C28D6" w:rsidRPr="00CA4ABC">
        <w:rPr>
          <w:rFonts w:cstheme="minorHAnsi"/>
          <w:color w:val="000000" w:themeColor="text1"/>
        </w:rPr>
        <w:t>ed</w:t>
      </w:r>
      <w:r w:rsidRPr="00CA4ABC">
        <w:rPr>
          <w:rFonts w:cstheme="minorHAnsi"/>
          <w:color w:val="000000" w:themeColor="text1"/>
        </w:rPr>
        <w:t xml:space="preserve"> from </w:t>
      </w:r>
      <w:r w:rsidR="0022448C" w:rsidRPr="00CA4ABC">
        <w:rPr>
          <w:rFonts w:cstheme="minorHAnsi"/>
          <w:color w:val="000000" w:themeColor="text1"/>
        </w:rPr>
        <w:t>twelve</w:t>
      </w:r>
      <w:r w:rsidRPr="00CA4ABC">
        <w:rPr>
          <w:rFonts w:cstheme="minorHAnsi"/>
          <w:color w:val="000000" w:themeColor="text1"/>
        </w:rPr>
        <w:t xml:space="preserve"> individuals but one participant dropped out, </w:t>
      </w:r>
      <w:r w:rsidR="00D942B5" w:rsidRPr="00CA4ABC">
        <w:rPr>
          <w:rFonts w:cstheme="minorHAnsi"/>
          <w:color w:val="000000" w:themeColor="text1"/>
        </w:rPr>
        <w:t>before</w:t>
      </w:r>
      <w:r w:rsidRPr="00CA4ABC">
        <w:rPr>
          <w:rFonts w:cstheme="minorHAnsi"/>
          <w:color w:val="000000" w:themeColor="text1"/>
        </w:rPr>
        <w:t xml:space="preserve"> the intervention commenc</w:t>
      </w:r>
      <w:r w:rsidR="00831759">
        <w:rPr>
          <w:rFonts w:cstheme="minorHAnsi"/>
          <w:color w:val="000000" w:themeColor="text1"/>
        </w:rPr>
        <w:t>ed</w:t>
      </w:r>
      <w:r w:rsidRPr="00CA4ABC">
        <w:rPr>
          <w:rFonts w:cstheme="minorHAnsi"/>
          <w:color w:val="000000" w:themeColor="text1"/>
        </w:rPr>
        <w:t>, due to an injury</w:t>
      </w:r>
      <w:r w:rsidR="0017120A" w:rsidRPr="00CA4ABC">
        <w:rPr>
          <w:rFonts w:cstheme="minorHAnsi"/>
          <w:color w:val="000000" w:themeColor="text1"/>
        </w:rPr>
        <w:t xml:space="preserve">. </w:t>
      </w:r>
      <w:r w:rsidRPr="00CA4ABC">
        <w:rPr>
          <w:rFonts w:cstheme="minorHAnsi"/>
          <w:color w:val="000000" w:themeColor="text1"/>
        </w:rPr>
        <w:t>From those who started the 6-week programme (n=11), 100% remained engaged in the trial, returned for their follow-up measurements and returned their study documentation. The consort flow diagram (</w:t>
      </w:r>
      <w:r w:rsidRPr="00CA4ABC">
        <w:rPr>
          <w:rFonts w:cstheme="minorHAnsi"/>
          <w:color w:val="000000" w:themeColor="text1"/>
        </w:rPr>
        <w:fldChar w:fldCharType="begin"/>
      </w:r>
      <w:r w:rsidRPr="00CA4ABC">
        <w:rPr>
          <w:rFonts w:cstheme="minorHAnsi"/>
          <w:color w:val="000000" w:themeColor="text1"/>
        </w:rPr>
        <w:instrText xml:space="preserve"> REF _Ref122446582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16</w:t>
      </w:r>
      <w:r w:rsidRPr="00CA4ABC">
        <w:rPr>
          <w:rFonts w:cstheme="minorHAnsi"/>
          <w:color w:val="000000" w:themeColor="text1"/>
        </w:rPr>
        <w:fldChar w:fldCharType="end"/>
      </w:r>
      <w:r w:rsidRPr="00CA4ABC">
        <w:rPr>
          <w:rFonts w:cstheme="minorHAnsi"/>
          <w:color w:val="000000" w:themeColor="text1"/>
        </w:rPr>
        <w:t>) shows participant recruitment and the allocation to each study arm (</w:t>
      </w:r>
      <w:r w:rsidRPr="00CA4ABC">
        <w:rPr>
          <w:rFonts w:cstheme="minorHAnsi"/>
          <w:color w:val="000000" w:themeColor="text1"/>
          <w:highlight w:val="cyan"/>
        </w:rPr>
        <w:fldChar w:fldCharType="begin"/>
      </w:r>
      <w:r w:rsidRPr="00CA4ABC">
        <w:rPr>
          <w:rFonts w:cstheme="minorHAnsi"/>
          <w:color w:val="000000" w:themeColor="text1"/>
        </w:rPr>
        <w:instrText xml:space="preserve"> REF _Ref122446603 \h </w:instrText>
      </w:r>
      <w:r w:rsidRPr="00CA4ABC">
        <w:rPr>
          <w:rFonts w:cstheme="minorHAnsi"/>
          <w:color w:val="000000" w:themeColor="text1"/>
          <w:highlight w:val="cyan"/>
        </w:rPr>
        <w:instrText xml:space="preserve"> \* MERGEFORMAT </w:instrText>
      </w:r>
      <w:r w:rsidRPr="00CA4ABC">
        <w:rPr>
          <w:rFonts w:cstheme="minorHAnsi"/>
          <w:color w:val="000000" w:themeColor="text1"/>
          <w:highlight w:val="cyan"/>
        </w:rPr>
      </w:r>
      <w:r w:rsidRPr="00CA4ABC">
        <w:rPr>
          <w:rFonts w:cstheme="minorHAnsi"/>
          <w:color w:val="000000" w:themeColor="text1"/>
          <w:highlight w:val="cyan"/>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18</w:t>
      </w:r>
      <w:r w:rsidRPr="00CA4ABC">
        <w:rPr>
          <w:rFonts w:cstheme="minorHAnsi"/>
          <w:color w:val="000000" w:themeColor="text1"/>
          <w:highlight w:val="cyan"/>
        </w:rPr>
        <w:fldChar w:fldCharType="end"/>
      </w:r>
      <w:r w:rsidRPr="00CA4ABC">
        <w:rPr>
          <w:rFonts w:cstheme="minorHAnsi"/>
          <w:color w:val="000000" w:themeColor="text1"/>
        </w:rPr>
        <w:t>.) There was also some continued interest after recruitment has stopped. Appendix 23 shows</w:t>
      </w:r>
      <w:r w:rsidR="00D942B5" w:rsidRPr="00CA4ABC">
        <w:rPr>
          <w:rFonts w:cstheme="minorHAnsi"/>
          <w:color w:val="000000" w:themeColor="text1"/>
        </w:rPr>
        <w:t xml:space="preserve"> </w:t>
      </w:r>
      <w:r w:rsidRPr="00CA4ABC">
        <w:rPr>
          <w:rFonts w:cstheme="minorHAnsi"/>
          <w:color w:val="000000" w:themeColor="text1"/>
        </w:rPr>
        <w:t xml:space="preserve">the Facebook advert engagement. </w:t>
      </w:r>
    </w:p>
    <w:p w14:paraId="6587A369" w14:textId="77777777" w:rsidR="004C12CF" w:rsidRPr="00CA4ABC" w:rsidRDefault="004C12CF" w:rsidP="004053D7">
      <w:pPr>
        <w:pStyle w:val="MDPI52figure"/>
        <w:spacing w:line="360" w:lineRule="auto"/>
        <w:jc w:val="left"/>
        <w:rPr>
          <w:rFonts w:asciiTheme="minorHAnsi" w:hAnsiTheme="minorHAnsi" w:cstheme="minorHAnsi"/>
          <w:b/>
          <w:bCs/>
          <w:color w:val="000000" w:themeColor="text1"/>
          <w:sz w:val="24"/>
          <w:szCs w:val="24"/>
        </w:rPr>
      </w:pPr>
      <w:r w:rsidRPr="00CA4ABC">
        <w:rPr>
          <w:rFonts w:asciiTheme="minorHAnsi" w:hAnsiTheme="minorHAnsi" w:cstheme="minorHAnsi"/>
          <w:b/>
          <w:bCs/>
          <w:noProof/>
          <w:color w:val="000000" w:themeColor="text1"/>
          <w:sz w:val="24"/>
          <w:szCs w:val="24"/>
          <w:lang w:val="en-GB"/>
        </w:rPr>
        <w:lastRenderedPageBreak/>
        <w:drawing>
          <wp:inline distT="0" distB="0" distL="0" distR="0" wp14:anchorId="7AA96FB9" wp14:editId="333A768B">
            <wp:extent cx="4950823" cy="5151686"/>
            <wp:effectExtent l="0" t="0" r="2540" b="5080"/>
            <wp:docPr id="75" name="Picture 4" descr="Diagram&#10;&#10;Description automatically generated">
              <a:extLst xmlns:a="http://schemas.openxmlformats.org/drawingml/2006/main">
                <a:ext uri="{FF2B5EF4-FFF2-40B4-BE49-F238E27FC236}">
                  <a16:creationId xmlns:a16="http://schemas.microsoft.com/office/drawing/2014/main" id="{681F27EC-2FB6-51CA-EB1C-16391D613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Diagram&#10;&#10;Description automatically generated">
                      <a:extLst>
                        <a:ext uri="{FF2B5EF4-FFF2-40B4-BE49-F238E27FC236}">
                          <a16:creationId xmlns:a16="http://schemas.microsoft.com/office/drawing/2014/main" id="{681F27EC-2FB6-51CA-EB1C-16391D613357}"/>
                        </a:ext>
                      </a:extLst>
                    </pic:cNvPr>
                    <pic:cNvPicPr>
                      <a:picLocks noChangeAspect="1"/>
                    </pic:cNvPicPr>
                  </pic:nvPicPr>
                  <pic:blipFill rotWithShape="1">
                    <a:blip r:embed="rId45"/>
                    <a:srcRect l="3559" b="1361"/>
                    <a:stretch/>
                  </pic:blipFill>
                  <pic:spPr>
                    <a:xfrm>
                      <a:off x="0" y="0"/>
                      <a:ext cx="4963576" cy="5164956"/>
                    </a:xfrm>
                    <a:prstGeom prst="rect">
                      <a:avLst/>
                    </a:prstGeom>
                  </pic:spPr>
                </pic:pic>
              </a:graphicData>
            </a:graphic>
          </wp:inline>
        </w:drawing>
      </w:r>
    </w:p>
    <w:p w14:paraId="7258B118" w14:textId="52DD254E" w:rsidR="004C12CF" w:rsidRPr="00A55697" w:rsidRDefault="004C12CF" w:rsidP="00357DD3">
      <w:pPr>
        <w:pStyle w:val="Caption"/>
        <w:spacing w:line="360" w:lineRule="auto"/>
        <w:rPr>
          <w:rFonts w:cstheme="minorHAnsi"/>
          <w:i w:val="0"/>
          <w:iCs w:val="0"/>
          <w:color w:val="000000" w:themeColor="text1"/>
          <w:sz w:val="24"/>
          <w:szCs w:val="24"/>
        </w:rPr>
      </w:pPr>
      <w:bookmarkStart w:id="294" w:name="_Ref122446582"/>
      <w:bookmarkStart w:id="295" w:name="_Toc127044195"/>
      <w:bookmarkStart w:id="296" w:name="_Toc127978479"/>
      <w:r w:rsidRPr="00A55697">
        <w:rPr>
          <w:rFonts w:cstheme="minorHAnsi"/>
          <w:i w:val="0"/>
          <w:iCs w:val="0"/>
          <w:color w:val="000000" w:themeColor="text1"/>
          <w:sz w:val="24"/>
          <w:szCs w:val="24"/>
        </w:rPr>
        <w:t xml:space="preserve">Figure </w:t>
      </w:r>
      <w:r w:rsidRPr="00A55697">
        <w:rPr>
          <w:rFonts w:cstheme="minorHAnsi"/>
          <w:i w:val="0"/>
          <w:iCs w:val="0"/>
          <w:color w:val="000000" w:themeColor="text1"/>
          <w:sz w:val="24"/>
          <w:szCs w:val="24"/>
        </w:rPr>
        <w:fldChar w:fldCharType="begin"/>
      </w:r>
      <w:r w:rsidRPr="00A55697">
        <w:rPr>
          <w:rFonts w:cstheme="minorHAnsi"/>
          <w:i w:val="0"/>
          <w:iCs w:val="0"/>
          <w:color w:val="000000" w:themeColor="text1"/>
          <w:sz w:val="24"/>
          <w:szCs w:val="24"/>
        </w:rPr>
        <w:instrText xml:space="preserve"> SEQ Figure \* ARABIC </w:instrText>
      </w:r>
      <w:r w:rsidRPr="00A55697">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19</w:t>
      </w:r>
      <w:r w:rsidRPr="00A55697">
        <w:rPr>
          <w:rFonts w:cstheme="minorHAnsi"/>
          <w:i w:val="0"/>
          <w:iCs w:val="0"/>
          <w:color w:val="000000" w:themeColor="text1"/>
          <w:sz w:val="24"/>
          <w:szCs w:val="24"/>
        </w:rPr>
        <w:fldChar w:fldCharType="end"/>
      </w:r>
      <w:bookmarkEnd w:id="294"/>
      <w:r w:rsidR="00A55697" w:rsidRPr="00A55697">
        <w:rPr>
          <w:rFonts w:cstheme="minorHAnsi"/>
          <w:i w:val="0"/>
          <w:iCs w:val="0"/>
          <w:color w:val="000000" w:themeColor="text1"/>
          <w:sz w:val="24"/>
          <w:szCs w:val="24"/>
        </w:rPr>
        <w:t xml:space="preserve">. </w:t>
      </w:r>
      <w:r w:rsidRPr="00A55697">
        <w:rPr>
          <w:rFonts w:cstheme="minorHAnsi"/>
          <w:i w:val="0"/>
          <w:iCs w:val="0"/>
          <w:color w:val="000000" w:themeColor="text1"/>
          <w:sz w:val="24"/>
          <w:szCs w:val="24"/>
        </w:rPr>
        <w:t xml:space="preserve">Flow diagram to show participant </w:t>
      </w:r>
      <w:r w:rsidR="00A55697" w:rsidRPr="00A55697">
        <w:rPr>
          <w:rFonts w:cstheme="minorHAnsi"/>
          <w:i w:val="0"/>
          <w:iCs w:val="0"/>
          <w:color w:val="000000" w:themeColor="text1"/>
          <w:sz w:val="24"/>
          <w:szCs w:val="24"/>
        </w:rPr>
        <w:t>enrolment</w:t>
      </w:r>
      <w:r w:rsidRPr="00A55697">
        <w:rPr>
          <w:rFonts w:cstheme="minorHAnsi"/>
          <w:i w:val="0"/>
          <w:iCs w:val="0"/>
          <w:color w:val="000000" w:themeColor="text1"/>
          <w:sz w:val="24"/>
          <w:szCs w:val="24"/>
        </w:rPr>
        <w:t xml:space="preserve"> dropout rates across the stages of the recruitment process.</w:t>
      </w:r>
      <w:bookmarkEnd w:id="295"/>
      <w:bookmarkEnd w:id="296"/>
      <w:r w:rsidRPr="00A55697">
        <w:rPr>
          <w:rFonts w:cstheme="minorHAnsi"/>
          <w:i w:val="0"/>
          <w:iCs w:val="0"/>
          <w:color w:val="000000" w:themeColor="text1"/>
          <w:sz w:val="24"/>
          <w:szCs w:val="24"/>
        </w:rPr>
        <w:t xml:space="preserve">  </w:t>
      </w:r>
    </w:p>
    <w:tbl>
      <w:tblPr>
        <w:tblStyle w:val="TableGrid"/>
        <w:tblW w:w="0" w:type="auto"/>
        <w:tblLook w:val="04A0" w:firstRow="1" w:lastRow="0" w:firstColumn="1" w:lastColumn="0" w:noHBand="0" w:noVBand="1"/>
      </w:tblPr>
      <w:tblGrid>
        <w:gridCol w:w="4390"/>
        <w:gridCol w:w="4620"/>
      </w:tblGrid>
      <w:tr w:rsidR="004053D7" w:rsidRPr="00CA4ABC" w14:paraId="211109CC" w14:textId="77777777" w:rsidTr="009E173A">
        <w:tc>
          <w:tcPr>
            <w:tcW w:w="4390" w:type="dxa"/>
          </w:tcPr>
          <w:p w14:paraId="4F8EE984" w14:textId="77777777" w:rsidR="004C12CF" w:rsidRPr="00CA4ABC" w:rsidRDefault="004C12CF" w:rsidP="00045B59">
            <w:pPr>
              <w:jc w:val="center"/>
              <w:rPr>
                <w:rFonts w:cstheme="minorHAnsi"/>
                <w:b/>
                <w:bCs/>
                <w:color w:val="000000" w:themeColor="text1"/>
              </w:rPr>
            </w:pPr>
            <w:r w:rsidRPr="00CA4ABC">
              <w:rPr>
                <w:rFonts w:cstheme="minorHAnsi"/>
                <w:b/>
                <w:bCs/>
                <w:color w:val="000000" w:themeColor="text1"/>
              </w:rPr>
              <w:t>Randomisation Arm</w:t>
            </w:r>
          </w:p>
        </w:tc>
        <w:tc>
          <w:tcPr>
            <w:tcW w:w="4620" w:type="dxa"/>
          </w:tcPr>
          <w:p w14:paraId="38A15A46" w14:textId="77777777" w:rsidR="004C12CF" w:rsidRPr="00CA4ABC" w:rsidRDefault="004C12CF" w:rsidP="00045B59">
            <w:pPr>
              <w:jc w:val="center"/>
              <w:rPr>
                <w:rFonts w:cstheme="minorHAnsi"/>
                <w:b/>
                <w:bCs/>
                <w:color w:val="000000" w:themeColor="text1"/>
              </w:rPr>
            </w:pPr>
            <w:r w:rsidRPr="00CA4ABC">
              <w:rPr>
                <w:rFonts w:cstheme="minorHAnsi"/>
                <w:b/>
                <w:bCs/>
                <w:color w:val="000000" w:themeColor="text1"/>
              </w:rPr>
              <w:t>Participant ID numbers assigned to that arm</w:t>
            </w:r>
          </w:p>
        </w:tc>
      </w:tr>
      <w:tr w:rsidR="004053D7" w:rsidRPr="00CA4ABC" w14:paraId="41B5835E" w14:textId="77777777" w:rsidTr="009E173A">
        <w:tc>
          <w:tcPr>
            <w:tcW w:w="4390" w:type="dxa"/>
          </w:tcPr>
          <w:p w14:paraId="25B18CD6" w14:textId="77777777" w:rsidR="004C12CF" w:rsidRPr="00CA4ABC" w:rsidRDefault="004C12CF" w:rsidP="00357DD3">
            <w:pPr>
              <w:rPr>
                <w:rFonts w:cstheme="minorHAnsi"/>
                <w:color w:val="000000" w:themeColor="text1"/>
              </w:rPr>
            </w:pPr>
            <w:r w:rsidRPr="00CA4ABC">
              <w:rPr>
                <w:rFonts w:cstheme="minorHAnsi"/>
                <w:color w:val="000000" w:themeColor="text1"/>
              </w:rPr>
              <w:t>No protein (arm 1)</w:t>
            </w:r>
          </w:p>
        </w:tc>
        <w:tc>
          <w:tcPr>
            <w:tcW w:w="4620" w:type="dxa"/>
          </w:tcPr>
          <w:p w14:paraId="2774AA49" w14:textId="77777777" w:rsidR="004C12CF" w:rsidRPr="00CA4ABC" w:rsidRDefault="004C12CF" w:rsidP="00357DD3">
            <w:pPr>
              <w:rPr>
                <w:rFonts w:cstheme="minorHAnsi"/>
                <w:color w:val="000000" w:themeColor="text1"/>
              </w:rPr>
            </w:pPr>
            <w:r w:rsidRPr="00CA4ABC">
              <w:rPr>
                <w:rFonts w:cstheme="minorHAnsi"/>
                <w:color w:val="000000" w:themeColor="text1"/>
              </w:rPr>
              <w:t>EN104, EN106, EN109, EN112</w:t>
            </w:r>
          </w:p>
        </w:tc>
      </w:tr>
      <w:tr w:rsidR="004053D7" w:rsidRPr="00CA4ABC" w14:paraId="686F4123" w14:textId="77777777" w:rsidTr="009E173A">
        <w:tc>
          <w:tcPr>
            <w:tcW w:w="4390" w:type="dxa"/>
          </w:tcPr>
          <w:p w14:paraId="6B7D869C" w14:textId="77777777" w:rsidR="004C12CF" w:rsidRPr="00CA4ABC" w:rsidRDefault="004C12CF" w:rsidP="00357DD3">
            <w:pPr>
              <w:rPr>
                <w:rFonts w:cstheme="minorHAnsi"/>
                <w:color w:val="000000" w:themeColor="text1"/>
              </w:rPr>
            </w:pPr>
            <w:r w:rsidRPr="00CA4ABC">
              <w:rPr>
                <w:rFonts w:cstheme="minorHAnsi"/>
                <w:color w:val="000000" w:themeColor="text1"/>
              </w:rPr>
              <w:t>1 protein supplement (arm 2)</w:t>
            </w:r>
          </w:p>
        </w:tc>
        <w:tc>
          <w:tcPr>
            <w:tcW w:w="4620" w:type="dxa"/>
          </w:tcPr>
          <w:p w14:paraId="49A20A3A" w14:textId="77777777" w:rsidR="004C12CF" w:rsidRPr="00CA4ABC" w:rsidRDefault="004C12CF" w:rsidP="00357DD3">
            <w:pPr>
              <w:rPr>
                <w:rFonts w:cstheme="minorHAnsi"/>
                <w:color w:val="000000" w:themeColor="text1"/>
              </w:rPr>
            </w:pPr>
            <w:r w:rsidRPr="00CA4ABC">
              <w:rPr>
                <w:rFonts w:cstheme="minorHAnsi"/>
                <w:color w:val="000000" w:themeColor="text1"/>
              </w:rPr>
              <w:t>EN101, EN105, EN108</w:t>
            </w:r>
          </w:p>
        </w:tc>
      </w:tr>
      <w:tr w:rsidR="004053D7" w:rsidRPr="00CA4ABC" w14:paraId="25F6BAE6" w14:textId="77777777" w:rsidTr="009E173A">
        <w:tc>
          <w:tcPr>
            <w:tcW w:w="4390" w:type="dxa"/>
          </w:tcPr>
          <w:p w14:paraId="0F22D567" w14:textId="77777777" w:rsidR="004C12CF" w:rsidRPr="00CA4ABC" w:rsidRDefault="004C12CF" w:rsidP="00357DD3">
            <w:pPr>
              <w:rPr>
                <w:rFonts w:cstheme="minorHAnsi"/>
                <w:color w:val="000000" w:themeColor="text1"/>
              </w:rPr>
            </w:pPr>
            <w:r w:rsidRPr="00CA4ABC">
              <w:rPr>
                <w:rFonts w:cstheme="minorHAnsi"/>
                <w:color w:val="000000" w:themeColor="text1"/>
              </w:rPr>
              <w:t>2 protein supplements (arm 3)</w:t>
            </w:r>
          </w:p>
        </w:tc>
        <w:tc>
          <w:tcPr>
            <w:tcW w:w="4620" w:type="dxa"/>
          </w:tcPr>
          <w:p w14:paraId="4661834B" w14:textId="77777777" w:rsidR="004C12CF" w:rsidRPr="00CA4ABC" w:rsidRDefault="004C12CF" w:rsidP="00357DD3">
            <w:pPr>
              <w:rPr>
                <w:rFonts w:cstheme="minorHAnsi"/>
                <w:color w:val="000000" w:themeColor="text1"/>
              </w:rPr>
            </w:pPr>
            <w:r w:rsidRPr="00CA4ABC">
              <w:rPr>
                <w:rFonts w:cstheme="minorHAnsi"/>
                <w:color w:val="000000" w:themeColor="text1"/>
              </w:rPr>
              <w:t>EN103, EN107, EN110, EN113</w:t>
            </w:r>
          </w:p>
        </w:tc>
      </w:tr>
    </w:tbl>
    <w:p w14:paraId="056CDD8E" w14:textId="77777777" w:rsidR="004C12CF" w:rsidRPr="00CA4ABC" w:rsidRDefault="004C12CF" w:rsidP="004053D7">
      <w:pPr>
        <w:spacing w:line="360" w:lineRule="auto"/>
        <w:rPr>
          <w:rFonts w:cstheme="minorHAnsi"/>
          <w:color w:val="000000" w:themeColor="text1"/>
        </w:rPr>
      </w:pPr>
    </w:p>
    <w:p w14:paraId="3C7C3574" w14:textId="1573CAA3" w:rsidR="004C12CF" w:rsidRDefault="004C12CF" w:rsidP="004053D7">
      <w:pPr>
        <w:pStyle w:val="Caption"/>
        <w:spacing w:line="360" w:lineRule="auto"/>
        <w:rPr>
          <w:rFonts w:cstheme="minorHAnsi"/>
          <w:i w:val="0"/>
          <w:iCs w:val="0"/>
          <w:color w:val="000000" w:themeColor="text1"/>
          <w:sz w:val="24"/>
          <w:szCs w:val="24"/>
        </w:rPr>
      </w:pPr>
      <w:bookmarkStart w:id="297" w:name="_Ref122446603"/>
      <w:bookmarkStart w:id="298" w:name="_Toc122956583"/>
      <w:r w:rsidRPr="00A55697">
        <w:rPr>
          <w:rFonts w:cstheme="minorHAnsi"/>
          <w:i w:val="0"/>
          <w:iCs w:val="0"/>
          <w:color w:val="000000" w:themeColor="text1"/>
          <w:sz w:val="24"/>
          <w:szCs w:val="24"/>
        </w:rPr>
        <w:t xml:space="preserve">Table </w:t>
      </w:r>
      <w:r w:rsidRPr="00A55697">
        <w:rPr>
          <w:rFonts w:cstheme="minorHAnsi"/>
          <w:i w:val="0"/>
          <w:iCs w:val="0"/>
          <w:color w:val="000000" w:themeColor="text1"/>
          <w:sz w:val="24"/>
          <w:szCs w:val="24"/>
        </w:rPr>
        <w:fldChar w:fldCharType="begin"/>
      </w:r>
      <w:r w:rsidRPr="00A55697">
        <w:rPr>
          <w:rFonts w:cstheme="minorHAnsi"/>
          <w:i w:val="0"/>
          <w:iCs w:val="0"/>
          <w:color w:val="000000" w:themeColor="text1"/>
          <w:sz w:val="24"/>
          <w:szCs w:val="24"/>
        </w:rPr>
        <w:instrText xml:space="preserve"> SEQ Table \* ARABIC </w:instrText>
      </w:r>
      <w:r w:rsidRPr="00A55697">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20</w:t>
      </w:r>
      <w:r w:rsidRPr="00A55697">
        <w:rPr>
          <w:rFonts w:cstheme="minorHAnsi"/>
          <w:i w:val="0"/>
          <w:iCs w:val="0"/>
          <w:color w:val="000000" w:themeColor="text1"/>
          <w:sz w:val="24"/>
          <w:szCs w:val="24"/>
        </w:rPr>
        <w:fldChar w:fldCharType="end"/>
      </w:r>
      <w:bookmarkEnd w:id="297"/>
      <w:r w:rsidR="00A55697" w:rsidRPr="00A55697">
        <w:rPr>
          <w:rFonts w:cstheme="minorHAnsi"/>
          <w:i w:val="0"/>
          <w:iCs w:val="0"/>
          <w:color w:val="000000" w:themeColor="text1"/>
          <w:sz w:val="24"/>
          <w:szCs w:val="24"/>
        </w:rPr>
        <w:t xml:space="preserve">. </w:t>
      </w:r>
      <w:r w:rsidRPr="00A55697">
        <w:rPr>
          <w:rFonts w:cstheme="minorHAnsi"/>
          <w:i w:val="0"/>
          <w:iCs w:val="0"/>
          <w:color w:val="000000" w:themeColor="text1"/>
          <w:sz w:val="24"/>
          <w:szCs w:val="24"/>
        </w:rPr>
        <w:t xml:space="preserve">The randomised allocation of each participant, denoted by their unique ID number, to </w:t>
      </w:r>
      <w:r w:rsidR="0022448C" w:rsidRPr="00A55697">
        <w:rPr>
          <w:rFonts w:cstheme="minorHAnsi"/>
          <w:i w:val="0"/>
          <w:iCs w:val="0"/>
          <w:color w:val="000000" w:themeColor="text1"/>
          <w:sz w:val="24"/>
          <w:szCs w:val="24"/>
        </w:rPr>
        <w:t xml:space="preserve">each </w:t>
      </w:r>
      <w:r w:rsidRPr="00A55697">
        <w:rPr>
          <w:rFonts w:cstheme="minorHAnsi"/>
          <w:i w:val="0"/>
          <w:iCs w:val="0"/>
          <w:color w:val="000000" w:themeColor="text1"/>
          <w:sz w:val="24"/>
          <w:szCs w:val="24"/>
        </w:rPr>
        <w:t>the study arm of the trial.</w:t>
      </w:r>
      <w:bookmarkEnd w:id="298"/>
    </w:p>
    <w:p w14:paraId="539803DB" w14:textId="09D8C4F3" w:rsidR="00A55697" w:rsidRDefault="00A55697" w:rsidP="00A55697"/>
    <w:p w14:paraId="5C085054" w14:textId="519EA884" w:rsidR="00A55697" w:rsidRDefault="00A55697" w:rsidP="00A55697"/>
    <w:p w14:paraId="4EB3B841" w14:textId="2F2F9BB3" w:rsidR="00A55697" w:rsidRDefault="00A55697" w:rsidP="00A55697"/>
    <w:p w14:paraId="5074F8A5" w14:textId="3F641E38" w:rsidR="00A55697" w:rsidRDefault="00A55697" w:rsidP="00A55697"/>
    <w:p w14:paraId="7EE81412" w14:textId="77777777" w:rsidR="00A55697" w:rsidRPr="00A55697" w:rsidRDefault="00A55697" w:rsidP="00A55697"/>
    <w:p w14:paraId="338BA7CB" w14:textId="5DB0652B" w:rsidR="00357DD3" w:rsidRPr="00CA4ABC" w:rsidRDefault="004C12CF" w:rsidP="00357DD3">
      <w:pPr>
        <w:pStyle w:val="MDPI52figure"/>
        <w:spacing w:line="360" w:lineRule="auto"/>
        <w:jc w:val="left"/>
        <w:outlineLvl w:val="2"/>
        <w:rPr>
          <w:rFonts w:asciiTheme="minorHAnsi" w:hAnsiTheme="minorHAnsi" w:cstheme="minorHAnsi"/>
          <w:b/>
          <w:bCs/>
          <w:color w:val="000000" w:themeColor="text1"/>
          <w:sz w:val="24"/>
          <w:szCs w:val="24"/>
        </w:rPr>
      </w:pPr>
      <w:bookmarkStart w:id="299" w:name="_Toc135384369"/>
      <w:r w:rsidRPr="00CA4ABC">
        <w:rPr>
          <w:rFonts w:asciiTheme="minorHAnsi" w:hAnsiTheme="minorHAnsi" w:cstheme="minorHAnsi"/>
          <w:color w:val="000000" w:themeColor="text1"/>
          <w:sz w:val="24"/>
          <w:szCs w:val="24"/>
        </w:rPr>
        <w:lastRenderedPageBreak/>
        <w:t>5.3.</w:t>
      </w:r>
      <w:r w:rsidR="007F5B0B" w:rsidRPr="00CA4ABC">
        <w:rPr>
          <w:rFonts w:asciiTheme="minorHAnsi" w:hAnsiTheme="minorHAnsi" w:cstheme="minorHAnsi"/>
          <w:color w:val="000000" w:themeColor="text1"/>
          <w:sz w:val="24"/>
          <w:szCs w:val="24"/>
        </w:rPr>
        <w:t>3</w:t>
      </w:r>
      <w:r w:rsidRPr="00CA4ABC">
        <w:rPr>
          <w:rFonts w:asciiTheme="minorHAnsi" w:hAnsiTheme="minorHAnsi" w:cstheme="minorHAnsi"/>
          <w:color w:val="000000" w:themeColor="text1"/>
          <w:sz w:val="24"/>
          <w:szCs w:val="24"/>
        </w:rPr>
        <w:t>.2 Exercise intervention compliance measurements</w:t>
      </w:r>
      <w:bookmarkEnd w:id="299"/>
    </w:p>
    <w:p w14:paraId="29F324C2" w14:textId="5A117633" w:rsidR="004C12CF" w:rsidRPr="00CA4ABC" w:rsidRDefault="004C12CF" w:rsidP="00357DD3">
      <w:pPr>
        <w:pStyle w:val="MDPI52figure"/>
        <w:spacing w:line="360" w:lineRule="auto"/>
        <w:ind w:firstLine="720"/>
        <w:jc w:val="left"/>
        <w:outlineLvl w:val="2"/>
        <w:rPr>
          <w:rFonts w:asciiTheme="minorHAnsi" w:hAnsiTheme="minorHAnsi" w:cstheme="minorHAnsi"/>
          <w:b/>
          <w:bCs/>
          <w:color w:val="000000" w:themeColor="text1"/>
          <w:sz w:val="24"/>
          <w:szCs w:val="24"/>
        </w:rPr>
        <w:sectPr w:rsidR="004C12CF" w:rsidRPr="00CA4ABC" w:rsidSect="009E173A">
          <w:pgSz w:w="11900" w:h="16840"/>
          <w:pgMar w:top="1440" w:right="1440" w:bottom="1440" w:left="1440" w:header="708" w:footer="708" w:gutter="0"/>
          <w:cols w:space="708"/>
          <w:docGrid w:linePitch="360"/>
        </w:sectPr>
      </w:pPr>
      <w:bookmarkStart w:id="300" w:name="_Toc125879966"/>
      <w:bookmarkStart w:id="301" w:name="_Toc127044472"/>
      <w:bookmarkStart w:id="302" w:name="_Toc127527504"/>
      <w:bookmarkStart w:id="303" w:name="_Toc127967660"/>
      <w:bookmarkStart w:id="304" w:name="_Toc135384370"/>
      <w:r w:rsidRPr="00CA4ABC">
        <w:rPr>
          <w:rFonts w:asciiTheme="minorHAnsi" w:hAnsiTheme="minorHAnsi" w:cstheme="minorHAnsi"/>
          <w:color w:val="000000" w:themeColor="text1"/>
          <w:sz w:val="24"/>
          <w:szCs w:val="24"/>
        </w:rPr>
        <w:t xml:space="preserve">The </w:t>
      </w:r>
      <w:r w:rsidR="0017120A" w:rsidRPr="00CA4ABC">
        <w:rPr>
          <w:rFonts w:asciiTheme="minorHAnsi" w:hAnsiTheme="minorHAnsi" w:cstheme="minorHAnsi"/>
          <w:color w:val="000000" w:themeColor="text1"/>
          <w:sz w:val="24"/>
          <w:szCs w:val="24"/>
        </w:rPr>
        <w:t xml:space="preserve">self-reported </w:t>
      </w:r>
      <w:r w:rsidRPr="00CA4ABC">
        <w:rPr>
          <w:rFonts w:asciiTheme="minorHAnsi" w:hAnsiTheme="minorHAnsi" w:cstheme="minorHAnsi"/>
          <w:color w:val="000000" w:themeColor="text1"/>
          <w:sz w:val="24"/>
          <w:szCs w:val="24"/>
        </w:rPr>
        <w:t xml:space="preserve">average number of exercise sessions </w:t>
      </w:r>
      <w:r w:rsidR="0017120A" w:rsidRPr="00CA4ABC">
        <w:rPr>
          <w:rFonts w:asciiTheme="minorHAnsi" w:hAnsiTheme="minorHAnsi" w:cstheme="minorHAnsi"/>
          <w:color w:val="000000" w:themeColor="text1"/>
          <w:sz w:val="24"/>
          <w:szCs w:val="24"/>
        </w:rPr>
        <w:t>completed</w:t>
      </w:r>
      <w:r w:rsidRPr="00CA4ABC">
        <w:rPr>
          <w:rFonts w:asciiTheme="minorHAnsi" w:hAnsiTheme="minorHAnsi" w:cstheme="minorHAnsi"/>
          <w:color w:val="000000" w:themeColor="text1"/>
          <w:sz w:val="24"/>
          <w:szCs w:val="24"/>
        </w:rPr>
        <w:t xml:space="preserve"> by participants (either live or via video recording) was </w:t>
      </w:r>
      <w:r w:rsidR="0017120A" w:rsidRPr="00CA4ABC">
        <w:rPr>
          <w:rFonts w:asciiTheme="minorHAnsi" w:hAnsiTheme="minorHAnsi" w:cstheme="minorHAnsi"/>
          <w:color w:val="000000" w:themeColor="text1"/>
          <w:sz w:val="24"/>
          <w:szCs w:val="24"/>
        </w:rPr>
        <w:t>thirteen</w:t>
      </w:r>
      <w:r w:rsidRPr="00CA4ABC">
        <w:rPr>
          <w:rFonts w:asciiTheme="minorHAnsi" w:hAnsiTheme="minorHAnsi" w:cstheme="minorHAnsi"/>
          <w:color w:val="000000" w:themeColor="text1"/>
          <w:sz w:val="24"/>
          <w:szCs w:val="24"/>
        </w:rPr>
        <w:t xml:space="preserve"> across </w:t>
      </w:r>
      <w:r w:rsidR="0017120A" w:rsidRPr="00CA4ABC">
        <w:rPr>
          <w:rFonts w:asciiTheme="minorHAnsi" w:hAnsiTheme="minorHAnsi" w:cstheme="minorHAnsi"/>
          <w:color w:val="000000" w:themeColor="text1"/>
          <w:sz w:val="24"/>
          <w:szCs w:val="24"/>
        </w:rPr>
        <w:t xml:space="preserve">the </w:t>
      </w:r>
      <w:r w:rsidRPr="00CA4ABC">
        <w:rPr>
          <w:rFonts w:asciiTheme="minorHAnsi" w:hAnsiTheme="minorHAnsi" w:cstheme="minorHAnsi"/>
          <w:color w:val="000000" w:themeColor="text1"/>
          <w:sz w:val="24"/>
          <w:szCs w:val="24"/>
        </w:rPr>
        <w:t xml:space="preserve">six weeks. Average session attendance was </w:t>
      </w:r>
      <w:r w:rsidR="00621B31" w:rsidRPr="00CA4ABC">
        <w:rPr>
          <w:rFonts w:asciiTheme="minorHAnsi" w:hAnsiTheme="minorHAnsi" w:cstheme="minorHAnsi"/>
          <w:color w:val="000000" w:themeColor="text1"/>
          <w:sz w:val="24"/>
          <w:szCs w:val="24"/>
        </w:rPr>
        <w:t>six</w:t>
      </w:r>
      <w:r w:rsidRPr="00CA4ABC">
        <w:rPr>
          <w:rFonts w:asciiTheme="minorHAnsi" w:hAnsiTheme="minorHAnsi" w:cstheme="minorHAnsi"/>
          <w:color w:val="000000" w:themeColor="text1"/>
          <w:sz w:val="24"/>
          <w:szCs w:val="24"/>
        </w:rPr>
        <w:t xml:space="preserve"> live sessions and </w:t>
      </w:r>
      <w:r w:rsidR="00621B31" w:rsidRPr="00CA4ABC">
        <w:rPr>
          <w:rFonts w:asciiTheme="minorHAnsi" w:hAnsiTheme="minorHAnsi" w:cstheme="minorHAnsi"/>
          <w:color w:val="000000" w:themeColor="text1"/>
          <w:sz w:val="24"/>
          <w:szCs w:val="24"/>
        </w:rPr>
        <w:t>seven</w:t>
      </w:r>
      <w:r w:rsidRPr="00CA4ABC">
        <w:rPr>
          <w:rFonts w:asciiTheme="minorHAnsi" w:hAnsiTheme="minorHAnsi" w:cstheme="minorHAnsi"/>
          <w:color w:val="000000" w:themeColor="text1"/>
          <w:sz w:val="24"/>
          <w:szCs w:val="24"/>
        </w:rPr>
        <w:t xml:space="preserve"> recorded sessions (</w:t>
      </w:r>
      <w:r w:rsidR="0017120A" w:rsidRPr="00CA4ABC">
        <w:rPr>
          <w:rFonts w:asciiTheme="minorHAnsi" w:hAnsiTheme="minorHAnsi" w:cstheme="minorHAnsi"/>
          <w:color w:val="000000" w:themeColor="text1"/>
          <w:sz w:val="24"/>
          <w:szCs w:val="24"/>
        </w:rPr>
        <w:fldChar w:fldCharType="begin"/>
      </w:r>
      <w:r w:rsidR="0017120A" w:rsidRPr="00CA4ABC">
        <w:rPr>
          <w:rFonts w:asciiTheme="minorHAnsi" w:hAnsiTheme="minorHAnsi" w:cstheme="minorHAnsi"/>
          <w:color w:val="000000" w:themeColor="text1"/>
          <w:sz w:val="24"/>
          <w:szCs w:val="24"/>
        </w:rPr>
        <w:instrText xml:space="preserve"> REF _Ref122446704 \h  \* MERGEFORMAT </w:instrText>
      </w:r>
      <w:r w:rsidR="0017120A" w:rsidRPr="00CA4ABC">
        <w:rPr>
          <w:rFonts w:asciiTheme="minorHAnsi" w:hAnsiTheme="minorHAnsi" w:cstheme="minorHAnsi"/>
          <w:color w:val="000000" w:themeColor="text1"/>
          <w:sz w:val="24"/>
          <w:szCs w:val="24"/>
        </w:rPr>
      </w:r>
      <w:r w:rsidR="0017120A" w:rsidRPr="00CA4ABC">
        <w:rPr>
          <w:rFonts w:asciiTheme="minorHAnsi" w:hAnsiTheme="minorHAnsi" w:cstheme="minorHAnsi"/>
          <w:color w:val="000000" w:themeColor="text1"/>
          <w:sz w:val="24"/>
          <w:szCs w:val="24"/>
        </w:rPr>
        <w:fldChar w:fldCharType="separate"/>
      </w:r>
      <w:r w:rsidR="0017120A" w:rsidRPr="00CA4ABC">
        <w:rPr>
          <w:rFonts w:asciiTheme="minorHAnsi" w:hAnsiTheme="minorHAnsi" w:cstheme="minorHAnsi"/>
          <w:color w:val="000000" w:themeColor="text1"/>
          <w:sz w:val="24"/>
          <w:szCs w:val="24"/>
        </w:rPr>
        <w:t xml:space="preserve">Table </w:t>
      </w:r>
      <w:r w:rsidR="0017120A" w:rsidRPr="00CA4ABC">
        <w:rPr>
          <w:rFonts w:asciiTheme="minorHAnsi" w:hAnsiTheme="minorHAnsi" w:cstheme="minorHAnsi"/>
          <w:noProof/>
          <w:color w:val="000000" w:themeColor="text1"/>
          <w:sz w:val="24"/>
          <w:szCs w:val="24"/>
        </w:rPr>
        <w:t>19</w:t>
      </w:r>
      <w:r w:rsidR="0017120A" w:rsidRPr="00CA4ABC">
        <w:rPr>
          <w:rFonts w:asciiTheme="minorHAnsi" w:hAnsiTheme="minorHAnsi" w:cstheme="minorHAnsi"/>
          <w:color w:val="000000" w:themeColor="text1"/>
          <w:sz w:val="24"/>
          <w:szCs w:val="24"/>
        </w:rPr>
        <w:fldChar w:fldCharType="end"/>
      </w:r>
      <w:r w:rsidRPr="00CA4ABC">
        <w:rPr>
          <w:rFonts w:asciiTheme="minorHAnsi" w:hAnsiTheme="minorHAnsi" w:cstheme="minorHAnsi"/>
          <w:color w:val="000000" w:themeColor="text1"/>
          <w:sz w:val="24"/>
          <w:szCs w:val="24"/>
        </w:rPr>
        <w:t xml:space="preserve">). Six participants (56%) achieved the minimum attendance </w:t>
      </w:r>
      <w:r w:rsidR="0017120A" w:rsidRPr="00CA4ABC">
        <w:rPr>
          <w:rFonts w:asciiTheme="minorHAnsi" w:hAnsiTheme="minorHAnsi" w:cstheme="minorHAnsi"/>
          <w:color w:val="000000" w:themeColor="text1"/>
          <w:sz w:val="24"/>
          <w:szCs w:val="24"/>
        </w:rPr>
        <w:t xml:space="preserve">target </w:t>
      </w:r>
      <w:r w:rsidRPr="00CA4ABC">
        <w:rPr>
          <w:rFonts w:asciiTheme="minorHAnsi" w:hAnsiTheme="minorHAnsi" w:cstheme="minorHAnsi"/>
          <w:color w:val="000000" w:themeColor="text1"/>
          <w:sz w:val="24"/>
          <w:szCs w:val="24"/>
        </w:rPr>
        <w:t>o</w:t>
      </w:r>
      <w:r w:rsidR="0017120A" w:rsidRPr="00CA4ABC">
        <w:rPr>
          <w:rFonts w:asciiTheme="minorHAnsi" w:hAnsiTheme="minorHAnsi" w:cstheme="minorHAnsi"/>
          <w:color w:val="000000" w:themeColor="text1"/>
          <w:sz w:val="24"/>
          <w:szCs w:val="24"/>
        </w:rPr>
        <w:t xml:space="preserve">f </w:t>
      </w:r>
      <w:r w:rsidRPr="00CA4ABC">
        <w:rPr>
          <w:rFonts w:asciiTheme="minorHAnsi" w:hAnsiTheme="minorHAnsi" w:cstheme="minorHAnsi"/>
          <w:color w:val="000000" w:themeColor="text1"/>
          <w:sz w:val="24"/>
          <w:szCs w:val="24"/>
        </w:rPr>
        <w:t xml:space="preserve">2 sessions per week. Eight participants (73%) completed this for </w:t>
      </w:r>
      <w:r w:rsidR="00621B31" w:rsidRPr="00CA4ABC">
        <w:rPr>
          <w:rFonts w:asciiTheme="minorHAnsi" w:hAnsiTheme="minorHAnsi" w:cstheme="minorHAnsi"/>
          <w:color w:val="000000" w:themeColor="text1"/>
          <w:sz w:val="24"/>
          <w:szCs w:val="24"/>
        </w:rPr>
        <w:t>five</w:t>
      </w:r>
      <w:r w:rsidRPr="00CA4ABC">
        <w:rPr>
          <w:rFonts w:asciiTheme="minorHAnsi" w:hAnsiTheme="minorHAnsi" w:cstheme="minorHAnsi"/>
          <w:color w:val="000000" w:themeColor="text1"/>
          <w:sz w:val="24"/>
          <w:szCs w:val="24"/>
        </w:rPr>
        <w:t xml:space="preserve"> out of the </w:t>
      </w:r>
      <w:r w:rsidR="00621B31" w:rsidRPr="00CA4ABC">
        <w:rPr>
          <w:rFonts w:asciiTheme="minorHAnsi" w:hAnsiTheme="minorHAnsi" w:cstheme="minorHAnsi"/>
          <w:color w:val="000000" w:themeColor="text1"/>
          <w:sz w:val="24"/>
          <w:szCs w:val="24"/>
        </w:rPr>
        <w:t>six</w:t>
      </w:r>
      <w:r w:rsidRPr="00CA4ABC">
        <w:rPr>
          <w:rFonts w:asciiTheme="minorHAnsi" w:hAnsiTheme="minorHAnsi" w:cstheme="minorHAnsi"/>
          <w:color w:val="000000" w:themeColor="text1"/>
          <w:sz w:val="24"/>
          <w:szCs w:val="24"/>
        </w:rPr>
        <w:t xml:space="preserve"> weeks</w:t>
      </w:r>
      <w:r w:rsidR="00D942B5" w:rsidRPr="00CA4ABC">
        <w:rPr>
          <w:rFonts w:asciiTheme="minorHAnsi" w:hAnsiTheme="minorHAnsi" w:cstheme="minorHAnsi"/>
          <w:color w:val="000000" w:themeColor="text1"/>
          <w:sz w:val="24"/>
          <w:szCs w:val="24"/>
        </w:rPr>
        <w:t>,</w:t>
      </w:r>
      <w:r w:rsidRPr="00CA4ABC">
        <w:rPr>
          <w:rFonts w:asciiTheme="minorHAnsi" w:hAnsiTheme="minorHAnsi" w:cstheme="minorHAnsi"/>
          <w:color w:val="000000" w:themeColor="text1"/>
          <w:sz w:val="24"/>
          <w:szCs w:val="24"/>
        </w:rPr>
        <w:t xml:space="preserve"> and ten participants (91%) managed this for </w:t>
      </w:r>
      <w:r w:rsidR="00621B31" w:rsidRPr="00CA4ABC">
        <w:rPr>
          <w:rFonts w:asciiTheme="minorHAnsi" w:hAnsiTheme="minorHAnsi" w:cstheme="minorHAnsi"/>
          <w:color w:val="000000" w:themeColor="text1"/>
          <w:sz w:val="24"/>
          <w:szCs w:val="24"/>
        </w:rPr>
        <w:t>four</w:t>
      </w:r>
      <w:r w:rsidRPr="00CA4ABC">
        <w:rPr>
          <w:rFonts w:asciiTheme="minorHAnsi" w:hAnsiTheme="minorHAnsi" w:cstheme="minorHAnsi"/>
          <w:color w:val="000000" w:themeColor="text1"/>
          <w:sz w:val="24"/>
          <w:szCs w:val="24"/>
        </w:rPr>
        <w:t xml:space="preserve"> out of the </w:t>
      </w:r>
      <w:r w:rsidR="00621B31" w:rsidRPr="00CA4ABC">
        <w:rPr>
          <w:rFonts w:asciiTheme="minorHAnsi" w:hAnsiTheme="minorHAnsi" w:cstheme="minorHAnsi"/>
          <w:color w:val="000000" w:themeColor="text1"/>
          <w:sz w:val="24"/>
          <w:szCs w:val="24"/>
        </w:rPr>
        <w:t>six</w:t>
      </w:r>
      <w:r w:rsidRPr="00CA4ABC">
        <w:rPr>
          <w:rFonts w:asciiTheme="minorHAnsi" w:hAnsiTheme="minorHAnsi" w:cstheme="minorHAnsi"/>
          <w:color w:val="000000" w:themeColor="text1"/>
          <w:sz w:val="24"/>
          <w:szCs w:val="24"/>
        </w:rPr>
        <w:t xml:space="preserve"> weeks (</w:t>
      </w:r>
      <w:r w:rsidRPr="00CA4ABC">
        <w:rPr>
          <w:rFonts w:asciiTheme="minorHAnsi" w:hAnsiTheme="minorHAnsi" w:cstheme="minorHAnsi"/>
          <w:color w:val="000000" w:themeColor="text1"/>
          <w:sz w:val="24"/>
          <w:szCs w:val="24"/>
        </w:rPr>
        <w:fldChar w:fldCharType="begin"/>
      </w:r>
      <w:r w:rsidRPr="00CA4ABC">
        <w:rPr>
          <w:rFonts w:asciiTheme="minorHAnsi" w:hAnsiTheme="minorHAnsi" w:cstheme="minorHAnsi"/>
          <w:color w:val="000000" w:themeColor="text1"/>
          <w:sz w:val="24"/>
          <w:szCs w:val="24"/>
        </w:rPr>
        <w:instrText xml:space="preserve"> REF _Ref122446704 \h  \* MERGEFORMAT </w:instrText>
      </w:r>
      <w:r w:rsidRPr="00CA4ABC">
        <w:rPr>
          <w:rFonts w:asciiTheme="minorHAnsi" w:hAnsiTheme="minorHAnsi" w:cstheme="minorHAnsi"/>
          <w:color w:val="000000" w:themeColor="text1"/>
          <w:sz w:val="24"/>
          <w:szCs w:val="24"/>
        </w:rPr>
      </w:r>
      <w:r w:rsidRPr="00CA4ABC">
        <w:rPr>
          <w:rFonts w:asciiTheme="minorHAnsi" w:hAnsiTheme="minorHAnsi" w:cstheme="minorHAnsi"/>
          <w:color w:val="000000" w:themeColor="text1"/>
          <w:sz w:val="24"/>
          <w:szCs w:val="24"/>
        </w:rPr>
        <w:fldChar w:fldCharType="separate"/>
      </w:r>
      <w:r w:rsidR="005D4657" w:rsidRPr="00CA4ABC">
        <w:rPr>
          <w:rFonts w:asciiTheme="minorHAnsi" w:hAnsiTheme="minorHAnsi" w:cstheme="minorHAnsi"/>
          <w:color w:val="000000" w:themeColor="text1"/>
          <w:sz w:val="24"/>
          <w:szCs w:val="24"/>
        </w:rPr>
        <w:t xml:space="preserve">Table </w:t>
      </w:r>
      <w:r w:rsidR="005D4657" w:rsidRPr="00CA4ABC">
        <w:rPr>
          <w:rFonts w:asciiTheme="minorHAnsi" w:hAnsiTheme="minorHAnsi" w:cstheme="minorHAnsi"/>
          <w:noProof/>
          <w:color w:val="000000" w:themeColor="text1"/>
          <w:sz w:val="24"/>
          <w:szCs w:val="24"/>
        </w:rPr>
        <w:t>19</w:t>
      </w:r>
      <w:r w:rsidRPr="00CA4ABC">
        <w:rPr>
          <w:rFonts w:asciiTheme="minorHAnsi" w:hAnsiTheme="minorHAnsi" w:cstheme="minorHAnsi"/>
          <w:color w:val="000000" w:themeColor="text1"/>
          <w:sz w:val="24"/>
          <w:szCs w:val="24"/>
        </w:rPr>
        <w:fldChar w:fldCharType="end"/>
      </w:r>
      <w:r w:rsidRPr="00CA4ABC">
        <w:rPr>
          <w:rFonts w:asciiTheme="minorHAnsi" w:hAnsiTheme="minorHAnsi" w:cstheme="minorHAnsi"/>
          <w:color w:val="000000" w:themeColor="text1"/>
          <w:sz w:val="24"/>
          <w:szCs w:val="24"/>
        </w:rPr>
        <w:t xml:space="preserve">.) Six participants exceeded the minimum requirements of </w:t>
      </w:r>
      <w:r w:rsidR="00621B31" w:rsidRPr="00CA4ABC">
        <w:rPr>
          <w:rFonts w:asciiTheme="minorHAnsi" w:hAnsiTheme="minorHAnsi" w:cstheme="minorHAnsi"/>
          <w:color w:val="000000" w:themeColor="text1"/>
          <w:sz w:val="24"/>
          <w:szCs w:val="24"/>
        </w:rPr>
        <w:t>twelve</w:t>
      </w:r>
      <w:r w:rsidRPr="00CA4ABC">
        <w:rPr>
          <w:rFonts w:asciiTheme="minorHAnsi" w:hAnsiTheme="minorHAnsi" w:cstheme="minorHAnsi"/>
          <w:color w:val="000000" w:themeColor="text1"/>
          <w:sz w:val="24"/>
          <w:szCs w:val="24"/>
        </w:rPr>
        <w:t xml:space="preserve"> sessions. </w:t>
      </w:r>
      <w:r w:rsidR="008C6E13" w:rsidRPr="00CA4ABC">
        <w:rPr>
          <w:rFonts w:asciiTheme="minorHAnsi" w:hAnsiTheme="minorHAnsi" w:cstheme="minorHAnsi"/>
          <w:color w:val="000000" w:themeColor="text1"/>
          <w:sz w:val="24"/>
          <w:szCs w:val="24"/>
        </w:rPr>
        <w:t>EN101</w:t>
      </w:r>
      <w:r w:rsidRPr="00CA4ABC">
        <w:rPr>
          <w:rFonts w:asciiTheme="minorHAnsi" w:hAnsiTheme="minorHAnsi" w:cstheme="minorHAnsi"/>
          <w:color w:val="000000" w:themeColor="text1"/>
          <w:sz w:val="24"/>
          <w:szCs w:val="24"/>
        </w:rPr>
        <w:t xml:space="preserve"> had poor study compliance and failed to achieve the study requirements at all during the course of the intervention (only attending </w:t>
      </w:r>
      <w:r w:rsidR="00621B31" w:rsidRPr="00CA4ABC">
        <w:rPr>
          <w:rFonts w:asciiTheme="minorHAnsi" w:hAnsiTheme="minorHAnsi" w:cstheme="minorHAnsi"/>
          <w:color w:val="000000" w:themeColor="text1"/>
          <w:sz w:val="24"/>
          <w:szCs w:val="24"/>
        </w:rPr>
        <w:t>three</w:t>
      </w:r>
      <w:r w:rsidRPr="00CA4ABC">
        <w:rPr>
          <w:rFonts w:asciiTheme="minorHAnsi" w:hAnsiTheme="minorHAnsi" w:cstheme="minorHAnsi"/>
          <w:color w:val="000000" w:themeColor="text1"/>
          <w:sz w:val="24"/>
          <w:szCs w:val="24"/>
        </w:rPr>
        <w:t xml:space="preserve"> sessions in total.) Reasons provided for not achieving the </w:t>
      </w:r>
      <w:r w:rsidR="00621B31" w:rsidRPr="00CA4ABC">
        <w:rPr>
          <w:rFonts w:asciiTheme="minorHAnsi" w:hAnsiTheme="minorHAnsi" w:cstheme="minorHAnsi"/>
          <w:color w:val="000000" w:themeColor="text1"/>
          <w:sz w:val="24"/>
          <w:szCs w:val="24"/>
        </w:rPr>
        <w:t>two</w:t>
      </w:r>
      <w:r w:rsidRPr="00CA4ABC">
        <w:rPr>
          <w:rFonts w:asciiTheme="minorHAnsi" w:hAnsiTheme="minorHAnsi" w:cstheme="minorHAnsi"/>
          <w:color w:val="000000" w:themeColor="text1"/>
          <w:sz w:val="24"/>
          <w:szCs w:val="24"/>
        </w:rPr>
        <w:t xml:space="preserve"> sessions/week included: holiday, illness (including COVID and flu), back issues and a trapped nerve.</w:t>
      </w:r>
      <w:bookmarkEnd w:id="300"/>
      <w:bookmarkEnd w:id="301"/>
      <w:bookmarkEnd w:id="302"/>
      <w:bookmarkEnd w:id="303"/>
      <w:bookmarkEnd w:id="304"/>
      <w:r w:rsidRPr="00CA4ABC">
        <w:rPr>
          <w:rFonts w:asciiTheme="minorHAnsi" w:hAnsiTheme="minorHAnsi" w:cstheme="minorHAnsi"/>
          <w:color w:val="000000" w:themeColor="text1"/>
          <w:sz w:val="24"/>
          <w:szCs w:val="24"/>
        </w:rPr>
        <w:t xml:space="preserve">  </w:t>
      </w:r>
    </w:p>
    <w:tbl>
      <w:tblPr>
        <w:tblStyle w:val="TableGrid"/>
        <w:tblpPr w:leftFromText="180" w:rightFromText="180" w:vertAnchor="text" w:horzAnchor="margin" w:tblpXSpec="center" w:tblpYSpec="outside"/>
        <w:tblW w:w="10910" w:type="dxa"/>
        <w:tblLook w:val="04A0" w:firstRow="1" w:lastRow="0" w:firstColumn="1" w:lastColumn="0" w:noHBand="0" w:noVBand="1"/>
      </w:tblPr>
      <w:tblGrid>
        <w:gridCol w:w="1413"/>
        <w:gridCol w:w="1984"/>
        <w:gridCol w:w="1701"/>
        <w:gridCol w:w="1843"/>
        <w:gridCol w:w="2126"/>
        <w:gridCol w:w="1843"/>
      </w:tblGrid>
      <w:tr w:rsidR="004053D7" w:rsidRPr="00CA4ABC" w14:paraId="3AC49FFD" w14:textId="77777777" w:rsidTr="005F45D1">
        <w:trPr>
          <w:trHeight w:val="841"/>
        </w:trPr>
        <w:tc>
          <w:tcPr>
            <w:tcW w:w="1413" w:type="dxa"/>
          </w:tcPr>
          <w:p w14:paraId="6FD5F85F" w14:textId="77777777" w:rsidR="004C12CF" w:rsidRPr="00532B46" w:rsidRDefault="004C12CF" w:rsidP="00532B46">
            <w:pPr>
              <w:jc w:val="center"/>
              <w:rPr>
                <w:b/>
                <w:bCs/>
                <w:sz w:val="20"/>
                <w:szCs w:val="20"/>
              </w:rPr>
            </w:pPr>
            <w:r w:rsidRPr="00532B46">
              <w:rPr>
                <w:b/>
                <w:bCs/>
                <w:sz w:val="20"/>
                <w:szCs w:val="20"/>
              </w:rPr>
              <w:lastRenderedPageBreak/>
              <w:t>Participant ID</w:t>
            </w:r>
          </w:p>
        </w:tc>
        <w:tc>
          <w:tcPr>
            <w:tcW w:w="1984" w:type="dxa"/>
          </w:tcPr>
          <w:p w14:paraId="7EA642CD" w14:textId="38E4543E" w:rsidR="004C12CF" w:rsidRPr="00532B46" w:rsidRDefault="004C12CF" w:rsidP="00532B46">
            <w:pPr>
              <w:jc w:val="center"/>
              <w:rPr>
                <w:b/>
                <w:bCs/>
                <w:sz w:val="20"/>
                <w:szCs w:val="20"/>
              </w:rPr>
            </w:pPr>
            <w:r w:rsidRPr="00532B46">
              <w:rPr>
                <w:b/>
                <w:bCs/>
                <w:sz w:val="20"/>
                <w:szCs w:val="20"/>
              </w:rPr>
              <w:t>Self-reported exercise sessions attended (either live or video recorded)</w:t>
            </w:r>
          </w:p>
        </w:tc>
        <w:tc>
          <w:tcPr>
            <w:tcW w:w="1701" w:type="dxa"/>
          </w:tcPr>
          <w:p w14:paraId="4B5DC110" w14:textId="77777777" w:rsidR="004C12CF" w:rsidRPr="00532B46" w:rsidRDefault="004C12CF" w:rsidP="00532B46">
            <w:pPr>
              <w:jc w:val="center"/>
              <w:rPr>
                <w:b/>
                <w:bCs/>
                <w:sz w:val="20"/>
                <w:szCs w:val="20"/>
              </w:rPr>
            </w:pPr>
            <w:r w:rsidRPr="00532B46">
              <w:rPr>
                <w:b/>
                <w:bCs/>
                <w:sz w:val="20"/>
                <w:szCs w:val="20"/>
              </w:rPr>
              <w:t>Number or live sessions attended (based on register data)</w:t>
            </w:r>
          </w:p>
        </w:tc>
        <w:tc>
          <w:tcPr>
            <w:tcW w:w="1843" w:type="dxa"/>
          </w:tcPr>
          <w:p w14:paraId="66C44FC3" w14:textId="2A80B3E7" w:rsidR="004C12CF" w:rsidRPr="00532B46" w:rsidRDefault="004C12CF" w:rsidP="00532B46">
            <w:pPr>
              <w:jc w:val="center"/>
              <w:rPr>
                <w:b/>
                <w:bCs/>
                <w:sz w:val="20"/>
                <w:szCs w:val="20"/>
              </w:rPr>
            </w:pPr>
            <w:r w:rsidRPr="00532B46">
              <w:rPr>
                <w:b/>
                <w:bCs/>
                <w:sz w:val="20"/>
                <w:szCs w:val="20"/>
              </w:rPr>
              <w:t>Number of weeks that 2 sessions/week were reported</w:t>
            </w:r>
          </w:p>
        </w:tc>
        <w:tc>
          <w:tcPr>
            <w:tcW w:w="2126" w:type="dxa"/>
          </w:tcPr>
          <w:p w14:paraId="1434DA96" w14:textId="77777777" w:rsidR="004C12CF" w:rsidRPr="00532B46" w:rsidRDefault="004C12CF" w:rsidP="00532B46">
            <w:pPr>
              <w:jc w:val="center"/>
              <w:rPr>
                <w:b/>
                <w:bCs/>
                <w:sz w:val="20"/>
                <w:szCs w:val="20"/>
              </w:rPr>
            </w:pPr>
            <w:r w:rsidRPr="00532B46">
              <w:rPr>
                <w:b/>
                <w:bCs/>
                <w:sz w:val="20"/>
                <w:szCs w:val="20"/>
              </w:rPr>
              <w:t>Number of weeks that 3 sessions/week were reported.</w:t>
            </w:r>
          </w:p>
        </w:tc>
        <w:tc>
          <w:tcPr>
            <w:tcW w:w="1843" w:type="dxa"/>
          </w:tcPr>
          <w:p w14:paraId="4AB271CD" w14:textId="77777777" w:rsidR="004C12CF" w:rsidRPr="00532B46" w:rsidRDefault="004C12CF" w:rsidP="00532B46">
            <w:pPr>
              <w:jc w:val="center"/>
              <w:rPr>
                <w:b/>
                <w:bCs/>
                <w:sz w:val="20"/>
                <w:szCs w:val="20"/>
              </w:rPr>
            </w:pPr>
            <w:r w:rsidRPr="00532B46">
              <w:rPr>
                <w:b/>
                <w:bCs/>
                <w:sz w:val="20"/>
                <w:szCs w:val="20"/>
              </w:rPr>
              <w:t>Exercise intervention criteria for all 6 weeks met?</w:t>
            </w:r>
          </w:p>
        </w:tc>
      </w:tr>
      <w:tr w:rsidR="004053D7" w:rsidRPr="00CA4ABC" w14:paraId="7814537A" w14:textId="77777777" w:rsidTr="005F45D1">
        <w:trPr>
          <w:trHeight w:val="198"/>
        </w:trPr>
        <w:tc>
          <w:tcPr>
            <w:tcW w:w="1413" w:type="dxa"/>
          </w:tcPr>
          <w:p w14:paraId="243A7093" w14:textId="77777777" w:rsidR="004C12CF" w:rsidRPr="00532B46" w:rsidRDefault="004C12CF" w:rsidP="00532B46">
            <w:pPr>
              <w:jc w:val="center"/>
              <w:rPr>
                <w:rFonts w:cstheme="minorHAnsi"/>
                <w:sz w:val="20"/>
                <w:szCs w:val="20"/>
              </w:rPr>
            </w:pPr>
            <w:r w:rsidRPr="00532B46">
              <w:rPr>
                <w:rFonts w:cstheme="minorHAnsi"/>
                <w:sz w:val="20"/>
                <w:szCs w:val="20"/>
              </w:rPr>
              <w:t>EN101</w:t>
            </w:r>
          </w:p>
        </w:tc>
        <w:tc>
          <w:tcPr>
            <w:tcW w:w="1984" w:type="dxa"/>
          </w:tcPr>
          <w:p w14:paraId="70FD6BB3" w14:textId="77777777" w:rsidR="004C12CF" w:rsidRPr="00532B46" w:rsidRDefault="004C12CF" w:rsidP="00532B46">
            <w:pPr>
              <w:jc w:val="center"/>
              <w:rPr>
                <w:rFonts w:cstheme="minorHAnsi"/>
                <w:sz w:val="20"/>
                <w:szCs w:val="20"/>
              </w:rPr>
            </w:pPr>
            <w:r w:rsidRPr="00532B46">
              <w:rPr>
                <w:rFonts w:cstheme="minorHAnsi"/>
                <w:sz w:val="20"/>
                <w:szCs w:val="20"/>
              </w:rPr>
              <w:t>3</w:t>
            </w:r>
          </w:p>
        </w:tc>
        <w:tc>
          <w:tcPr>
            <w:tcW w:w="1701" w:type="dxa"/>
          </w:tcPr>
          <w:p w14:paraId="4519A9FD"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1843" w:type="dxa"/>
          </w:tcPr>
          <w:p w14:paraId="049B2169"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2126" w:type="dxa"/>
          </w:tcPr>
          <w:p w14:paraId="4E5D6C18"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1843" w:type="dxa"/>
          </w:tcPr>
          <w:p w14:paraId="7108C256" w14:textId="77777777" w:rsidR="004C12CF" w:rsidRPr="00532B46" w:rsidRDefault="004C12CF" w:rsidP="00532B46">
            <w:pPr>
              <w:jc w:val="center"/>
              <w:rPr>
                <w:rFonts w:cstheme="minorHAnsi"/>
                <w:sz w:val="20"/>
                <w:szCs w:val="20"/>
              </w:rPr>
            </w:pPr>
            <w:r w:rsidRPr="00532B46">
              <w:rPr>
                <w:rFonts w:cstheme="minorHAnsi"/>
                <w:sz w:val="20"/>
                <w:szCs w:val="20"/>
              </w:rPr>
              <w:t>No</w:t>
            </w:r>
          </w:p>
        </w:tc>
      </w:tr>
      <w:tr w:rsidR="004053D7" w:rsidRPr="00CA4ABC" w14:paraId="36DCF233" w14:textId="77777777" w:rsidTr="005F45D1">
        <w:trPr>
          <w:trHeight w:val="246"/>
        </w:trPr>
        <w:tc>
          <w:tcPr>
            <w:tcW w:w="1413" w:type="dxa"/>
          </w:tcPr>
          <w:p w14:paraId="3ED36170" w14:textId="77777777" w:rsidR="004C12CF" w:rsidRPr="00532B46" w:rsidRDefault="004C12CF" w:rsidP="00532B46">
            <w:pPr>
              <w:jc w:val="center"/>
              <w:rPr>
                <w:rFonts w:cstheme="minorHAnsi"/>
                <w:sz w:val="20"/>
                <w:szCs w:val="20"/>
              </w:rPr>
            </w:pPr>
            <w:r w:rsidRPr="00532B46">
              <w:rPr>
                <w:rFonts w:cstheme="minorHAnsi"/>
                <w:sz w:val="20"/>
                <w:szCs w:val="20"/>
              </w:rPr>
              <w:t>EN103</w:t>
            </w:r>
          </w:p>
        </w:tc>
        <w:tc>
          <w:tcPr>
            <w:tcW w:w="1984" w:type="dxa"/>
          </w:tcPr>
          <w:p w14:paraId="4E4DD1BD" w14:textId="77777777" w:rsidR="004C12CF" w:rsidRPr="00532B46" w:rsidRDefault="004C12CF" w:rsidP="00532B46">
            <w:pPr>
              <w:jc w:val="center"/>
              <w:rPr>
                <w:rFonts w:cstheme="minorHAnsi"/>
                <w:sz w:val="20"/>
                <w:szCs w:val="20"/>
              </w:rPr>
            </w:pPr>
            <w:r w:rsidRPr="00532B46">
              <w:rPr>
                <w:rFonts w:cstheme="minorHAnsi"/>
                <w:sz w:val="20"/>
                <w:szCs w:val="20"/>
              </w:rPr>
              <w:t>13</w:t>
            </w:r>
          </w:p>
        </w:tc>
        <w:tc>
          <w:tcPr>
            <w:tcW w:w="1701" w:type="dxa"/>
          </w:tcPr>
          <w:p w14:paraId="1A742783" w14:textId="77777777" w:rsidR="004C12CF" w:rsidRPr="00532B46" w:rsidRDefault="004C12CF" w:rsidP="00532B46">
            <w:pPr>
              <w:jc w:val="center"/>
              <w:rPr>
                <w:rFonts w:cstheme="minorHAnsi"/>
                <w:sz w:val="20"/>
                <w:szCs w:val="20"/>
              </w:rPr>
            </w:pPr>
            <w:r w:rsidRPr="00532B46">
              <w:rPr>
                <w:rFonts w:cstheme="minorHAnsi"/>
                <w:sz w:val="20"/>
                <w:szCs w:val="20"/>
              </w:rPr>
              <w:t>10</w:t>
            </w:r>
          </w:p>
        </w:tc>
        <w:tc>
          <w:tcPr>
            <w:tcW w:w="1843" w:type="dxa"/>
          </w:tcPr>
          <w:p w14:paraId="751C9CFC" w14:textId="77777777" w:rsidR="004C12CF" w:rsidRPr="00532B46" w:rsidRDefault="004C12CF" w:rsidP="00532B46">
            <w:pPr>
              <w:jc w:val="center"/>
              <w:rPr>
                <w:rFonts w:cstheme="minorHAnsi"/>
                <w:sz w:val="20"/>
                <w:szCs w:val="20"/>
              </w:rPr>
            </w:pPr>
            <w:r w:rsidRPr="00532B46">
              <w:rPr>
                <w:rFonts w:cstheme="minorHAnsi"/>
                <w:sz w:val="20"/>
                <w:szCs w:val="20"/>
              </w:rPr>
              <w:t>1</w:t>
            </w:r>
          </w:p>
        </w:tc>
        <w:tc>
          <w:tcPr>
            <w:tcW w:w="2126" w:type="dxa"/>
          </w:tcPr>
          <w:p w14:paraId="65BF6BED" w14:textId="77777777" w:rsidR="004C12CF" w:rsidRPr="00532B46" w:rsidRDefault="004C12CF" w:rsidP="00532B46">
            <w:pPr>
              <w:jc w:val="center"/>
              <w:rPr>
                <w:rFonts w:cstheme="minorHAnsi"/>
                <w:sz w:val="20"/>
                <w:szCs w:val="20"/>
              </w:rPr>
            </w:pPr>
            <w:r w:rsidRPr="00532B46">
              <w:rPr>
                <w:rFonts w:cstheme="minorHAnsi"/>
                <w:sz w:val="20"/>
                <w:szCs w:val="20"/>
              </w:rPr>
              <w:t>3</w:t>
            </w:r>
          </w:p>
        </w:tc>
        <w:tc>
          <w:tcPr>
            <w:tcW w:w="1843" w:type="dxa"/>
          </w:tcPr>
          <w:p w14:paraId="7B9C5104" w14:textId="77777777" w:rsidR="004C12CF" w:rsidRPr="00532B46" w:rsidRDefault="004C12CF" w:rsidP="00532B46">
            <w:pPr>
              <w:jc w:val="center"/>
              <w:rPr>
                <w:rFonts w:cstheme="minorHAnsi"/>
                <w:sz w:val="20"/>
                <w:szCs w:val="20"/>
              </w:rPr>
            </w:pPr>
            <w:r w:rsidRPr="00532B46">
              <w:rPr>
                <w:rFonts w:cstheme="minorHAnsi"/>
                <w:sz w:val="20"/>
                <w:szCs w:val="20"/>
              </w:rPr>
              <w:t>No</w:t>
            </w:r>
          </w:p>
        </w:tc>
      </w:tr>
      <w:tr w:rsidR="004053D7" w:rsidRPr="00CA4ABC" w14:paraId="3591A9A4" w14:textId="77777777" w:rsidTr="00532B46">
        <w:trPr>
          <w:trHeight w:val="64"/>
        </w:trPr>
        <w:tc>
          <w:tcPr>
            <w:tcW w:w="1413" w:type="dxa"/>
          </w:tcPr>
          <w:p w14:paraId="55447028" w14:textId="77777777" w:rsidR="004C12CF" w:rsidRPr="00532B46" w:rsidRDefault="004C12CF" w:rsidP="00532B46">
            <w:pPr>
              <w:jc w:val="center"/>
              <w:rPr>
                <w:rFonts w:cstheme="minorHAnsi"/>
                <w:sz w:val="20"/>
                <w:szCs w:val="20"/>
              </w:rPr>
            </w:pPr>
            <w:r w:rsidRPr="00532B46">
              <w:rPr>
                <w:rFonts w:cstheme="minorHAnsi"/>
                <w:sz w:val="20"/>
                <w:szCs w:val="20"/>
              </w:rPr>
              <w:t>EN104</w:t>
            </w:r>
          </w:p>
        </w:tc>
        <w:tc>
          <w:tcPr>
            <w:tcW w:w="1984" w:type="dxa"/>
          </w:tcPr>
          <w:p w14:paraId="3D8FA25F" w14:textId="77777777" w:rsidR="004C12CF" w:rsidRPr="00532B46" w:rsidRDefault="004C12CF" w:rsidP="00532B46">
            <w:pPr>
              <w:jc w:val="center"/>
              <w:rPr>
                <w:rFonts w:cstheme="minorHAnsi"/>
                <w:sz w:val="20"/>
                <w:szCs w:val="20"/>
              </w:rPr>
            </w:pPr>
            <w:r w:rsidRPr="00532B46">
              <w:rPr>
                <w:rFonts w:cstheme="minorHAnsi"/>
                <w:sz w:val="20"/>
                <w:szCs w:val="20"/>
              </w:rPr>
              <w:t>17</w:t>
            </w:r>
          </w:p>
        </w:tc>
        <w:tc>
          <w:tcPr>
            <w:tcW w:w="1701" w:type="dxa"/>
          </w:tcPr>
          <w:p w14:paraId="4A54E94F" w14:textId="77777777" w:rsidR="004C12CF" w:rsidRPr="00532B46" w:rsidRDefault="004C12CF" w:rsidP="00532B46">
            <w:pPr>
              <w:jc w:val="center"/>
              <w:rPr>
                <w:rFonts w:cstheme="minorHAnsi"/>
                <w:sz w:val="20"/>
                <w:szCs w:val="20"/>
              </w:rPr>
            </w:pPr>
            <w:r w:rsidRPr="00532B46">
              <w:rPr>
                <w:rFonts w:cstheme="minorHAnsi"/>
                <w:sz w:val="20"/>
                <w:szCs w:val="20"/>
              </w:rPr>
              <w:t>12</w:t>
            </w:r>
          </w:p>
        </w:tc>
        <w:tc>
          <w:tcPr>
            <w:tcW w:w="1843" w:type="dxa"/>
          </w:tcPr>
          <w:p w14:paraId="36874A86" w14:textId="77777777" w:rsidR="004C12CF" w:rsidRPr="00532B46" w:rsidRDefault="004C12CF" w:rsidP="00532B46">
            <w:pPr>
              <w:jc w:val="center"/>
              <w:rPr>
                <w:rFonts w:cstheme="minorHAnsi"/>
                <w:sz w:val="20"/>
                <w:szCs w:val="20"/>
              </w:rPr>
            </w:pPr>
            <w:r w:rsidRPr="00532B46">
              <w:rPr>
                <w:rFonts w:cstheme="minorHAnsi"/>
                <w:sz w:val="20"/>
                <w:szCs w:val="20"/>
              </w:rPr>
              <w:t>1</w:t>
            </w:r>
          </w:p>
        </w:tc>
        <w:tc>
          <w:tcPr>
            <w:tcW w:w="2126" w:type="dxa"/>
          </w:tcPr>
          <w:p w14:paraId="7F42D3D0" w14:textId="77777777" w:rsidR="004C12CF" w:rsidRPr="00532B46" w:rsidRDefault="004C12CF" w:rsidP="00532B46">
            <w:pPr>
              <w:jc w:val="center"/>
              <w:rPr>
                <w:rFonts w:cstheme="minorHAnsi"/>
                <w:sz w:val="20"/>
                <w:szCs w:val="20"/>
              </w:rPr>
            </w:pPr>
            <w:r w:rsidRPr="00532B46">
              <w:rPr>
                <w:rFonts w:cstheme="minorHAnsi"/>
                <w:sz w:val="20"/>
                <w:szCs w:val="20"/>
              </w:rPr>
              <w:t>5</w:t>
            </w:r>
          </w:p>
        </w:tc>
        <w:tc>
          <w:tcPr>
            <w:tcW w:w="1843" w:type="dxa"/>
          </w:tcPr>
          <w:p w14:paraId="41C4CA4C" w14:textId="77777777" w:rsidR="004C12CF" w:rsidRPr="00532B46" w:rsidRDefault="004C12CF" w:rsidP="00532B46">
            <w:pPr>
              <w:jc w:val="center"/>
              <w:rPr>
                <w:rFonts w:cstheme="minorHAnsi"/>
                <w:sz w:val="20"/>
                <w:szCs w:val="20"/>
              </w:rPr>
            </w:pPr>
            <w:r w:rsidRPr="00532B46">
              <w:rPr>
                <w:rFonts w:cstheme="minorHAnsi"/>
                <w:sz w:val="20"/>
                <w:szCs w:val="20"/>
              </w:rPr>
              <w:t>Yes</w:t>
            </w:r>
          </w:p>
        </w:tc>
      </w:tr>
      <w:tr w:rsidR="004053D7" w:rsidRPr="00CA4ABC" w14:paraId="33EA9C75" w14:textId="77777777" w:rsidTr="00532B46">
        <w:trPr>
          <w:trHeight w:val="64"/>
        </w:trPr>
        <w:tc>
          <w:tcPr>
            <w:tcW w:w="1413" w:type="dxa"/>
          </w:tcPr>
          <w:p w14:paraId="3025BEDD" w14:textId="77777777" w:rsidR="004C12CF" w:rsidRPr="00532B46" w:rsidRDefault="004C12CF" w:rsidP="00532B46">
            <w:pPr>
              <w:jc w:val="center"/>
              <w:rPr>
                <w:rFonts w:cstheme="minorHAnsi"/>
                <w:sz w:val="20"/>
                <w:szCs w:val="20"/>
              </w:rPr>
            </w:pPr>
            <w:r w:rsidRPr="00532B46">
              <w:rPr>
                <w:rFonts w:cstheme="minorHAnsi"/>
                <w:sz w:val="20"/>
                <w:szCs w:val="20"/>
              </w:rPr>
              <w:t>EN105</w:t>
            </w:r>
          </w:p>
        </w:tc>
        <w:tc>
          <w:tcPr>
            <w:tcW w:w="1984" w:type="dxa"/>
          </w:tcPr>
          <w:p w14:paraId="3317E64C" w14:textId="77777777" w:rsidR="004C12CF" w:rsidRPr="00532B46" w:rsidRDefault="004C12CF" w:rsidP="00532B46">
            <w:pPr>
              <w:jc w:val="center"/>
              <w:rPr>
                <w:rFonts w:cstheme="minorHAnsi"/>
                <w:sz w:val="20"/>
                <w:szCs w:val="20"/>
              </w:rPr>
            </w:pPr>
            <w:r w:rsidRPr="00532B46">
              <w:rPr>
                <w:rFonts w:cstheme="minorHAnsi"/>
                <w:sz w:val="20"/>
                <w:szCs w:val="20"/>
              </w:rPr>
              <w:t>10</w:t>
            </w:r>
          </w:p>
        </w:tc>
        <w:tc>
          <w:tcPr>
            <w:tcW w:w="1701" w:type="dxa"/>
          </w:tcPr>
          <w:p w14:paraId="36EACC6C" w14:textId="77777777" w:rsidR="004C12CF" w:rsidRPr="00532B46" w:rsidRDefault="004C12CF" w:rsidP="00532B46">
            <w:pPr>
              <w:jc w:val="center"/>
              <w:rPr>
                <w:rFonts w:cstheme="minorHAnsi"/>
                <w:sz w:val="20"/>
                <w:szCs w:val="20"/>
              </w:rPr>
            </w:pPr>
            <w:r w:rsidRPr="00532B46">
              <w:rPr>
                <w:rFonts w:cstheme="minorHAnsi"/>
                <w:sz w:val="20"/>
                <w:szCs w:val="20"/>
              </w:rPr>
              <w:t>1</w:t>
            </w:r>
          </w:p>
        </w:tc>
        <w:tc>
          <w:tcPr>
            <w:tcW w:w="1843" w:type="dxa"/>
          </w:tcPr>
          <w:p w14:paraId="68B12AC4"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2126" w:type="dxa"/>
          </w:tcPr>
          <w:p w14:paraId="6FC291BE" w14:textId="77777777" w:rsidR="004C12CF" w:rsidRPr="00532B46" w:rsidRDefault="004C12CF" w:rsidP="00532B46">
            <w:pPr>
              <w:jc w:val="center"/>
              <w:rPr>
                <w:rFonts w:cstheme="minorHAnsi"/>
                <w:sz w:val="20"/>
                <w:szCs w:val="20"/>
              </w:rPr>
            </w:pPr>
            <w:r w:rsidRPr="00532B46">
              <w:rPr>
                <w:rFonts w:cstheme="minorHAnsi"/>
                <w:sz w:val="20"/>
                <w:szCs w:val="20"/>
              </w:rPr>
              <w:t>5</w:t>
            </w:r>
          </w:p>
        </w:tc>
        <w:tc>
          <w:tcPr>
            <w:tcW w:w="1843" w:type="dxa"/>
          </w:tcPr>
          <w:p w14:paraId="165E1F7C" w14:textId="77777777" w:rsidR="004C12CF" w:rsidRPr="00532B46" w:rsidRDefault="004C12CF" w:rsidP="00532B46">
            <w:pPr>
              <w:jc w:val="center"/>
              <w:rPr>
                <w:rFonts w:cstheme="minorHAnsi"/>
                <w:sz w:val="20"/>
                <w:szCs w:val="20"/>
              </w:rPr>
            </w:pPr>
            <w:r w:rsidRPr="00532B46">
              <w:rPr>
                <w:rFonts w:cstheme="minorHAnsi"/>
                <w:sz w:val="20"/>
                <w:szCs w:val="20"/>
              </w:rPr>
              <w:t>No</w:t>
            </w:r>
          </w:p>
        </w:tc>
      </w:tr>
      <w:tr w:rsidR="004053D7" w:rsidRPr="00CA4ABC" w14:paraId="7A12A217" w14:textId="77777777" w:rsidTr="00532B46">
        <w:trPr>
          <w:trHeight w:val="64"/>
        </w:trPr>
        <w:tc>
          <w:tcPr>
            <w:tcW w:w="1413" w:type="dxa"/>
          </w:tcPr>
          <w:p w14:paraId="4A810820" w14:textId="77777777" w:rsidR="004C12CF" w:rsidRPr="00532B46" w:rsidRDefault="004C12CF" w:rsidP="00532B46">
            <w:pPr>
              <w:jc w:val="center"/>
              <w:rPr>
                <w:rFonts w:cstheme="minorHAnsi"/>
                <w:sz w:val="20"/>
                <w:szCs w:val="20"/>
              </w:rPr>
            </w:pPr>
            <w:r w:rsidRPr="00532B46">
              <w:rPr>
                <w:rFonts w:cstheme="minorHAnsi"/>
                <w:sz w:val="20"/>
                <w:szCs w:val="20"/>
              </w:rPr>
              <w:t>EN106</w:t>
            </w:r>
          </w:p>
        </w:tc>
        <w:tc>
          <w:tcPr>
            <w:tcW w:w="1984" w:type="dxa"/>
          </w:tcPr>
          <w:p w14:paraId="53218260" w14:textId="77777777" w:rsidR="004C12CF" w:rsidRPr="00532B46" w:rsidRDefault="004C12CF" w:rsidP="00532B46">
            <w:pPr>
              <w:jc w:val="center"/>
              <w:rPr>
                <w:rFonts w:cstheme="minorHAnsi"/>
                <w:sz w:val="20"/>
                <w:szCs w:val="20"/>
              </w:rPr>
            </w:pPr>
            <w:r w:rsidRPr="00532B46">
              <w:rPr>
                <w:rFonts w:cstheme="minorHAnsi"/>
                <w:sz w:val="20"/>
                <w:szCs w:val="20"/>
              </w:rPr>
              <w:t>18</w:t>
            </w:r>
          </w:p>
        </w:tc>
        <w:tc>
          <w:tcPr>
            <w:tcW w:w="1701" w:type="dxa"/>
          </w:tcPr>
          <w:p w14:paraId="4793730B" w14:textId="77777777" w:rsidR="004C12CF" w:rsidRPr="00532B46" w:rsidRDefault="004C12CF" w:rsidP="00532B46">
            <w:pPr>
              <w:jc w:val="center"/>
              <w:rPr>
                <w:rFonts w:cstheme="minorHAnsi"/>
                <w:sz w:val="20"/>
                <w:szCs w:val="20"/>
              </w:rPr>
            </w:pPr>
            <w:r w:rsidRPr="00532B46">
              <w:rPr>
                <w:rFonts w:cstheme="minorHAnsi"/>
                <w:sz w:val="20"/>
                <w:szCs w:val="20"/>
              </w:rPr>
              <w:t>11</w:t>
            </w:r>
          </w:p>
        </w:tc>
        <w:tc>
          <w:tcPr>
            <w:tcW w:w="1843" w:type="dxa"/>
          </w:tcPr>
          <w:p w14:paraId="7EB1427C" w14:textId="77777777" w:rsidR="004C12CF" w:rsidRPr="00532B46" w:rsidRDefault="004C12CF" w:rsidP="00532B46">
            <w:pPr>
              <w:jc w:val="center"/>
              <w:rPr>
                <w:rFonts w:cstheme="minorHAnsi"/>
                <w:sz w:val="20"/>
                <w:szCs w:val="20"/>
              </w:rPr>
            </w:pPr>
            <w:r w:rsidRPr="00532B46">
              <w:rPr>
                <w:rFonts w:cstheme="minorHAnsi"/>
                <w:sz w:val="20"/>
                <w:szCs w:val="20"/>
              </w:rPr>
              <w:t>-</w:t>
            </w:r>
          </w:p>
        </w:tc>
        <w:tc>
          <w:tcPr>
            <w:tcW w:w="2126" w:type="dxa"/>
          </w:tcPr>
          <w:p w14:paraId="715098EA" w14:textId="77777777" w:rsidR="004C12CF" w:rsidRPr="00532B46" w:rsidRDefault="004C12CF" w:rsidP="00532B46">
            <w:pPr>
              <w:jc w:val="center"/>
              <w:rPr>
                <w:rFonts w:cstheme="minorHAnsi"/>
                <w:sz w:val="20"/>
                <w:szCs w:val="20"/>
              </w:rPr>
            </w:pPr>
            <w:r w:rsidRPr="00532B46">
              <w:rPr>
                <w:rFonts w:cstheme="minorHAnsi"/>
                <w:sz w:val="20"/>
                <w:szCs w:val="20"/>
              </w:rPr>
              <w:t>6</w:t>
            </w:r>
          </w:p>
        </w:tc>
        <w:tc>
          <w:tcPr>
            <w:tcW w:w="1843" w:type="dxa"/>
          </w:tcPr>
          <w:p w14:paraId="3C072B3D" w14:textId="77777777" w:rsidR="004C12CF" w:rsidRPr="00532B46" w:rsidRDefault="004C12CF" w:rsidP="00532B46">
            <w:pPr>
              <w:jc w:val="center"/>
              <w:rPr>
                <w:rFonts w:cstheme="minorHAnsi"/>
                <w:sz w:val="20"/>
                <w:szCs w:val="20"/>
              </w:rPr>
            </w:pPr>
            <w:r w:rsidRPr="00532B46">
              <w:rPr>
                <w:rFonts w:cstheme="minorHAnsi"/>
                <w:sz w:val="20"/>
                <w:szCs w:val="20"/>
              </w:rPr>
              <w:t>Yes</w:t>
            </w:r>
          </w:p>
        </w:tc>
      </w:tr>
      <w:tr w:rsidR="004053D7" w:rsidRPr="00CA4ABC" w14:paraId="1CE082FE" w14:textId="77777777" w:rsidTr="00532B46">
        <w:trPr>
          <w:trHeight w:val="64"/>
        </w:trPr>
        <w:tc>
          <w:tcPr>
            <w:tcW w:w="1413" w:type="dxa"/>
          </w:tcPr>
          <w:p w14:paraId="37E151E1" w14:textId="77777777" w:rsidR="004C12CF" w:rsidRPr="00532B46" w:rsidRDefault="004C12CF" w:rsidP="00532B46">
            <w:pPr>
              <w:jc w:val="center"/>
              <w:rPr>
                <w:rFonts w:cstheme="minorHAnsi"/>
                <w:sz w:val="20"/>
                <w:szCs w:val="20"/>
              </w:rPr>
            </w:pPr>
            <w:r w:rsidRPr="00532B46">
              <w:rPr>
                <w:rFonts w:cstheme="minorHAnsi"/>
                <w:sz w:val="20"/>
                <w:szCs w:val="20"/>
              </w:rPr>
              <w:t>EN107</w:t>
            </w:r>
          </w:p>
        </w:tc>
        <w:tc>
          <w:tcPr>
            <w:tcW w:w="1984" w:type="dxa"/>
          </w:tcPr>
          <w:p w14:paraId="5A0EF296" w14:textId="77777777" w:rsidR="004C12CF" w:rsidRPr="00532B46" w:rsidRDefault="004C12CF" w:rsidP="00532B46">
            <w:pPr>
              <w:jc w:val="center"/>
              <w:rPr>
                <w:rFonts w:cstheme="minorHAnsi"/>
                <w:sz w:val="20"/>
                <w:szCs w:val="20"/>
              </w:rPr>
            </w:pPr>
            <w:r w:rsidRPr="00532B46">
              <w:rPr>
                <w:rFonts w:cstheme="minorHAnsi"/>
                <w:sz w:val="20"/>
                <w:szCs w:val="20"/>
              </w:rPr>
              <w:t>13</w:t>
            </w:r>
          </w:p>
        </w:tc>
        <w:tc>
          <w:tcPr>
            <w:tcW w:w="1701" w:type="dxa"/>
          </w:tcPr>
          <w:p w14:paraId="0A7D5A22"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1843" w:type="dxa"/>
          </w:tcPr>
          <w:p w14:paraId="05F78493" w14:textId="77777777" w:rsidR="004C12CF" w:rsidRPr="00532B46" w:rsidRDefault="004C12CF" w:rsidP="00532B46">
            <w:pPr>
              <w:jc w:val="center"/>
              <w:rPr>
                <w:rFonts w:cstheme="minorHAnsi"/>
                <w:sz w:val="20"/>
                <w:szCs w:val="20"/>
              </w:rPr>
            </w:pPr>
            <w:r w:rsidRPr="00532B46">
              <w:rPr>
                <w:rFonts w:cstheme="minorHAnsi"/>
                <w:sz w:val="20"/>
                <w:szCs w:val="20"/>
              </w:rPr>
              <w:t>5</w:t>
            </w:r>
          </w:p>
        </w:tc>
        <w:tc>
          <w:tcPr>
            <w:tcW w:w="2126" w:type="dxa"/>
          </w:tcPr>
          <w:p w14:paraId="03A5B40D" w14:textId="77777777" w:rsidR="004C12CF" w:rsidRPr="00532B46" w:rsidRDefault="004C12CF" w:rsidP="00532B46">
            <w:pPr>
              <w:jc w:val="center"/>
              <w:rPr>
                <w:rFonts w:cstheme="minorHAnsi"/>
                <w:sz w:val="20"/>
                <w:szCs w:val="20"/>
              </w:rPr>
            </w:pPr>
            <w:r w:rsidRPr="00532B46">
              <w:rPr>
                <w:rFonts w:cstheme="minorHAnsi"/>
                <w:sz w:val="20"/>
                <w:szCs w:val="20"/>
              </w:rPr>
              <w:t>1</w:t>
            </w:r>
          </w:p>
        </w:tc>
        <w:tc>
          <w:tcPr>
            <w:tcW w:w="1843" w:type="dxa"/>
          </w:tcPr>
          <w:p w14:paraId="06F9167E" w14:textId="77777777" w:rsidR="004C12CF" w:rsidRPr="00532B46" w:rsidRDefault="004C12CF" w:rsidP="00532B46">
            <w:pPr>
              <w:jc w:val="center"/>
              <w:rPr>
                <w:rFonts w:cstheme="minorHAnsi"/>
                <w:sz w:val="20"/>
                <w:szCs w:val="20"/>
              </w:rPr>
            </w:pPr>
            <w:r w:rsidRPr="00532B46">
              <w:rPr>
                <w:rFonts w:cstheme="minorHAnsi"/>
                <w:sz w:val="20"/>
                <w:szCs w:val="20"/>
              </w:rPr>
              <w:t>Yes</w:t>
            </w:r>
          </w:p>
        </w:tc>
      </w:tr>
      <w:tr w:rsidR="004053D7" w:rsidRPr="00CA4ABC" w14:paraId="37190762" w14:textId="77777777" w:rsidTr="00532B46">
        <w:trPr>
          <w:trHeight w:val="164"/>
        </w:trPr>
        <w:tc>
          <w:tcPr>
            <w:tcW w:w="1413" w:type="dxa"/>
          </w:tcPr>
          <w:p w14:paraId="6C0E0BFC" w14:textId="77777777" w:rsidR="004C12CF" w:rsidRPr="00532B46" w:rsidRDefault="004C12CF" w:rsidP="00532B46">
            <w:pPr>
              <w:jc w:val="center"/>
              <w:rPr>
                <w:rFonts w:cstheme="minorHAnsi"/>
                <w:sz w:val="20"/>
                <w:szCs w:val="20"/>
              </w:rPr>
            </w:pPr>
            <w:r w:rsidRPr="00532B46">
              <w:rPr>
                <w:rFonts w:cstheme="minorHAnsi"/>
                <w:sz w:val="20"/>
                <w:szCs w:val="20"/>
              </w:rPr>
              <w:t>EN108</w:t>
            </w:r>
          </w:p>
        </w:tc>
        <w:tc>
          <w:tcPr>
            <w:tcW w:w="1984" w:type="dxa"/>
          </w:tcPr>
          <w:p w14:paraId="71EEA7D9" w14:textId="77777777" w:rsidR="004C12CF" w:rsidRPr="00532B46" w:rsidRDefault="004C12CF" w:rsidP="00532B46">
            <w:pPr>
              <w:jc w:val="center"/>
              <w:rPr>
                <w:rFonts w:cstheme="minorHAnsi"/>
                <w:sz w:val="20"/>
                <w:szCs w:val="20"/>
              </w:rPr>
            </w:pPr>
            <w:r w:rsidRPr="00532B46">
              <w:rPr>
                <w:rFonts w:cstheme="minorHAnsi"/>
                <w:sz w:val="20"/>
                <w:szCs w:val="20"/>
              </w:rPr>
              <w:t>23</w:t>
            </w:r>
          </w:p>
        </w:tc>
        <w:tc>
          <w:tcPr>
            <w:tcW w:w="1701" w:type="dxa"/>
          </w:tcPr>
          <w:p w14:paraId="6BAA1FD9" w14:textId="77777777" w:rsidR="004C12CF" w:rsidRPr="00532B46" w:rsidRDefault="004C12CF" w:rsidP="00532B46">
            <w:pPr>
              <w:jc w:val="center"/>
              <w:rPr>
                <w:rFonts w:cstheme="minorHAnsi"/>
                <w:sz w:val="20"/>
                <w:szCs w:val="20"/>
              </w:rPr>
            </w:pPr>
            <w:r w:rsidRPr="00532B46">
              <w:rPr>
                <w:rFonts w:cstheme="minorHAnsi"/>
                <w:sz w:val="20"/>
                <w:szCs w:val="20"/>
              </w:rPr>
              <w:t>10</w:t>
            </w:r>
          </w:p>
        </w:tc>
        <w:tc>
          <w:tcPr>
            <w:tcW w:w="1843" w:type="dxa"/>
          </w:tcPr>
          <w:p w14:paraId="7894B6F3" w14:textId="77777777" w:rsidR="004C12CF" w:rsidRPr="00532B46" w:rsidRDefault="004C12CF" w:rsidP="00532B46">
            <w:pPr>
              <w:jc w:val="center"/>
              <w:rPr>
                <w:rFonts w:cstheme="minorHAnsi"/>
                <w:sz w:val="20"/>
                <w:szCs w:val="20"/>
              </w:rPr>
            </w:pPr>
            <w:r w:rsidRPr="00532B46">
              <w:rPr>
                <w:rFonts w:cstheme="minorHAnsi"/>
                <w:sz w:val="20"/>
                <w:szCs w:val="20"/>
              </w:rPr>
              <w:t>-</w:t>
            </w:r>
          </w:p>
        </w:tc>
        <w:tc>
          <w:tcPr>
            <w:tcW w:w="2126" w:type="dxa"/>
          </w:tcPr>
          <w:p w14:paraId="7C3B7080" w14:textId="77777777" w:rsidR="004C12CF" w:rsidRPr="00532B46" w:rsidRDefault="004C12CF" w:rsidP="00532B46">
            <w:pPr>
              <w:jc w:val="center"/>
              <w:rPr>
                <w:rFonts w:cstheme="minorHAnsi"/>
                <w:sz w:val="20"/>
                <w:szCs w:val="20"/>
              </w:rPr>
            </w:pPr>
            <w:r w:rsidRPr="00532B46">
              <w:rPr>
                <w:rFonts w:cstheme="minorHAnsi"/>
                <w:sz w:val="20"/>
                <w:szCs w:val="20"/>
              </w:rPr>
              <w:t>6</w:t>
            </w:r>
          </w:p>
        </w:tc>
        <w:tc>
          <w:tcPr>
            <w:tcW w:w="1843" w:type="dxa"/>
          </w:tcPr>
          <w:p w14:paraId="0F57D1D1" w14:textId="77777777" w:rsidR="004C12CF" w:rsidRPr="00532B46" w:rsidRDefault="004C12CF" w:rsidP="00532B46">
            <w:pPr>
              <w:jc w:val="center"/>
              <w:rPr>
                <w:rFonts w:cstheme="minorHAnsi"/>
                <w:sz w:val="20"/>
                <w:szCs w:val="20"/>
              </w:rPr>
            </w:pPr>
            <w:r w:rsidRPr="00532B46">
              <w:rPr>
                <w:rFonts w:cstheme="minorHAnsi"/>
                <w:sz w:val="20"/>
                <w:szCs w:val="20"/>
              </w:rPr>
              <w:t>Yes</w:t>
            </w:r>
          </w:p>
        </w:tc>
      </w:tr>
      <w:tr w:rsidR="004053D7" w:rsidRPr="00CA4ABC" w14:paraId="5D6EFB53" w14:textId="77777777" w:rsidTr="00532B46">
        <w:trPr>
          <w:trHeight w:val="64"/>
        </w:trPr>
        <w:tc>
          <w:tcPr>
            <w:tcW w:w="1413" w:type="dxa"/>
          </w:tcPr>
          <w:p w14:paraId="563D06E1" w14:textId="77777777" w:rsidR="004C12CF" w:rsidRPr="00532B46" w:rsidRDefault="004C12CF" w:rsidP="00532B46">
            <w:pPr>
              <w:jc w:val="center"/>
              <w:rPr>
                <w:rFonts w:cstheme="minorHAnsi"/>
                <w:sz w:val="20"/>
                <w:szCs w:val="20"/>
              </w:rPr>
            </w:pPr>
            <w:r w:rsidRPr="00532B46">
              <w:rPr>
                <w:rFonts w:cstheme="minorHAnsi"/>
                <w:sz w:val="20"/>
                <w:szCs w:val="20"/>
              </w:rPr>
              <w:t>EN109</w:t>
            </w:r>
          </w:p>
        </w:tc>
        <w:tc>
          <w:tcPr>
            <w:tcW w:w="1984" w:type="dxa"/>
          </w:tcPr>
          <w:p w14:paraId="7E3DBC21" w14:textId="77777777" w:rsidR="004C12CF" w:rsidRPr="00532B46" w:rsidRDefault="004C12CF" w:rsidP="00532B46">
            <w:pPr>
              <w:jc w:val="center"/>
              <w:rPr>
                <w:rFonts w:cstheme="minorHAnsi"/>
                <w:sz w:val="20"/>
                <w:szCs w:val="20"/>
              </w:rPr>
            </w:pPr>
            <w:r w:rsidRPr="00532B46">
              <w:rPr>
                <w:rFonts w:cstheme="minorHAnsi"/>
                <w:sz w:val="20"/>
                <w:szCs w:val="20"/>
              </w:rPr>
              <w:t>13</w:t>
            </w:r>
          </w:p>
        </w:tc>
        <w:tc>
          <w:tcPr>
            <w:tcW w:w="1701" w:type="dxa"/>
          </w:tcPr>
          <w:p w14:paraId="21672863" w14:textId="77777777" w:rsidR="004C12CF" w:rsidRPr="00532B46" w:rsidRDefault="004C12CF" w:rsidP="00532B46">
            <w:pPr>
              <w:jc w:val="center"/>
              <w:rPr>
                <w:rFonts w:cstheme="minorHAnsi"/>
                <w:sz w:val="20"/>
                <w:szCs w:val="20"/>
              </w:rPr>
            </w:pPr>
            <w:r w:rsidRPr="00532B46">
              <w:rPr>
                <w:rFonts w:cstheme="minorHAnsi"/>
                <w:sz w:val="20"/>
                <w:szCs w:val="20"/>
              </w:rPr>
              <w:t>10.5*</w:t>
            </w:r>
          </w:p>
        </w:tc>
        <w:tc>
          <w:tcPr>
            <w:tcW w:w="1843" w:type="dxa"/>
          </w:tcPr>
          <w:p w14:paraId="0D85351C" w14:textId="77777777" w:rsidR="004C12CF" w:rsidRPr="00532B46" w:rsidRDefault="004C12CF" w:rsidP="00532B46">
            <w:pPr>
              <w:jc w:val="center"/>
              <w:rPr>
                <w:rFonts w:cstheme="minorHAnsi"/>
                <w:sz w:val="20"/>
                <w:szCs w:val="20"/>
              </w:rPr>
            </w:pPr>
            <w:r w:rsidRPr="00532B46">
              <w:rPr>
                <w:rFonts w:cstheme="minorHAnsi"/>
                <w:sz w:val="20"/>
                <w:szCs w:val="20"/>
              </w:rPr>
              <w:t>5</w:t>
            </w:r>
          </w:p>
        </w:tc>
        <w:tc>
          <w:tcPr>
            <w:tcW w:w="2126" w:type="dxa"/>
          </w:tcPr>
          <w:p w14:paraId="4A53302A" w14:textId="77777777" w:rsidR="004C12CF" w:rsidRPr="00532B46" w:rsidRDefault="004C12CF" w:rsidP="00532B46">
            <w:pPr>
              <w:jc w:val="center"/>
              <w:rPr>
                <w:rFonts w:cstheme="minorHAnsi"/>
                <w:sz w:val="20"/>
                <w:szCs w:val="20"/>
              </w:rPr>
            </w:pPr>
            <w:r w:rsidRPr="00532B46">
              <w:rPr>
                <w:rFonts w:cstheme="minorHAnsi"/>
                <w:sz w:val="20"/>
                <w:szCs w:val="20"/>
              </w:rPr>
              <w:t>1</w:t>
            </w:r>
          </w:p>
        </w:tc>
        <w:tc>
          <w:tcPr>
            <w:tcW w:w="1843" w:type="dxa"/>
          </w:tcPr>
          <w:p w14:paraId="746B8F8D" w14:textId="77777777" w:rsidR="004C12CF" w:rsidRPr="00532B46" w:rsidRDefault="004C12CF" w:rsidP="00532B46">
            <w:pPr>
              <w:jc w:val="center"/>
              <w:rPr>
                <w:rFonts w:cstheme="minorHAnsi"/>
                <w:sz w:val="20"/>
                <w:szCs w:val="20"/>
              </w:rPr>
            </w:pPr>
            <w:r w:rsidRPr="00532B46">
              <w:rPr>
                <w:rFonts w:cstheme="minorHAnsi"/>
                <w:sz w:val="20"/>
                <w:szCs w:val="20"/>
              </w:rPr>
              <w:t>Yes</w:t>
            </w:r>
          </w:p>
        </w:tc>
      </w:tr>
      <w:tr w:rsidR="004053D7" w:rsidRPr="00CA4ABC" w14:paraId="3D57341C" w14:textId="77777777" w:rsidTr="00532B46">
        <w:trPr>
          <w:trHeight w:val="64"/>
        </w:trPr>
        <w:tc>
          <w:tcPr>
            <w:tcW w:w="1413" w:type="dxa"/>
          </w:tcPr>
          <w:p w14:paraId="05AC7699" w14:textId="77777777" w:rsidR="004C12CF" w:rsidRPr="00532B46" w:rsidRDefault="004C12CF" w:rsidP="00532B46">
            <w:pPr>
              <w:jc w:val="center"/>
              <w:rPr>
                <w:rFonts w:cstheme="minorHAnsi"/>
                <w:sz w:val="20"/>
                <w:szCs w:val="20"/>
              </w:rPr>
            </w:pPr>
            <w:r w:rsidRPr="00532B46">
              <w:rPr>
                <w:rFonts w:cstheme="minorHAnsi"/>
                <w:sz w:val="20"/>
                <w:szCs w:val="20"/>
              </w:rPr>
              <w:t>EN110</w:t>
            </w:r>
          </w:p>
        </w:tc>
        <w:tc>
          <w:tcPr>
            <w:tcW w:w="1984" w:type="dxa"/>
          </w:tcPr>
          <w:p w14:paraId="444E7E15" w14:textId="77777777" w:rsidR="004C12CF" w:rsidRPr="00532B46" w:rsidRDefault="004C12CF" w:rsidP="00532B46">
            <w:pPr>
              <w:jc w:val="center"/>
              <w:rPr>
                <w:rFonts w:cstheme="minorHAnsi"/>
                <w:sz w:val="20"/>
                <w:szCs w:val="20"/>
              </w:rPr>
            </w:pPr>
            <w:r w:rsidRPr="00532B46">
              <w:rPr>
                <w:rFonts w:cstheme="minorHAnsi"/>
                <w:sz w:val="20"/>
                <w:szCs w:val="20"/>
              </w:rPr>
              <w:t>10</w:t>
            </w:r>
          </w:p>
        </w:tc>
        <w:tc>
          <w:tcPr>
            <w:tcW w:w="1701" w:type="dxa"/>
          </w:tcPr>
          <w:p w14:paraId="1247D5CE" w14:textId="77777777" w:rsidR="004C12CF" w:rsidRPr="00532B46" w:rsidRDefault="004C12CF" w:rsidP="00532B46">
            <w:pPr>
              <w:jc w:val="center"/>
              <w:rPr>
                <w:rFonts w:cstheme="minorHAnsi"/>
                <w:sz w:val="20"/>
                <w:szCs w:val="20"/>
              </w:rPr>
            </w:pPr>
            <w:r w:rsidRPr="00532B46">
              <w:rPr>
                <w:rFonts w:cstheme="minorHAnsi"/>
                <w:sz w:val="20"/>
                <w:szCs w:val="20"/>
              </w:rPr>
              <w:t>4</w:t>
            </w:r>
          </w:p>
        </w:tc>
        <w:tc>
          <w:tcPr>
            <w:tcW w:w="1843" w:type="dxa"/>
          </w:tcPr>
          <w:p w14:paraId="68E20212" w14:textId="77777777" w:rsidR="004C12CF" w:rsidRPr="00532B46" w:rsidRDefault="004C12CF" w:rsidP="00532B46">
            <w:pPr>
              <w:jc w:val="center"/>
              <w:rPr>
                <w:rFonts w:cstheme="minorHAnsi"/>
                <w:sz w:val="20"/>
                <w:szCs w:val="20"/>
              </w:rPr>
            </w:pPr>
            <w:r w:rsidRPr="00532B46">
              <w:rPr>
                <w:rFonts w:cstheme="minorHAnsi"/>
                <w:sz w:val="20"/>
                <w:szCs w:val="20"/>
              </w:rPr>
              <w:t>3</w:t>
            </w:r>
          </w:p>
        </w:tc>
        <w:tc>
          <w:tcPr>
            <w:tcW w:w="2126" w:type="dxa"/>
          </w:tcPr>
          <w:p w14:paraId="41765C42" w14:textId="77777777" w:rsidR="004C12CF" w:rsidRPr="00532B46" w:rsidRDefault="004C12CF" w:rsidP="00532B46">
            <w:pPr>
              <w:jc w:val="center"/>
              <w:rPr>
                <w:rFonts w:cstheme="minorHAnsi"/>
                <w:sz w:val="20"/>
                <w:szCs w:val="20"/>
              </w:rPr>
            </w:pPr>
            <w:r w:rsidRPr="00532B46">
              <w:rPr>
                <w:rFonts w:cstheme="minorHAnsi"/>
                <w:sz w:val="20"/>
                <w:szCs w:val="20"/>
              </w:rPr>
              <w:t>1</w:t>
            </w:r>
          </w:p>
        </w:tc>
        <w:tc>
          <w:tcPr>
            <w:tcW w:w="1843" w:type="dxa"/>
          </w:tcPr>
          <w:p w14:paraId="74BE2325" w14:textId="77777777" w:rsidR="004C12CF" w:rsidRPr="00532B46" w:rsidRDefault="004C12CF" w:rsidP="00532B46">
            <w:pPr>
              <w:jc w:val="center"/>
              <w:rPr>
                <w:rFonts w:cstheme="minorHAnsi"/>
                <w:sz w:val="20"/>
                <w:szCs w:val="20"/>
              </w:rPr>
            </w:pPr>
            <w:r w:rsidRPr="00532B46">
              <w:rPr>
                <w:rFonts w:cstheme="minorHAnsi"/>
                <w:sz w:val="20"/>
                <w:szCs w:val="20"/>
              </w:rPr>
              <w:t>No</w:t>
            </w:r>
          </w:p>
        </w:tc>
      </w:tr>
      <w:tr w:rsidR="004053D7" w:rsidRPr="00CA4ABC" w14:paraId="286024E3" w14:textId="77777777" w:rsidTr="00532B46">
        <w:trPr>
          <w:trHeight w:val="73"/>
        </w:trPr>
        <w:tc>
          <w:tcPr>
            <w:tcW w:w="1413" w:type="dxa"/>
          </w:tcPr>
          <w:p w14:paraId="5576DEC7" w14:textId="77777777" w:rsidR="004C12CF" w:rsidRPr="00532B46" w:rsidRDefault="004C12CF" w:rsidP="00532B46">
            <w:pPr>
              <w:jc w:val="center"/>
              <w:rPr>
                <w:rFonts w:cstheme="minorHAnsi"/>
                <w:sz w:val="20"/>
                <w:szCs w:val="20"/>
              </w:rPr>
            </w:pPr>
            <w:r w:rsidRPr="00532B46">
              <w:rPr>
                <w:rFonts w:cstheme="minorHAnsi"/>
                <w:sz w:val="20"/>
                <w:szCs w:val="20"/>
              </w:rPr>
              <w:t>EN112</w:t>
            </w:r>
          </w:p>
        </w:tc>
        <w:tc>
          <w:tcPr>
            <w:tcW w:w="1984" w:type="dxa"/>
          </w:tcPr>
          <w:p w14:paraId="4C4D5282" w14:textId="77777777" w:rsidR="004C12CF" w:rsidRPr="00532B46" w:rsidRDefault="004C12CF" w:rsidP="00532B46">
            <w:pPr>
              <w:jc w:val="center"/>
              <w:rPr>
                <w:rFonts w:cstheme="minorHAnsi"/>
                <w:sz w:val="20"/>
                <w:szCs w:val="20"/>
              </w:rPr>
            </w:pPr>
            <w:r w:rsidRPr="00532B46">
              <w:rPr>
                <w:rFonts w:cstheme="minorHAnsi"/>
                <w:sz w:val="20"/>
                <w:szCs w:val="20"/>
              </w:rPr>
              <w:t>12</w:t>
            </w:r>
          </w:p>
        </w:tc>
        <w:tc>
          <w:tcPr>
            <w:tcW w:w="1701" w:type="dxa"/>
          </w:tcPr>
          <w:p w14:paraId="4D631360" w14:textId="77777777" w:rsidR="004C12CF" w:rsidRPr="00532B46" w:rsidRDefault="004C12CF" w:rsidP="00532B46">
            <w:pPr>
              <w:jc w:val="center"/>
              <w:rPr>
                <w:rFonts w:cstheme="minorHAnsi"/>
                <w:sz w:val="20"/>
                <w:szCs w:val="20"/>
              </w:rPr>
            </w:pPr>
            <w:r w:rsidRPr="00532B46">
              <w:rPr>
                <w:rFonts w:cstheme="minorHAnsi"/>
                <w:sz w:val="20"/>
                <w:szCs w:val="20"/>
              </w:rPr>
              <w:t>4</w:t>
            </w:r>
          </w:p>
        </w:tc>
        <w:tc>
          <w:tcPr>
            <w:tcW w:w="1843" w:type="dxa"/>
          </w:tcPr>
          <w:p w14:paraId="6CEB3505" w14:textId="77777777" w:rsidR="004C12CF" w:rsidRPr="00532B46" w:rsidRDefault="004C12CF" w:rsidP="00532B46">
            <w:pPr>
              <w:jc w:val="center"/>
              <w:rPr>
                <w:rFonts w:cstheme="minorHAnsi"/>
                <w:sz w:val="20"/>
                <w:szCs w:val="20"/>
              </w:rPr>
            </w:pPr>
            <w:r w:rsidRPr="00532B46">
              <w:rPr>
                <w:rFonts w:cstheme="minorHAnsi"/>
                <w:sz w:val="20"/>
                <w:szCs w:val="20"/>
              </w:rPr>
              <w:t>6</w:t>
            </w:r>
          </w:p>
        </w:tc>
        <w:tc>
          <w:tcPr>
            <w:tcW w:w="2126" w:type="dxa"/>
          </w:tcPr>
          <w:p w14:paraId="165DF748"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1843" w:type="dxa"/>
          </w:tcPr>
          <w:p w14:paraId="2DE43F61" w14:textId="77777777" w:rsidR="004C12CF" w:rsidRPr="00532B46" w:rsidRDefault="004C12CF" w:rsidP="00532B46">
            <w:pPr>
              <w:jc w:val="center"/>
              <w:rPr>
                <w:rFonts w:cstheme="minorHAnsi"/>
                <w:sz w:val="20"/>
                <w:szCs w:val="20"/>
              </w:rPr>
            </w:pPr>
            <w:r w:rsidRPr="00532B46">
              <w:rPr>
                <w:rFonts w:cstheme="minorHAnsi"/>
                <w:sz w:val="20"/>
                <w:szCs w:val="20"/>
              </w:rPr>
              <w:t>Yes</w:t>
            </w:r>
          </w:p>
        </w:tc>
      </w:tr>
      <w:tr w:rsidR="004053D7" w:rsidRPr="00CA4ABC" w14:paraId="3CA22C51" w14:textId="77777777" w:rsidTr="005F45D1">
        <w:trPr>
          <w:trHeight w:val="92"/>
        </w:trPr>
        <w:tc>
          <w:tcPr>
            <w:tcW w:w="1413" w:type="dxa"/>
          </w:tcPr>
          <w:p w14:paraId="0B73D83B" w14:textId="77777777" w:rsidR="004C12CF" w:rsidRPr="00532B46" w:rsidRDefault="004C12CF" w:rsidP="00532B46">
            <w:pPr>
              <w:jc w:val="center"/>
              <w:rPr>
                <w:rFonts w:cstheme="minorHAnsi"/>
                <w:sz w:val="20"/>
                <w:szCs w:val="20"/>
              </w:rPr>
            </w:pPr>
            <w:r w:rsidRPr="00532B46">
              <w:rPr>
                <w:rFonts w:cstheme="minorHAnsi"/>
                <w:sz w:val="20"/>
                <w:szCs w:val="20"/>
              </w:rPr>
              <w:t>EN113</w:t>
            </w:r>
          </w:p>
        </w:tc>
        <w:tc>
          <w:tcPr>
            <w:tcW w:w="1984" w:type="dxa"/>
          </w:tcPr>
          <w:p w14:paraId="763B1903" w14:textId="77777777" w:rsidR="004C12CF" w:rsidRPr="00532B46" w:rsidRDefault="004C12CF" w:rsidP="00532B46">
            <w:pPr>
              <w:jc w:val="center"/>
              <w:rPr>
                <w:rFonts w:cstheme="minorHAnsi"/>
                <w:sz w:val="20"/>
                <w:szCs w:val="20"/>
              </w:rPr>
            </w:pPr>
            <w:r w:rsidRPr="00532B46">
              <w:rPr>
                <w:rFonts w:cstheme="minorHAnsi"/>
                <w:sz w:val="20"/>
                <w:szCs w:val="20"/>
              </w:rPr>
              <w:t>10</w:t>
            </w:r>
          </w:p>
        </w:tc>
        <w:tc>
          <w:tcPr>
            <w:tcW w:w="1701" w:type="dxa"/>
          </w:tcPr>
          <w:p w14:paraId="543B702A" w14:textId="77777777" w:rsidR="004C12CF" w:rsidRPr="00532B46" w:rsidRDefault="004C12CF" w:rsidP="00532B46">
            <w:pPr>
              <w:jc w:val="center"/>
              <w:rPr>
                <w:rFonts w:cstheme="minorHAnsi"/>
                <w:sz w:val="20"/>
                <w:szCs w:val="20"/>
              </w:rPr>
            </w:pPr>
            <w:r w:rsidRPr="00532B46">
              <w:rPr>
                <w:rFonts w:cstheme="minorHAnsi"/>
                <w:sz w:val="20"/>
                <w:szCs w:val="20"/>
              </w:rPr>
              <w:t>5</w:t>
            </w:r>
          </w:p>
        </w:tc>
        <w:tc>
          <w:tcPr>
            <w:tcW w:w="1843" w:type="dxa"/>
          </w:tcPr>
          <w:p w14:paraId="074AE0A4" w14:textId="77777777" w:rsidR="004C12CF" w:rsidRPr="00532B46" w:rsidRDefault="004C12CF" w:rsidP="00532B46">
            <w:pPr>
              <w:jc w:val="center"/>
              <w:rPr>
                <w:rFonts w:cstheme="minorHAnsi"/>
                <w:sz w:val="20"/>
                <w:szCs w:val="20"/>
              </w:rPr>
            </w:pPr>
            <w:r w:rsidRPr="00532B46">
              <w:rPr>
                <w:rFonts w:cstheme="minorHAnsi"/>
                <w:sz w:val="20"/>
                <w:szCs w:val="20"/>
              </w:rPr>
              <w:t>4</w:t>
            </w:r>
          </w:p>
        </w:tc>
        <w:tc>
          <w:tcPr>
            <w:tcW w:w="2126" w:type="dxa"/>
          </w:tcPr>
          <w:p w14:paraId="5E989DD6" w14:textId="77777777" w:rsidR="004C12CF" w:rsidRPr="00532B46" w:rsidRDefault="004C12CF" w:rsidP="00532B46">
            <w:pPr>
              <w:jc w:val="center"/>
              <w:rPr>
                <w:rFonts w:cstheme="minorHAnsi"/>
                <w:sz w:val="20"/>
                <w:szCs w:val="20"/>
              </w:rPr>
            </w:pPr>
            <w:r w:rsidRPr="00532B46">
              <w:rPr>
                <w:rFonts w:cstheme="minorHAnsi"/>
                <w:sz w:val="20"/>
                <w:szCs w:val="20"/>
              </w:rPr>
              <w:t>0</w:t>
            </w:r>
          </w:p>
        </w:tc>
        <w:tc>
          <w:tcPr>
            <w:tcW w:w="1843" w:type="dxa"/>
          </w:tcPr>
          <w:p w14:paraId="1FEC05AB" w14:textId="77777777" w:rsidR="004C12CF" w:rsidRPr="00532B46" w:rsidRDefault="004C12CF" w:rsidP="00532B46">
            <w:pPr>
              <w:jc w:val="center"/>
              <w:rPr>
                <w:rFonts w:cstheme="minorHAnsi"/>
                <w:sz w:val="20"/>
                <w:szCs w:val="20"/>
              </w:rPr>
            </w:pPr>
            <w:r w:rsidRPr="00532B46">
              <w:rPr>
                <w:rFonts w:cstheme="minorHAnsi"/>
                <w:sz w:val="20"/>
                <w:szCs w:val="20"/>
              </w:rPr>
              <w:t>No</w:t>
            </w:r>
          </w:p>
        </w:tc>
      </w:tr>
    </w:tbl>
    <w:p w14:paraId="348AE5EF" w14:textId="0312E20E" w:rsidR="004C12CF" w:rsidRPr="00F350E9" w:rsidRDefault="004C12CF" w:rsidP="004053D7">
      <w:pPr>
        <w:pStyle w:val="Caption"/>
        <w:spacing w:line="360" w:lineRule="auto"/>
        <w:rPr>
          <w:rFonts w:cstheme="minorHAnsi"/>
          <w:i w:val="0"/>
          <w:iCs w:val="0"/>
          <w:color w:val="000000" w:themeColor="text1"/>
          <w:sz w:val="24"/>
          <w:szCs w:val="24"/>
        </w:rPr>
      </w:pPr>
      <w:bookmarkStart w:id="305" w:name="_Ref122446704"/>
      <w:bookmarkStart w:id="306" w:name="_Toc122956584"/>
      <w:r w:rsidRPr="00F350E9">
        <w:rPr>
          <w:rFonts w:cstheme="minorHAnsi"/>
          <w:i w:val="0"/>
          <w:iCs w:val="0"/>
          <w:color w:val="000000" w:themeColor="text1"/>
          <w:sz w:val="24"/>
          <w:szCs w:val="24"/>
        </w:rPr>
        <w:t xml:space="preserve">Table </w:t>
      </w:r>
      <w:r w:rsidRPr="00F350E9">
        <w:rPr>
          <w:rFonts w:cstheme="minorHAnsi"/>
          <w:i w:val="0"/>
          <w:iCs w:val="0"/>
          <w:color w:val="000000" w:themeColor="text1"/>
          <w:sz w:val="24"/>
          <w:szCs w:val="24"/>
        </w:rPr>
        <w:fldChar w:fldCharType="begin"/>
      </w:r>
      <w:r w:rsidRPr="00F350E9">
        <w:rPr>
          <w:rFonts w:cstheme="minorHAnsi"/>
          <w:i w:val="0"/>
          <w:iCs w:val="0"/>
          <w:color w:val="000000" w:themeColor="text1"/>
          <w:sz w:val="24"/>
          <w:szCs w:val="24"/>
        </w:rPr>
        <w:instrText xml:space="preserve"> SEQ Table \* ARABIC </w:instrText>
      </w:r>
      <w:r w:rsidRPr="00F350E9">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21</w:t>
      </w:r>
      <w:r w:rsidRPr="00F350E9">
        <w:rPr>
          <w:rFonts w:cstheme="minorHAnsi"/>
          <w:i w:val="0"/>
          <w:iCs w:val="0"/>
          <w:color w:val="000000" w:themeColor="text1"/>
          <w:sz w:val="24"/>
          <w:szCs w:val="24"/>
        </w:rPr>
        <w:fldChar w:fldCharType="end"/>
      </w:r>
      <w:bookmarkEnd w:id="305"/>
      <w:r w:rsidR="00F350E9" w:rsidRPr="00F350E9">
        <w:rPr>
          <w:rFonts w:cstheme="minorHAnsi"/>
          <w:i w:val="0"/>
          <w:iCs w:val="0"/>
          <w:color w:val="000000" w:themeColor="text1"/>
          <w:sz w:val="24"/>
          <w:szCs w:val="24"/>
        </w:rPr>
        <w:t xml:space="preserve">. </w:t>
      </w:r>
      <w:r w:rsidRPr="00F350E9">
        <w:rPr>
          <w:rFonts w:cstheme="minorHAnsi"/>
          <w:i w:val="0"/>
          <w:iCs w:val="0"/>
          <w:color w:val="000000" w:themeColor="text1"/>
          <w:sz w:val="24"/>
          <w:szCs w:val="24"/>
        </w:rPr>
        <w:t>An individual breakdown of the number of session each participant attended.</w:t>
      </w:r>
      <w:bookmarkEnd w:id="306"/>
    </w:p>
    <w:p w14:paraId="4FA3D8BE" w14:textId="77777777" w:rsidR="004C12CF" w:rsidRPr="00CA4ABC" w:rsidRDefault="004C12CF" w:rsidP="004053D7">
      <w:pPr>
        <w:pStyle w:val="MDPI52figure"/>
        <w:spacing w:line="360" w:lineRule="auto"/>
        <w:jc w:val="left"/>
        <w:rPr>
          <w:rFonts w:asciiTheme="minorHAnsi" w:hAnsiTheme="minorHAnsi" w:cstheme="minorHAnsi"/>
          <w:color w:val="000000" w:themeColor="text1"/>
          <w:sz w:val="24"/>
          <w:szCs w:val="24"/>
        </w:rPr>
      </w:pPr>
      <w:r w:rsidRPr="00CA4ABC">
        <w:rPr>
          <w:rFonts w:asciiTheme="minorHAnsi" w:hAnsiTheme="minorHAnsi" w:cstheme="minorHAnsi"/>
          <w:color w:val="000000" w:themeColor="text1"/>
          <w:sz w:val="24"/>
          <w:szCs w:val="24"/>
        </w:rPr>
        <w:t>*Dropped out halfway through a session.</w:t>
      </w:r>
    </w:p>
    <w:p w14:paraId="5D56F809" w14:textId="5A2BA5AB" w:rsidR="004C12CF" w:rsidRPr="00CA4ABC" w:rsidRDefault="004C12CF" w:rsidP="004053D7">
      <w:pPr>
        <w:pStyle w:val="MDPI52figure"/>
        <w:spacing w:line="360" w:lineRule="auto"/>
        <w:jc w:val="left"/>
        <w:outlineLvl w:val="2"/>
        <w:rPr>
          <w:rFonts w:asciiTheme="minorHAnsi" w:hAnsiTheme="minorHAnsi" w:cstheme="minorHAnsi"/>
          <w:color w:val="000000" w:themeColor="text1"/>
          <w:sz w:val="24"/>
          <w:szCs w:val="24"/>
        </w:rPr>
      </w:pPr>
      <w:bookmarkStart w:id="307" w:name="_Toc135384371"/>
      <w:r w:rsidRPr="00CA4ABC">
        <w:rPr>
          <w:rFonts w:asciiTheme="minorHAnsi" w:hAnsiTheme="minorHAnsi" w:cstheme="minorHAnsi"/>
          <w:color w:val="000000" w:themeColor="text1"/>
          <w:sz w:val="24"/>
          <w:szCs w:val="24"/>
        </w:rPr>
        <w:t>5.3.2.2.2 RPE scores</w:t>
      </w:r>
      <w:bookmarkEnd w:id="307"/>
    </w:p>
    <w:p w14:paraId="6C7655D2" w14:textId="2FC673E8" w:rsidR="004C12CF" w:rsidRPr="00CA4ABC" w:rsidRDefault="004C12CF" w:rsidP="004053D7">
      <w:pPr>
        <w:pStyle w:val="MDPI52figure"/>
        <w:spacing w:line="360" w:lineRule="auto"/>
        <w:jc w:val="left"/>
        <w:rPr>
          <w:rFonts w:asciiTheme="minorHAnsi" w:hAnsiTheme="minorHAnsi" w:cstheme="minorHAnsi"/>
          <w:color w:val="000000" w:themeColor="text1"/>
          <w:sz w:val="24"/>
          <w:szCs w:val="24"/>
        </w:rPr>
      </w:pPr>
      <w:r w:rsidRPr="00CA4ABC">
        <w:rPr>
          <w:rFonts w:asciiTheme="minorHAnsi" w:hAnsiTheme="minorHAnsi" w:cstheme="minorHAnsi"/>
          <w:color w:val="000000" w:themeColor="text1"/>
          <w:sz w:val="24"/>
          <w:szCs w:val="24"/>
        </w:rPr>
        <w:t>Average RPE scores for all participants who completed this information from week one to week six were: 5.9, 6.4, 6.6, 7.0, 6.4 and 7.6</w:t>
      </w:r>
      <w:r w:rsidR="0017120A" w:rsidRPr="00CA4ABC">
        <w:rPr>
          <w:rFonts w:asciiTheme="minorHAnsi" w:hAnsiTheme="minorHAnsi" w:cstheme="minorHAnsi"/>
          <w:color w:val="000000" w:themeColor="text1"/>
          <w:sz w:val="24"/>
          <w:szCs w:val="24"/>
        </w:rPr>
        <w:t xml:space="preserve"> (</w:t>
      </w:r>
      <w:r w:rsidR="0017120A" w:rsidRPr="00CA4ABC">
        <w:rPr>
          <w:rFonts w:asciiTheme="minorHAnsi" w:hAnsiTheme="minorHAnsi" w:cstheme="minorHAnsi"/>
          <w:color w:val="000000" w:themeColor="text1"/>
          <w:sz w:val="24"/>
          <w:szCs w:val="24"/>
        </w:rPr>
        <w:fldChar w:fldCharType="begin"/>
      </w:r>
      <w:r w:rsidR="0017120A" w:rsidRPr="00CA4ABC">
        <w:rPr>
          <w:rFonts w:asciiTheme="minorHAnsi" w:hAnsiTheme="minorHAnsi" w:cstheme="minorHAnsi"/>
          <w:color w:val="000000" w:themeColor="text1"/>
          <w:sz w:val="24"/>
          <w:szCs w:val="24"/>
        </w:rPr>
        <w:instrText xml:space="preserve"> REF _Ref122446765 \h  \* MERGEFORMAT </w:instrText>
      </w:r>
      <w:r w:rsidR="0017120A" w:rsidRPr="00CA4ABC">
        <w:rPr>
          <w:rFonts w:asciiTheme="minorHAnsi" w:hAnsiTheme="minorHAnsi" w:cstheme="minorHAnsi"/>
          <w:color w:val="000000" w:themeColor="text1"/>
          <w:sz w:val="24"/>
          <w:szCs w:val="24"/>
        </w:rPr>
      </w:r>
      <w:r w:rsidR="0017120A" w:rsidRPr="00CA4ABC">
        <w:rPr>
          <w:rFonts w:asciiTheme="minorHAnsi" w:hAnsiTheme="minorHAnsi" w:cstheme="minorHAnsi"/>
          <w:color w:val="000000" w:themeColor="text1"/>
          <w:sz w:val="24"/>
          <w:szCs w:val="24"/>
        </w:rPr>
        <w:fldChar w:fldCharType="separate"/>
      </w:r>
      <w:r w:rsidR="0017120A" w:rsidRPr="00CA4ABC">
        <w:rPr>
          <w:rFonts w:asciiTheme="minorHAnsi" w:hAnsiTheme="minorHAnsi" w:cstheme="minorHAnsi"/>
          <w:color w:val="000000" w:themeColor="text1"/>
          <w:sz w:val="24"/>
          <w:szCs w:val="24"/>
        </w:rPr>
        <w:t xml:space="preserve">Figure </w:t>
      </w:r>
      <w:r w:rsidR="0017120A" w:rsidRPr="00CA4ABC">
        <w:rPr>
          <w:rFonts w:asciiTheme="minorHAnsi" w:hAnsiTheme="minorHAnsi" w:cstheme="minorHAnsi"/>
          <w:noProof/>
          <w:color w:val="000000" w:themeColor="text1"/>
          <w:sz w:val="24"/>
          <w:szCs w:val="24"/>
        </w:rPr>
        <w:t>17</w:t>
      </w:r>
      <w:r w:rsidR="0017120A" w:rsidRPr="00CA4ABC">
        <w:rPr>
          <w:rFonts w:asciiTheme="minorHAnsi" w:hAnsiTheme="minorHAnsi" w:cstheme="minorHAnsi"/>
          <w:color w:val="000000" w:themeColor="text1"/>
          <w:sz w:val="24"/>
          <w:szCs w:val="24"/>
        </w:rPr>
        <w:fldChar w:fldCharType="end"/>
      </w:r>
      <w:r w:rsidR="0017120A" w:rsidRPr="00CA4ABC">
        <w:rPr>
          <w:rFonts w:asciiTheme="minorHAnsi" w:hAnsiTheme="minorHAnsi" w:cstheme="minorHAnsi"/>
          <w:color w:val="000000" w:themeColor="text1"/>
          <w:sz w:val="24"/>
          <w:szCs w:val="24"/>
        </w:rPr>
        <w:t>.)</w:t>
      </w:r>
    </w:p>
    <w:p w14:paraId="6EE24003" w14:textId="77777777" w:rsidR="004C12CF" w:rsidRPr="00CA4ABC" w:rsidRDefault="004C12CF" w:rsidP="004053D7">
      <w:pPr>
        <w:pStyle w:val="MDPI52figure"/>
        <w:spacing w:line="360" w:lineRule="auto"/>
        <w:jc w:val="left"/>
        <w:rPr>
          <w:rFonts w:asciiTheme="minorHAnsi" w:hAnsiTheme="minorHAnsi" w:cstheme="minorHAnsi"/>
          <w:color w:val="000000" w:themeColor="text1"/>
          <w:sz w:val="24"/>
          <w:szCs w:val="24"/>
        </w:rPr>
      </w:pPr>
      <w:r w:rsidRPr="00CA4ABC">
        <w:rPr>
          <w:rFonts w:asciiTheme="minorHAnsi" w:hAnsiTheme="minorHAnsi" w:cstheme="minorHAnsi"/>
          <w:noProof/>
          <w:color w:val="000000" w:themeColor="text1"/>
          <w:sz w:val="24"/>
          <w:szCs w:val="24"/>
        </w:rPr>
        <w:drawing>
          <wp:inline distT="0" distB="0" distL="0" distR="0" wp14:anchorId="3A16F860" wp14:editId="4E27076D">
            <wp:extent cx="6510383" cy="3526790"/>
            <wp:effectExtent l="0" t="0" r="17780" b="16510"/>
            <wp:docPr id="76" name="Chart 76">
              <a:extLst xmlns:a="http://schemas.openxmlformats.org/drawingml/2006/main">
                <a:ext uri="{FF2B5EF4-FFF2-40B4-BE49-F238E27FC236}">
                  <a16:creationId xmlns:a16="http://schemas.microsoft.com/office/drawing/2014/main" id="{6A991F7F-F045-688B-14E3-5B0677A768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8BE9C36" w14:textId="2B4640FE" w:rsidR="004C12CF" w:rsidRPr="00F350E9" w:rsidRDefault="004C12CF" w:rsidP="004053D7">
      <w:pPr>
        <w:pStyle w:val="Caption"/>
        <w:spacing w:line="360" w:lineRule="auto"/>
        <w:rPr>
          <w:rFonts w:cstheme="minorHAnsi"/>
          <w:i w:val="0"/>
          <w:iCs w:val="0"/>
          <w:color w:val="000000" w:themeColor="text1"/>
          <w:sz w:val="24"/>
          <w:szCs w:val="24"/>
        </w:rPr>
      </w:pPr>
      <w:bookmarkStart w:id="308" w:name="_Ref122446765"/>
      <w:bookmarkStart w:id="309" w:name="_Toc127044196"/>
      <w:bookmarkStart w:id="310" w:name="_Toc127978480"/>
      <w:r w:rsidRPr="00F350E9">
        <w:rPr>
          <w:rFonts w:cstheme="minorHAnsi"/>
          <w:i w:val="0"/>
          <w:iCs w:val="0"/>
          <w:color w:val="000000" w:themeColor="text1"/>
          <w:sz w:val="24"/>
          <w:szCs w:val="24"/>
        </w:rPr>
        <w:t xml:space="preserve">Figure </w:t>
      </w:r>
      <w:r w:rsidRPr="00F350E9">
        <w:rPr>
          <w:rFonts w:cstheme="minorHAnsi"/>
          <w:i w:val="0"/>
          <w:iCs w:val="0"/>
          <w:color w:val="000000" w:themeColor="text1"/>
          <w:sz w:val="24"/>
          <w:szCs w:val="24"/>
        </w:rPr>
        <w:fldChar w:fldCharType="begin"/>
      </w:r>
      <w:r w:rsidRPr="00F350E9">
        <w:rPr>
          <w:rFonts w:cstheme="minorHAnsi"/>
          <w:i w:val="0"/>
          <w:iCs w:val="0"/>
          <w:color w:val="000000" w:themeColor="text1"/>
          <w:sz w:val="24"/>
          <w:szCs w:val="24"/>
        </w:rPr>
        <w:instrText xml:space="preserve"> SEQ Figure \* ARABIC </w:instrText>
      </w:r>
      <w:r w:rsidRPr="00F350E9">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20</w:t>
      </w:r>
      <w:r w:rsidRPr="00F350E9">
        <w:rPr>
          <w:rFonts w:cstheme="minorHAnsi"/>
          <w:i w:val="0"/>
          <w:iCs w:val="0"/>
          <w:color w:val="000000" w:themeColor="text1"/>
          <w:sz w:val="24"/>
          <w:szCs w:val="24"/>
        </w:rPr>
        <w:fldChar w:fldCharType="end"/>
      </w:r>
      <w:bookmarkEnd w:id="308"/>
      <w:r w:rsidR="00F350E9" w:rsidRPr="00F350E9">
        <w:rPr>
          <w:rFonts w:cstheme="minorHAnsi"/>
          <w:i w:val="0"/>
          <w:iCs w:val="0"/>
          <w:color w:val="000000" w:themeColor="text1"/>
          <w:sz w:val="24"/>
          <w:szCs w:val="24"/>
        </w:rPr>
        <w:t>.</w:t>
      </w:r>
      <w:r w:rsidRPr="00F350E9">
        <w:rPr>
          <w:rFonts w:cstheme="minorHAnsi"/>
          <w:i w:val="0"/>
          <w:iCs w:val="0"/>
          <w:color w:val="000000" w:themeColor="text1"/>
          <w:sz w:val="24"/>
          <w:szCs w:val="24"/>
        </w:rPr>
        <w:t xml:space="preserve"> Individual participant OMNI-rise RPE scores across the 6</w:t>
      </w:r>
      <w:r w:rsidR="00D942B5" w:rsidRPr="00F350E9">
        <w:rPr>
          <w:rFonts w:cstheme="minorHAnsi"/>
          <w:i w:val="0"/>
          <w:iCs w:val="0"/>
          <w:color w:val="000000" w:themeColor="text1"/>
          <w:sz w:val="24"/>
          <w:szCs w:val="24"/>
        </w:rPr>
        <w:t>-</w:t>
      </w:r>
      <w:r w:rsidRPr="00F350E9">
        <w:rPr>
          <w:rFonts w:cstheme="minorHAnsi"/>
          <w:i w:val="0"/>
          <w:iCs w:val="0"/>
          <w:color w:val="000000" w:themeColor="text1"/>
          <w:sz w:val="24"/>
          <w:szCs w:val="24"/>
        </w:rPr>
        <w:t>week programme, reported in their logbooks.</w:t>
      </w:r>
      <w:bookmarkEnd w:id="309"/>
      <w:bookmarkEnd w:id="310"/>
    </w:p>
    <w:p w14:paraId="52FAF785" w14:textId="3B394873" w:rsidR="00357DD3" w:rsidRPr="00CA4ABC" w:rsidRDefault="004C12CF" w:rsidP="00357DD3">
      <w:pPr>
        <w:pStyle w:val="MDPI52figure"/>
        <w:spacing w:line="360" w:lineRule="auto"/>
        <w:jc w:val="left"/>
        <w:outlineLvl w:val="2"/>
        <w:rPr>
          <w:rFonts w:asciiTheme="minorHAnsi" w:hAnsiTheme="minorHAnsi" w:cstheme="minorHAnsi"/>
          <w:color w:val="000000" w:themeColor="text1"/>
          <w:sz w:val="24"/>
          <w:szCs w:val="24"/>
          <w:lang w:val="en-GB"/>
        </w:rPr>
      </w:pPr>
      <w:bookmarkStart w:id="311" w:name="_Toc135384372"/>
      <w:r w:rsidRPr="00CA4ABC">
        <w:rPr>
          <w:rFonts w:asciiTheme="minorHAnsi" w:hAnsiTheme="minorHAnsi" w:cstheme="minorHAnsi"/>
          <w:color w:val="000000" w:themeColor="text1"/>
          <w:sz w:val="24"/>
          <w:szCs w:val="24"/>
          <w:lang w:val="en-GB"/>
        </w:rPr>
        <w:lastRenderedPageBreak/>
        <w:t>5.3.2.2.3 Band colours</w:t>
      </w:r>
      <w:bookmarkEnd w:id="311"/>
    </w:p>
    <w:p w14:paraId="7D2E2B61" w14:textId="7524142C" w:rsidR="004C12CF" w:rsidRPr="00CA4ABC" w:rsidRDefault="004C12CF" w:rsidP="00357DD3">
      <w:pPr>
        <w:pStyle w:val="MDPI52figure"/>
        <w:spacing w:line="360" w:lineRule="auto"/>
        <w:ind w:firstLine="720"/>
        <w:jc w:val="left"/>
        <w:outlineLvl w:val="2"/>
        <w:rPr>
          <w:rFonts w:asciiTheme="minorHAnsi" w:hAnsiTheme="minorHAnsi" w:cstheme="minorHAnsi"/>
          <w:color w:val="000000" w:themeColor="text1"/>
          <w:sz w:val="24"/>
          <w:szCs w:val="24"/>
          <w:lang w:val="en-GB"/>
        </w:rPr>
      </w:pPr>
      <w:bookmarkStart w:id="312" w:name="_Toc125879969"/>
      <w:bookmarkStart w:id="313" w:name="_Toc127044475"/>
      <w:bookmarkStart w:id="314" w:name="_Toc127527507"/>
      <w:bookmarkStart w:id="315" w:name="_Toc127967663"/>
      <w:bookmarkStart w:id="316" w:name="_Toc135384373"/>
      <w:r w:rsidRPr="00CA4ABC">
        <w:rPr>
          <w:rFonts w:asciiTheme="minorHAnsi" w:hAnsiTheme="minorHAnsi" w:cstheme="minorHAnsi"/>
          <w:color w:val="000000" w:themeColor="text1"/>
          <w:sz w:val="24"/>
          <w:szCs w:val="24"/>
          <w:lang w:val="en-GB"/>
        </w:rPr>
        <w:t>100% of participants reported increasing the resistance of the band over the 6</w:t>
      </w:r>
      <w:r w:rsidR="00D942B5" w:rsidRPr="00CA4ABC">
        <w:rPr>
          <w:rFonts w:asciiTheme="minorHAnsi" w:hAnsiTheme="minorHAnsi" w:cstheme="minorHAnsi"/>
          <w:color w:val="000000" w:themeColor="text1"/>
          <w:sz w:val="24"/>
          <w:szCs w:val="24"/>
          <w:lang w:val="en-GB"/>
        </w:rPr>
        <w:t>-</w:t>
      </w:r>
      <w:r w:rsidRPr="00CA4ABC">
        <w:rPr>
          <w:rFonts w:asciiTheme="minorHAnsi" w:hAnsiTheme="minorHAnsi" w:cstheme="minorHAnsi"/>
          <w:color w:val="000000" w:themeColor="text1"/>
          <w:sz w:val="24"/>
          <w:szCs w:val="24"/>
          <w:lang w:val="en-GB"/>
        </w:rPr>
        <w:t>week programme. Five, two and four participants stated changing them once, twice and more than twice, respectively. Further details and full reporting of band colours used</w:t>
      </w:r>
      <w:r w:rsidR="00943EC0" w:rsidRPr="00CA4ABC">
        <w:rPr>
          <w:rFonts w:asciiTheme="minorHAnsi" w:hAnsiTheme="minorHAnsi" w:cstheme="minorHAnsi"/>
          <w:color w:val="000000" w:themeColor="text1"/>
          <w:sz w:val="24"/>
          <w:szCs w:val="24"/>
          <w:lang w:val="en-GB"/>
        </w:rPr>
        <w:t xml:space="preserve"> </w:t>
      </w:r>
      <w:r w:rsidRPr="00CA4ABC">
        <w:rPr>
          <w:rFonts w:asciiTheme="minorHAnsi" w:hAnsiTheme="minorHAnsi" w:cstheme="minorHAnsi"/>
          <w:color w:val="000000" w:themeColor="text1"/>
          <w:sz w:val="24"/>
          <w:szCs w:val="24"/>
          <w:lang w:val="en-GB"/>
        </w:rPr>
        <w:t>by each participant</w:t>
      </w:r>
      <w:r w:rsidR="00943EC0" w:rsidRPr="00CA4ABC">
        <w:rPr>
          <w:rFonts w:asciiTheme="minorHAnsi" w:hAnsiTheme="minorHAnsi" w:cstheme="minorHAnsi"/>
          <w:color w:val="000000" w:themeColor="text1"/>
          <w:sz w:val="24"/>
          <w:szCs w:val="24"/>
          <w:lang w:val="en-GB"/>
        </w:rPr>
        <w:t xml:space="preserve"> </w:t>
      </w:r>
      <w:r w:rsidRPr="00CA4ABC">
        <w:rPr>
          <w:rFonts w:asciiTheme="minorHAnsi" w:hAnsiTheme="minorHAnsi" w:cstheme="minorHAnsi"/>
          <w:color w:val="000000" w:themeColor="text1"/>
          <w:sz w:val="24"/>
          <w:szCs w:val="24"/>
          <w:lang w:val="en-GB"/>
        </w:rPr>
        <w:t>are available in appendix 24.</w:t>
      </w:r>
      <w:bookmarkEnd w:id="312"/>
      <w:bookmarkEnd w:id="313"/>
      <w:bookmarkEnd w:id="314"/>
      <w:bookmarkEnd w:id="315"/>
      <w:bookmarkEnd w:id="316"/>
    </w:p>
    <w:p w14:paraId="6F431F5F" w14:textId="1D842FAA" w:rsidR="004C12CF" w:rsidRPr="00CA4ABC" w:rsidRDefault="004C12CF" w:rsidP="004053D7">
      <w:pPr>
        <w:pStyle w:val="MDPI52figure"/>
        <w:spacing w:line="360" w:lineRule="auto"/>
        <w:jc w:val="left"/>
        <w:outlineLvl w:val="2"/>
        <w:rPr>
          <w:rFonts w:asciiTheme="minorHAnsi" w:hAnsiTheme="minorHAnsi" w:cstheme="minorHAnsi"/>
          <w:b/>
          <w:bCs/>
          <w:color w:val="000000" w:themeColor="text1"/>
          <w:sz w:val="24"/>
          <w:szCs w:val="24"/>
          <w:lang w:val="en-GB"/>
        </w:rPr>
      </w:pPr>
      <w:bookmarkStart w:id="317" w:name="_Toc135384374"/>
      <w:r w:rsidRPr="00CA4ABC">
        <w:rPr>
          <w:rFonts w:asciiTheme="minorHAnsi" w:hAnsiTheme="minorHAnsi" w:cstheme="minorHAnsi"/>
          <w:color w:val="000000" w:themeColor="text1"/>
          <w:sz w:val="24"/>
          <w:szCs w:val="24"/>
          <w:lang w:val="en-GB"/>
        </w:rPr>
        <w:t>5.3.</w:t>
      </w:r>
      <w:r w:rsidR="007F5B0B" w:rsidRPr="00CA4ABC">
        <w:rPr>
          <w:rFonts w:asciiTheme="minorHAnsi" w:hAnsiTheme="minorHAnsi" w:cstheme="minorHAnsi"/>
          <w:color w:val="000000" w:themeColor="text1"/>
          <w:sz w:val="24"/>
          <w:szCs w:val="24"/>
          <w:lang w:val="en-GB"/>
        </w:rPr>
        <w:t>3</w:t>
      </w:r>
      <w:r w:rsidRPr="00CA4ABC">
        <w:rPr>
          <w:rFonts w:asciiTheme="minorHAnsi" w:hAnsiTheme="minorHAnsi" w:cstheme="minorHAnsi"/>
          <w:color w:val="000000" w:themeColor="text1"/>
          <w:sz w:val="24"/>
          <w:szCs w:val="24"/>
          <w:lang w:val="en-GB"/>
        </w:rPr>
        <w:t>.3 Nutrition intervention measurements</w:t>
      </w:r>
      <w:bookmarkEnd w:id="317"/>
    </w:p>
    <w:p w14:paraId="08776DA5" w14:textId="505778F1" w:rsidR="004C12CF" w:rsidRPr="00CA4ABC" w:rsidRDefault="004C12CF" w:rsidP="005F45D1">
      <w:pPr>
        <w:spacing w:line="360" w:lineRule="auto"/>
        <w:ind w:firstLine="720"/>
        <w:rPr>
          <w:rFonts w:cstheme="minorHAnsi"/>
          <w:color w:val="000000" w:themeColor="text1"/>
        </w:rPr>
      </w:pPr>
      <w:r w:rsidRPr="00CA4ABC">
        <w:rPr>
          <w:rFonts w:cstheme="minorHAnsi"/>
          <w:color w:val="000000" w:themeColor="text1"/>
        </w:rPr>
        <w:t xml:space="preserve">Compliance rates for </w:t>
      </w:r>
      <w:r w:rsidR="00943EC0" w:rsidRPr="00CA4ABC">
        <w:rPr>
          <w:rFonts w:cstheme="minorHAnsi"/>
          <w:color w:val="000000" w:themeColor="text1"/>
        </w:rPr>
        <w:t xml:space="preserve">taking </w:t>
      </w:r>
      <w:r w:rsidRPr="00CA4ABC">
        <w:rPr>
          <w:rFonts w:cstheme="minorHAnsi"/>
          <w:color w:val="000000" w:themeColor="text1"/>
        </w:rPr>
        <w:t>the supplement were adequate.</w:t>
      </w:r>
      <w:r w:rsidR="00943EC0" w:rsidRPr="00CA4ABC">
        <w:rPr>
          <w:rFonts w:cstheme="minorHAnsi"/>
          <w:color w:val="000000" w:themeColor="text1"/>
        </w:rPr>
        <w:t xml:space="preserve"> One participant consumed all their supplements and three had compliance rates exceed</w:t>
      </w:r>
      <w:r w:rsidR="008C6E13" w:rsidRPr="00CA4ABC">
        <w:rPr>
          <w:rFonts w:cstheme="minorHAnsi"/>
          <w:color w:val="000000" w:themeColor="text1"/>
        </w:rPr>
        <w:t>ing</w:t>
      </w:r>
      <w:r w:rsidR="00943EC0" w:rsidRPr="00CA4ABC">
        <w:rPr>
          <w:rFonts w:cstheme="minorHAnsi"/>
          <w:color w:val="000000" w:themeColor="text1"/>
        </w:rPr>
        <w:t xml:space="preserve"> 90%</w:t>
      </w:r>
      <w:r w:rsidRPr="00CA4ABC">
        <w:rPr>
          <w:rFonts w:cstheme="minorHAnsi"/>
          <w:color w:val="000000" w:themeColor="text1"/>
        </w:rPr>
        <w:t xml:space="preserve"> </w:t>
      </w:r>
      <w:r w:rsidR="008C6E13" w:rsidRPr="00CA4ABC">
        <w:rPr>
          <w:rFonts w:cstheme="minorHAnsi"/>
          <w:color w:val="000000" w:themeColor="text1"/>
        </w:rPr>
        <w:t>(</w:t>
      </w:r>
      <w:r w:rsidRPr="00CA4ABC">
        <w:rPr>
          <w:rFonts w:cstheme="minorHAnsi"/>
          <w:color w:val="000000" w:themeColor="text1"/>
        </w:rPr>
        <w:fldChar w:fldCharType="begin"/>
      </w:r>
      <w:r w:rsidRPr="00CA4ABC">
        <w:rPr>
          <w:rFonts w:cstheme="minorHAnsi"/>
          <w:color w:val="000000" w:themeColor="text1"/>
        </w:rPr>
        <w:instrText xml:space="preserve"> REF _Ref122447035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20</w:t>
      </w:r>
      <w:r w:rsidRPr="00CA4ABC">
        <w:rPr>
          <w:rFonts w:cstheme="minorHAnsi"/>
          <w:color w:val="000000" w:themeColor="text1"/>
        </w:rPr>
        <w:fldChar w:fldCharType="end"/>
      </w:r>
      <w:r w:rsidR="008C6E13" w:rsidRPr="00CA4ABC">
        <w:rPr>
          <w:rFonts w:cstheme="minorHAnsi"/>
          <w:color w:val="000000" w:themeColor="text1"/>
        </w:rPr>
        <w:t>.)</w:t>
      </w:r>
      <w:r w:rsidR="00943EC0" w:rsidRPr="00CA4ABC">
        <w:rPr>
          <w:rFonts w:cstheme="minorHAnsi"/>
          <w:color w:val="000000" w:themeColor="text1"/>
        </w:rPr>
        <w:t xml:space="preserve"> </w:t>
      </w:r>
      <w:r w:rsidRPr="00CA4ABC">
        <w:rPr>
          <w:rFonts w:cstheme="minorHAnsi"/>
          <w:color w:val="000000" w:themeColor="text1"/>
        </w:rPr>
        <w:t>Reasons provided for not taking a supplement included: forg</w:t>
      </w:r>
      <w:r w:rsidR="00D942B5" w:rsidRPr="00CA4ABC">
        <w:rPr>
          <w:rFonts w:cstheme="minorHAnsi"/>
          <w:color w:val="000000" w:themeColor="text1"/>
        </w:rPr>
        <w:t>etting</w:t>
      </w:r>
      <w:r w:rsidRPr="00CA4ABC">
        <w:rPr>
          <w:rFonts w:cstheme="minorHAnsi"/>
          <w:color w:val="000000" w:themeColor="text1"/>
        </w:rPr>
        <w:t xml:space="preserve"> (n=5), did not take it with them if they were away from their home (n=1), </w:t>
      </w:r>
      <w:r w:rsidR="00D942B5" w:rsidRPr="00CA4ABC">
        <w:rPr>
          <w:rFonts w:cstheme="minorHAnsi"/>
          <w:color w:val="000000" w:themeColor="text1"/>
        </w:rPr>
        <w:t xml:space="preserve">being </w:t>
      </w:r>
      <w:r w:rsidRPr="00CA4ABC">
        <w:rPr>
          <w:rFonts w:cstheme="minorHAnsi"/>
          <w:color w:val="000000" w:themeColor="text1"/>
        </w:rPr>
        <w:t>on holiday (n=1), was too full (n=1). An adverse event of stomach pain so was reported by one participant</w:t>
      </w:r>
      <w:r w:rsidR="005F45D1" w:rsidRPr="00CA4ABC">
        <w:rPr>
          <w:rFonts w:cstheme="minorHAnsi"/>
          <w:color w:val="000000" w:themeColor="text1"/>
        </w:rPr>
        <w:t xml:space="preserve"> in their semi structured interview</w:t>
      </w:r>
      <w:r w:rsidRPr="00CA4ABC">
        <w:rPr>
          <w:rFonts w:cstheme="minorHAnsi"/>
          <w:color w:val="000000" w:themeColor="text1"/>
        </w:rPr>
        <w:t xml:space="preserve"> (EN101). One participant (EN110) assigned to the two supplement arm felt they could not manage this, so dropped down to one/day</w:t>
      </w:r>
      <w:r w:rsidR="005F45D1" w:rsidRPr="00CA4ABC">
        <w:rPr>
          <w:rFonts w:cstheme="minorHAnsi"/>
          <w:color w:val="000000" w:themeColor="text1"/>
        </w:rPr>
        <w:t>. This was also reported post-intervention</w:t>
      </w:r>
      <w:r w:rsidRPr="00CA4ABC">
        <w:rPr>
          <w:rFonts w:cstheme="minorHAnsi"/>
          <w:color w:val="000000" w:themeColor="text1"/>
        </w:rPr>
        <w:t xml:space="preserve">. </w:t>
      </w:r>
    </w:p>
    <w:tbl>
      <w:tblPr>
        <w:tblStyle w:val="TableGrid"/>
        <w:tblpPr w:leftFromText="180" w:rightFromText="180" w:vertAnchor="text" w:horzAnchor="margin" w:tblpXSpec="center" w:tblpY="92"/>
        <w:tblW w:w="10810" w:type="dxa"/>
        <w:tblLook w:val="04A0" w:firstRow="1" w:lastRow="0" w:firstColumn="1" w:lastColumn="0" w:noHBand="0" w:noVBand="1"/>
      </w:tblPr>
      <w:tblGrid>
        <w:gridCol w:w="1568"/>
        <w:gridCol w:w="1693"/>
        <w:gridCol w:w="136"/>
        <w:gridCol w:w="1558"/>
        <w:gridCol w:w="1809"/>
        <w:gridCol w:w="1693"/>
        <w:gridCol w:w="2353"/>
      </w:tblGrid>
      <w:tr w:rsidR="004053D7" w:rsidRPr="00CA4ABC" w14:paraId="2081BF01" w14:textId="77777777" w:rsidTr="00342E1D">
        <w:trPr>
          <w:trHeight w:val="555"/>
        </w:trPr>
        <w:tc>
          <w:tcPr>
            <w:tcW w:w="1568" w:type="dxa"/>
          </w:tcPr>
          <w:p w14:paraId="68B618FF"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Participant ID</w:t>
            </w:r>
          </w:p>
        </w:tc>
        <w:tc>
          <w:tcPr>
            <w:tcW w:w="1829" w:type="dxa"/>
            <w:gridSpan w:val="2"/>
          </w:tcPr>
          <w:p w14:paraId="2CE9E879"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Number of supplement taken in the morning (out of a total of 42)</w:t>
            </w:r>
          </w:p>
        </w:tc>
        <w:tc>
          <w:tcPr>
            <w:tcW w:w="1558" w:type="dxa"/>
          </w:tcPr>
          <w:p w14:paraId="24882AC6" w14:textId="0577A318"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Compliance rate for morning supplement  (%)</w:t>
            </w:r>
          </w:p>
        </w:tc>
        <w:tc>
          <w:tcPr>
            <w:tcW w:w="1809" w:type="dxa"/>
          </w:tcPr>
          <w:p w14:paraId="16DDA5FB"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Number of supplements taken at lunchtime (out of a total of 42)</w:t>
            </w:r>
          </w:p>
        </w:tc>
        <w:tc>
          <w:tcPr>
            <w:tcW w:w="1693" w:type="dxa"/>
          </w:tcPr>
          <w:p w14:paraId="50353C90" w14:textId="59B88D3C"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Compliance rate for lunch time supplement (%)</w:t>
            </w:r>
          </w:p>
        </w:tc>
        <w:tc>
          <w:tcPr>
            <w:tcW w:w="2353" w:type="dxa"/>
          </w:tcPr>
          <w:p w14:paraId="25614ADD"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Compliance rate for 2 supplements/day (%)</w:t>
            </w:r>
          </w:p>
        </w:tc>
      </w:tr>
      <w:tr w:rsidR="004053D7" w:rsidRPr="00CA4ABC" w14:paraId="2820B395" w14:textId="77777777" w:rsidTr="009E173A">
        <w:trPr>
          <w:trHeight w:val="285"/>
        </w:trPr>
        <w:tc>
          <w:tcPr>
            <w:tcW w:w="10810" w:type="dxa"/>
            <w:gridSpan w:val="7"/>
          </w:tcPr>
          <w:p w14:paraId="2C893E1D" w14:textId="5B3049D4"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One protein supplement</w:t>
            </w:r>
          </w:p>
        </w:tc>
      </w:tr>
      <w:tr w:rsidR="004053D7" w:rsidRPr="00CA4ABC" w14:paraId="685645BC" w14:textId="77777777" w:rsidTr="009E173A">
        <w:trPr>
          <w:trHeight w:val="285"/>
        </w:trPr>
        <w:tc>
          <w:tcPr>
            <w:tcW w:w="1568" w:type="dxa"/>
          </w:tcPr>
          <w:p w14:paraId="099614D4"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EN101</w:t>
            </w:r>
          </w:p>
        </w:tc>
        <w:tc>
          <w:tcPr>
            <w:tcW w:w="3387" w:type="dxa"/>
            <w:gridSpan w:val="3"/>
            <w:vMerge w:val="restart"/>
          </w:tcPr>
          <w:p w14:paraId="5DA9B73F"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NA</w:t>
            </w:r>
          </w:p>
          <w:p w14:paraId="52E7C87F" w14:textId="77777777" w:rsidR="004C12CF" w:rsidRPr="00342E1D" w:rsidRDefault="004C12CF" w:rsidP="00357DD3">
            <w:pPr>
              <w:jc w:val="center"/>
              <w:rPr>
                <w:rFonts w:cstheme="minorHAnsi"/>
                <w:color w:val="000000" w:themeColor="text1"/>
                <w:sz w:val="20"/>
                <w:szCs w:val="20"/>
              </w:rPr>
            </w:pPr>
          </w:p>
        </w:tc>
        <w:tc>
          <w:tcPr>
            <w:tcW w:w="1809" w:type="dxa"/>
          </w:tcPr>
          <w:p w14:paraId="21039D76"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6</w:t>
            </w:r>
          </w:p>
        </w:tc>
        <w:tc>
          <w:tcPr>
            <w:tcW w:w="1693" w:type="dxa"/>
          </w:tcPr>
          <w:p w14:paraId="22BC6BDF"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14</w:t>
            </w:r>
          </w:p>
        </w:tc>
        <w:tc>
          <w:tcPr>
            <w:tcW w:w="2353" w:type="dxa"/>
            <w:vMerge w:val="restart"/>
          </w:tcPr>
          <w:p w14:paraId="3182FFBD"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NA</w:t>
            </w:r>
          </w:p>
          <w:p w14:paraId="0999B235" w14:textId="77777777" w:rsidR="004C12CF" w:rsidRPr="00342E1D" w:rsidRDefault="004C12CF" w:rsidP="00357DD3">
            <w:pPr>
              <w:jc w:val="center"/>
              <w:rPr>
                <w:rFonts w:cstheme="minorHAnsi"/>
                <w:color w:val="000000" w:themeColor="text1"/>
                <w:sz w:val="20"/>
                <w:szCs w:val="20"/>
              </w:rPr>
            </w:pPr>
          </w:p>
        </w:tc>
      </w:tr>
      <w:tr w:rsidR="004053D7" w:rsidRPr="00CA4ABC" w14:paraId="35A595F9" w14:textId="77777777" w:rsidTr="009E173A">
        <w:trPr>
          <w:trHeight w:val="285"/>
        </w:trPr>
        <w:tc>
          <w:tcPr>
            <w:tcW w:w="1568" w:type="dxa"/>
          </w:tcPr>
          <w:p w14:paraId="50BE3D2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EN105</w:t>
            </w:r>
          </w:p>
        </w:tc>
        <w:tc>
          <w:tcPr>
            <w:tcW w:w="3387" w:type="dxa"/>
            <w:gridSpan w:val="3"/>
            <w:vMerge/>
          </w:tcPr>
          <w:p w14:paraId="2D3BC9D2" w14:textId="77777777" w:rsidR="004C12CF" w:rsidRPr="00342E1D" w:rsidRDefault="004C12CF" w:rsidP="00357DD3">
            <w:pPr>
              <w:jc w:val="center"/>
              <w:rPr>
                <w:rFonts w:cstheme="minorHAnsi"/>
                <w:color w:val="000000" w:themeColor="text1"/>
                <w:sz w:val="20"/>
                <w:szCs w:val="20"/>
              </w:rPr>
            </w:pPr>
          </w:p>
        </w:tc>
        <w:tc>
          <w:tcPr>
            <w:tcW w:w="1809" w:type="dxa"/>
          </w:tcPr>
          <w:p w14:paraId="69BA44EB"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24</w:t>
            </w:r>
          </w:p>
        </w:tc>
        <w:tc>
          <w:tcPr>
            <w:tcW w:w="1693" w:type="dxa"/>
          </w:tcPr>
          <w:p w14:paraId="29F2DE17"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57</w:t>
            </w:r>
          </w:p>
        </w:tc>
        <w:tc>
          <w:tcPr>
            <w:tcW w:w="2353" w:type="dxa"/>
            <w:vMerge/>
          </w:tcPr>
          <w:p w14:paraId="653ECF5A" w14:textId="77777777" w:rsidR="004C12CF" w:rsidRPr="00342E1D" w:rsidRDefault="004C12CF" w:rsidP="00357DD3">
            <w:pPr>
              <w:jc w:val="center"/>
              <w:rPr>
                <w:rFonts w:cstheme="minorHAnsi"/>
                <w:color w:val="000000" w:themeColor="text1"/>
                <w:sz w:val="20"/>
                <w:szCs w:val="20"/>
              </w:rPr>
            </w:pPr>
          </w:p>
        </w:tc>
      </w:tr>
      <w:tr w:rsidR="004053D7" w:rsidRPr="00CA4ABC" w14:paraId="34EB340C" w14:textId="77777777" w:rsidTr="009E173A">
        <w:trPr>
          <w:trHeight w:val="285"/>
        </w:trPr>
        <w:tc>
          <w:tcPr>
            <w:tcW w:w="1568" w:type="dxa"/>
          </w:tcPr>
          <w:p w14:paraId="2C7748F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EN108</w:t>
            </w:r>
          </w:p>
        </w:tc>
        <w:tc>
          <w:tcPr>
            <w:tcW w:w="3387" w:type="dxa"/>
            <w:gridSpan w:val="3"/>
            <w:vMerge/>
          </w:tcPr>
          <w:p w14:paraId="7737584A" w14:textId="77777777" w:rsidR="004C12CF" w:rsidRPr="00342E1D" w:rsidRDefault="004C12CF" w:rsidP="00357DD3">
            <w:pPr>
              <w:jc w:val="center"/>
              <w:rPr>
                <w:rFonts w:cstheme="minorHAnsi"/>
                <w:color w:val="000000" w:themeColor="text1"/>
                <w:sz w:val="20"/>
                <w:szCs w:val="20"/>
              </w:rPr>
            </w:pPr>
          </w:p>
        </w:tc>
        <w:tc>
          <w:tcPr>
            <w:tcW w:w="1809" w:type="dxa"/>
          </w:tcPr>
          <w:p w14:paraId="2142F4F0"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38</w:t>
            </w:r>
          </w:p>
        </w:tc>
        <w:tc>
          <w:tcPr>
            <w:tcW w:w="1693" w:type="dxa"/>
          </w:tcPr>
          <w:p w14:paraId="20BB5DF3"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90</w:t>
            </w:r>
          </w:p>
        </w:tc>
        <w:tc>
          <w:tcPr>
            <w:tcW w:w="2353" w:type="dxa"/>
            <w:vMerge/>
          </w:tcPr>
          <w:p w14:paraId="4F10070C" w14:textId="77777777" w:rsidR="004C12CF" w:rsidRPr="00342E1D" w:rsidRDefault="004C12CF" w:rsidP="00357DD3">
            <w:pPr>
              <w:jc w:val="center"/>
              <w:rPr>
                <w:rFonts w:cstheme="minorHAnsi"/>
                <w:color w:val="000000" w:themeColor="text1"/>
                <w:sz w:val="20"/>
                <w:szCs w:val="20"/>
              </w:rPr>
            </w:pPr>
          </w:p>
        </w:tc>
      </w:tr>
      <w:tr w:rsidR="004053D7" w:rsidRPr="00CA4ABC" w14:paraId="18518CC4" w14:textId="77777777" w:rsidTr="009E173A">
        <w:trPr>
          <w:trHeight w:val="285"/>
        </w:trPr>
        <w:tc>
          <w:tcPr>
            <w:tcW w:w="10810" w:type="dxa"/>
            <w:gridSpan w:val="7"/>
          </w:tcPr>
          <w:p w14:paraId="3E387E49"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Two protein supplements</w:t>
            </w:r>
          </w:p>
        </w:tc>
      </w:tr>
      <w:tr w:rsidR="004053D7" w:rsidRPr="00CA4ABC" w14:paraId="5B3CFCA4" w14:textId="77777777" w:rsidTr="009E173A">
        <w:trPr>
          <w:trHeight w:val="285"/>
        </w:trPr>
        <w:tc>
          <w:tcPr>
            <w:tcW w:w="1568" w:type="dxa"/>
          </w:tcPr>
          <w:p w14:paraId="0B91F14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EN103</w:t>
            </w:r>
          </w:p>
        </w:tc>
        <w:tc>
          <w:tcPr>
            <w:tcW w:w="1693" w:type="dxa"/>
          </w:tcPr>
          <w:p w14:paraId="78E2F65A"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42</w:t>
            </w:r>
          </w:p>
        </w:tc>
        <w:tc>
          <w:tcPr>
            <w:tcW w:w="1694" w:type="dxa"/>
            <w:gridSpan w:val="2"/>
          </w:tcPr>
          <w:p w14:paraId="3611E3AA"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100</w:t>
            </w:r>
          </w:p>
        </w:tc>
        <w:tc>
          <w:tcPr>
            <w:tcW w:w="1809" w:type="dxa"/>
          </w:tcPr>
          <w:p w14:paraId="6757CC18"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41</w:t>
            </w:r>
          </w:p>
        </w:tc>
        <w:tc>
          <w:tcPr>
            <w:tcW w:w="1693" w:type="dxa"/>
          </w:tcPr>
          <w:p w14:paraId="2E3D9EAB"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98</w:t>
            </w:r>
          </w:p>
        </w:tc>
        <w:tc>
          <w:tcPr>
            <w:tcW w:w="2353" w:type="dxa"/>
          </w:tcPr>
          <w:p w14:paraId="0CFCD9D2"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99</w:t>
            </w:r>
          </w:p>
        </w:tc>
      </w:tr>
      <w:tr w:rsidR="004053D7" w:rsidRPr="00CA4ABC" w14:paraId="4ECF92B6" w14:textId="77777777" w:rsidTr="009E173A">
        <w:trPr>
          <w:trHeight w:val="305"/>
        </w:trPr>
        <w:tc>
          <w:tcPr>
            <w:tcW w:w="1568" w:type="dxa"/>
          </w:tcPr>
          <w:p w14:paraId="4DB517FD" w14:textId="77777777" w:rsidR="004C12CF" w:rsidRPr="00342E1D" w:rsidRDefault="004C12CF" w:rsidP="00357DD3">
            <w:pPr>
              <w:rPr>
                <w:rFonts w:cstheme="minorHAnsi"/>
                <w:b/>
                <w:bCs/>
                <w:color w:val="000000" w:themeColor="text1"/>
                <w:sz w:val="20"/>
                <w:szCs w:val="20"/>
              </w:rPr>
            </w:pPr>
            <w:r w:rsidRPr="00342E1D">
              <w:rPr>
                <w:rFonts w:cstheme="minorHAnsi"/>
                <w:color w:val="000000" w:themeColor="text1"/>
                <w:sz w:val="20"/>
                <w:szCs w:val="20"/>
              </w:rPr>
              <w:t>EN107</w:t>
            </w:r>
          </w:p>
        </w:tc>
        <w:tc>
          <w:tcPr>
            <w:tcW w:w="1693" w:type="dxa"/>
          </w:tcPr>
          <w:p w14:paraId="37661AC7"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42</w:t>
            </w:r>
          </w:p>
        </w:tc>
        <w:tc>
          <w:tcPr>
            <w:tcW w:w="1694" w:type="dxa"/>
            <w:gridSpan w:val="2"/>
          </w:tcPr>
          <w:p w14:paraId="631E2446"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100</w:t>
            </w:r>
          </w:p>
        </w:tc>
        <w:tc>
          <w:tcPr>
            <w:tcW w:w="1809" w:type="dxa"/>
          </w:tcPr>
          <w:p w14:paraId="1662856C"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42</w:t>
            </w:r>
          </w:p>
        </w:tc>
        <w:tc>
          <w:tcPr>
            <w:tcW w:w="1693" w:type="dxa"/>
          </w:tcPr>
          <w:p w14:paraId="5CA53A9A"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100</w:t>
            </w:r>
          </w:p>
        </w:tc>
        <w:tc>
          <w:tcPr>
            <w:tcW w:w="2353" w:type="dxa"/>
          </w:tcPr>
          <w:p w14:paraId="49C612E4"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100</w:t>
            </w:r>
          </w:p>
        </w:tc>
      </w:tr>
      <w:tr w:rsidR="004053D7" w:rsidRPr="00CA4ABC" w14:paraId="7264C0AF" w14:textId="77777777" w:rsidTr="009E173A">
        <w:trPr>
          <w:trHeight w:val="285"/>
        </w:trPr>
        <w:tc>
          <w:tcPr>
            <w:tcW w:w="1568" w:type="dxa"/>
          </w:tcPr>
          <w:p w14:paraId="0C3C40D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EN110</w:t>
            </w:r>
          </w:p>
        </w:tc>
        <w:tc>
          <w:tcPr>
            <w:tcW w:w="1693" w:type="dxa"/>
          </w:tcPr>
          <w:p w14:paraId="7E8F263A"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25</w:t>
            </w:r>
          </w:p>
        </w:tc>
        <w:tc>
          <w:tcPr>
            <w:tcW w:w="1694" w:type="dxa"/>
            <w:gridSpan w:val="2"/>
          </w:tcPr>
          <w:p w14:paraId="54BA87E3"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60</w:t>
            </w:r>
          </w:p>
        </w:tc>
        <w:tc>
          <w:tcPr>
            <w:tcW w:w="1809" w:type="dxa"/>
          </w:tcPr>
          <w:p w14:paraId="12FC0362"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21</w:t>
            </w:r>
          </w:p>
        </w:tc>
        <w:tc>
          <w:tcPr>
            <w:tcW w:w="1693" w:type="dxa"/>
          </w:tcPr>
          <w:p w14:paraId="691A7A00"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50</w:t>
            </w:r>
          </w:p>
        </w:tc>
        <w:tc>
          <w:tcPr>
            <w:tcW w:w="2353" w:type="dxa"/>
          </w:tcPr>
          <w:p w14:paraId="37C74311"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55</w:t>
            </w:r>
          </w:p>
        </w:tc>
      </w:tr>
      <w:tr w:rsidR="004053D7" w:rsidRPr="00CA4ABC" w14:paraId="1EEE46E0" w14:textId="77777777" w:rsidTr="009E173A">
        <w:trPr>
          <w:trHeight w:val="285"/>
        </w:trPr>
        <w:tc>
          <w:tcPr>
            <w:tcW w:w="1568" w:type="dxa"/>
          </w:tcPr>
          <w:p w14:paraId="1E40EDC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EN113</w:t>
            </w:r>
          </w:p>
        </w:tc>
        <w:tc>
          <w:tcPr>
            <w:tcW w:w="1693" w:type="dxa"/>
          </w:tcPr>
          <w:p w14:paraId="3BEF2DBC"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42</w:t>
            </w:r>
          </w:p>
        </w:tc>
        <w:tc>
          <w:tcPr>
            <w:tcW w:w="1694" w:type="dxa"/>
            <w:gridSpan w:val="2"/>
          </w:tcPr>
          <w:p w14:paraId="61BA467C"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100</w:t>
            </w:r>
          </w:p>
        </w:tc>
        <w:tc>
          <w:tcPr>
            <w:tcW w:w="1809" w:type="dxa"/>
          </w:tcPr>
          <w:p w14:paraId="422EDDEF"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40</w:t>
            </w:r>
          </w:p>
        </w:tc>
        <w:tc>
          <w:tcPr>
            <w:tcW w:w="1693" w:type="dxa"/>
          </w:tcPr>
          <w:p w14:paraId="1B050054"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95</w:t>
            </w:r>
          </w:p>
        </w:tc>
        <w:tc>
          <w:tcPr>
            <w:tcW w:w="2353" w:type="dxa"/>
          </w:tcPr>
          <w:p w14:paraId="29EA5C93" w14:textId="77777777" w:rsidR="004C12CF" w:rsidRPr="00342E1D" w:rsidRDefault="004C12CF" w:rsidP="00357DD3">
            <w:pPr>
              <w:jc w:val="center"/>
              <w:rPr>
                <w:rFonts w:cstheme="minorHAnsi"/>
                <w:color w:val="000000" w:themeColor="text1"/>
                <w:sz w:val="20"/>
                <w:szCs w:val="20"/>
              </w:rPr>
            </w:pPr>
            <w:r w:rsidRPr="00342E1D">
              <w:rPr>
                <w:rFonts w:cstheme="minorHAnsi"/>
                <w:color w:val="000000" w:themeColor="text1"/>
                <w:sz w:val="20"/>
                <w:szCs w:val="20"/>
              </w:rPr>
              <w:t>98</w:t>
            </w:r>
          </w:p>
        </w:tc>
      </w:tr>
    </w:tbl>
    <w:p w14:paraId="47D6CFD9" w14:textId="75BEA4EF" w:rsidR="004C12CF" w:rsidRPr="00F350E9" w:rsidRDefault="004C12CF" w:rsidP="00357DD3">
      <w:pPr>
        <w:pStyle w:val="Caption"/>
        <w:spacing w:line="360" w:lineRule="auto"/>
        <w:rPr>
          <w:rFonts w:cstheme="minorHAnsi"/>
          <w:i w:val="0"/>
          <w:iCs w:val="0"/>
          <w:color w:val="000000" w:themeColor="text1"/>
          <w:sz w:val="24"/>
          <w:szCs w:val="24"/>
        </w:rPr>
      </w:pPr>
      <w:bookmarkStart w:id="318" w:name="_Ref122447035"/>
      <w:bookmarkStart w:id="319" w:name="_Toc122956585"/>
      <w:r w:rsidRPr="00F350E9">
        <w:rPr>
          <w:rFonts w:cstheme="minorHAnsi"/>
          <w:i w:val="0"/>
          <w:iCs w:val="0"/>
          <w:color w:val="000000" w:themeColor="text1"/>
          <w:sz w:val="24"/>
          <w:szCs w:val="24"/>
        </w:rPr>
        <w:t xml:space="preserve">Table </w:t>
      </w:r>
      <w:r w:rsidRPr="00F350E9">
        <w:rPr>
          <w:rFonts w:cstheme="minorHAnsi"/>
          <w:i w:val="0"/>
          <w:iCs w:val="0"/>
          <w:color w:val="000000" w:themeColor="text1"/>
          <w:sz w:val="24"/>
          <w:szCs w:val="24"/>
        </w:rPr>
        <w:fldChar w:fldCharType="begin"/>
      </w:r>
      <w:r w:rsidRPr="00F350E9">
        <w:rPr>
          <w:rFonts w:cstheme="minorHAnsi"/>
          <w:i w:val="0"/>
          <w:iCs w:val="0"/>
          <w:color w:val="000000" w:themeColor="text1"/>
          <w:sz w:val="24"/>
          <w:szCs w:val="24"/>
        </w:rPr>
        <w:instrText xml:space="preserve"> SEQ Table \* ARABIC </w:instrText>
      </w:r>
      <w:r w:rsidRPr="00F350E9">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22</w:t>
      </w:r>
      <w:r w:rsidRPr="00F350E9">
        <w:rPr>
          <w:rFonts w:cstheme="minorHAnsi"/>
          <w:i w:val="0"/>
          <w:iCs w:val="0"/>
          <w:color w:val="000000" w:themeColor="text1"/>
          <w:sz w:val="24"/>
          <w:szCs w:val="24"/>
        </w:rPr>
        <w:fldChar w:fldCharType="end"/>
      </w:r>
      <w:bookmarkEnd w:id="318"/>
      <w:r w:rsidR="00F350E9" w:rsidRPr="00F350E9">
        <w:rPr>
          <w:rFonts w:cstheme="minorHAnsi"/>
          <w:i w:val="0"/>
          <w:iCs w:val="0"/>
          <w:color w:val="000000" w:themeColor="text1"/>
          <w:sz w:val="24"/>
          <w:szCs w:val="24"/>
        </w:rPr>
        <w:t>. C</w:t>
      </w:r>
      <w:r w:rsidRPr="00F350E9">
        <w:rPr>
          <w:rFonts w:cstheme="minorHAnsi"/>
          <w:i w:val="0"/>
          <w:iCs w:val="0"/>
          <w:color w:val="000000" w:themeColor="text1"/>
          <w:sz w:val="24"/>
          <w:szCs w:val="24"/>
        </w:rPr>
        <w:t>ompliance rates to protein supplements.</w:t>
      </w:r>
      <w:bookmarkEnd w:id="319"/>
    </w:p>
    <w:p w14:paraId="16F08C94" w14:textId="66152EC1" w:rsidR="004C12CF" w:rsidRPr="00CA4ABC" w:rsidRDefault="004C12CF" w:rsidP="004053D7">
      <w:pPr>
        <w:pStyle w:val="MDPI52figure"/>
        <w:spacing w:line="360" w:lineRule="auto"/>
        <w:jc w:val="left"/>
        <w:outlineLvl w:val="2"/>
        <w:rPr>
          <w:rFonts w:asciiTheme="minorHAnsi" w:hAnsiTheme="minorHAnsi" w:cstheme="minorHAnsi"/>
          <w:color w:val="000000" w:themeColor="text1"/>
          <w:sz w:val="24"/>
          <w:szCs w:val="24"/>
          <w:lang w:val="en-GB"/>
        </w:rPr>
      </w:pPr>
      <w:bookmarkStart w:id="320" w:name="_Toc135384375"/>
      <w:r w:rsidRPr="00CA4ABC">
        <w:rPr>
          <w:rFonts w:asciiTheme="minorHAnsi" w:hAnsiTheme="minorHAnsi" w:cstheme="minorHAnsi"/>
          <w:color w:val="000000" w:themeColor="text1"/>
          <w:sz w:val="24"/>
          <w:szCs w:val="24"/>
        </w:rPr>
        <w:t>5.3.2.4 End of intervention outcome questionnaires</w:t>
      </w:r>
      <w:bookmarkEnd w:id="320"/>
    </w:p>
    <w:p w14:paraId="254DCDF4" w14:textId="12703EEC" w:rsidR="004C12CF" w:rsidRPr="00CA4ABC" w:rsidRDefault="004C12CF" w:rsidP="00357DD3">
      <w:pPr>
        <w:spacing w:line="360" w:lineRule="auto"/>
        <w:ind w:firstLine="720"/>
        <w:rPr>
          <w:rFonts w:cstheme="minorHAnsi"/>
          <w:color w:val="000000" w:themeColor="text1"/>
        </w:rPr>
        <w:sectPr w:rsidR="004C12CF" w:rsidRPr="00CA4ABC" w:rsidSect="009E173A">
          <w:pgSz w:w="11900" w:h="16840"/>
          <w:pgMar w:top="1440" w:right="1440" w:bottom="1440" w:left="1440" w:header="708" w:footer="708" w:gutter="0"/>
          <w:cols w:space="708"/>
          <w:docGrid w:linePitch="360"/>
        </w:sectPr>
      </w:pPr>
      <w:r w:rsidRPr="00CA4ABC">
        <w:rPr>
          <w:rFonts w:cstheme="minorHAnsi"/>
          <w:color w:val="000000" w:themeColor="text1"/>
        </w:rPr>
        <w:t>Responses to the outcome questionnaires are displayed for both the exercise intervention (</w:t>
      </w:r>
      <w:r w:rsidRPr="00CA4ABC">
        <w:rPr>
          <w:rFonts w:cstheme="minorHAnsi"/>
          <w:color w:val="000000" w:themeColor="text1"/>
        </w:rPr>
        <w:fldChar w:fldCharType="begin"/>
      </w:r>
      <w:r w:rsidRPr="00CA4ABC">
        <w:rPr>
          <w:rFonts w:cstheme="minorHAnsi"/>
          <w:color w:val="000000" w:themeColor="text1"/>
        </w:rPr>
        <w:instrText xml:space="preserve"> REF _Ref122447141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21</w:t>
      </w:r>
      <w:r w:rsidRPr="00CA4ABC">
        <w:rPr>
          <w:rFonts w:cstheme="minorHAnsi"/>
          <w:color w:val="000000" w:themeColor="text1"/>
        </w:rPr>
        <w:fldChar w:fldCharType="end"/>
      </w:r>
      <w:r w:rsidRPr="00CA4ABC">
        <w:rPr>
          <w:rFonts w:cstheme="minorHAnsi"/>
          <w:color w:val="000000" w:themeColor="text1"/>
        </w:rPr>
        <w:t>) and nutrition intervention (</w:t>
      </w:r>
      <w:r w:rsidR="00552487" w:rsidRPr="00CA4ABC">
        <w:rPr>
          <w:rFonts w:cstheme="minorHAnsi"/>
          <w:color w:val="000000" w:themeColor="text1"/>
        </w:rPr>
        <w:fldChar w:fldCharType="begin"/>
      </w:r>
      <w:r w:rsidR="00552487" w:rsidRPr="00CA4ABC">
        <w:rPr>
          <w:rFonts w:cstheme="minorHAnsi"/>
          <w:color w:val="000000" w:themeColor="text1"/>
        </w:rPr>
        <w:instrText xml:space="preserve"> REF _Ref122447143 \h </w:instrText>
      </w:r>
      <w:r w:rsidR="00CA4ABC">
        <w:rPr>
          <w:rFonts w:cstheme="minorHAnsi"/>
          <w:color w:val="000000" w:themeColor="text1"/>
        </w:rPr>
        <w:instrText xml:space="preserve"> \* MERGEFORMAT </w:instrText>
      </w:r>
      <w:r w:rsidR="00552487" w:rsidRPr="00CA4ABC">
        <w:rPr>
          <w:rFonts w:cstheme="minorHAnsi"/>
          <w:color w:val="000000" w:themeColor="text1"/>
        </w:rPr>
      </w:r>
      <w:r w:rsidR="00552487" w:rsidRPr="00CA4ABC">
        <w:rPr>
          <w:rFonts w:cstheme="minorHAnsi"/>
          <w:color w:val="000000" w:themeColor="text1"/>
        </w:rPr>
        <w:fldChar w:fldCharType="separate"/>
      </w:r>
      <w:r w:rsidR="00552487" w:rsidRPr="00CA4ABC">
        <w:rPr>
          <w:rFonts w:cstheme="minorHAnsi"/>
          <w:color w:val="000000" w:themeColor="text1"/>
        </w:rPr>
        <w:t xml:space="preserve">Table </w:t>
      </w:r>
      <w:r w:rsidR="00552487" w:rsidRPr="00CA4ABC">
        <w:rPr>
          <w:rFonts w:cstheme="minorHAnsi"/>
          <w:noProof/>
          <w:color w:val="000000" w:themeColor="text1"/>
        </w:rPr>
        <w:t>22</w:t>
      </w:r>
      <w:r w:rsidR="00552487" w:rsidRPr="00CA4ABC">
        <w:rPr>
          <w:rFonts w:cstheme="minorHAnsi"/>
          <w:color w:val="000000" w:themeColor="text1"/>
        </w:rPr>
        <w:fldChar w:fldCharType="end"/>
      </w:r>
      <w:r w:rsidRPr="00CA4ABC">
        <w:rPr>
          <w:rFonts w:cstheme="minorHAnsi"/>
          <w:color w:val="000000" w:themeColor="text1"/>
        </w:rPr>
        <w:t>).  Full questions can be found in appendix 16 and 17 and further descriptive responses are available in appendix  25.</w:t>
      </w:r>
    </w:p>
    <w:tbl>
      <w:tblPr>
        <w:tblStyle w:val="TableGrid"/>
        <w:tblpPr w:leftFromText="180" w:rightFromText="180" w:vertAnchor="text" w:horzAnchor="margin" w:tblpXSpec="center" w:tblpY="-987"/>
        <w:tblW w:w="15234" w:type="dxa"/>
        <w:tblLook w:val="04A0" w:firstRow="1" w:lastRow="0" w:firstColumn="1" w:lastColumn="0" w:noHBand="0" w:noVBand="1"/>
      </w:tblPr>
      <w:tblGrid>
        <w:gridCol w:w="2583"/>
        <w:gridCol w:w="2877"/>
        <w:gridCol w:w="2507"/>
        <w:gridCol w:w="2420"/>
        <w:gridCol w:w="2420"/>
        <w:gridCol w:w="2427"/>
      </w:tblGrid>
      <w:tr w:rsidR="004053D7" w:rsidRPr="00CA4ABC" w14:paraId="0E1E3B08" w14:textId="77777777" w:rsidTr="005D29F3">
        <w:trPr>
          <w:trHeight w:val="274"/>
        </w:trPr>
        <w:tc>
          <w:tcPr>
            <w:tcW w:w="2583" w:type="dxa"/>
          </w:tcPr>
          <w:p w14:paraId="34E2C85B" w14:textId="77777777" w:rsidR="004C12CF" w:rsidRPr="005D29F3" w:rsidRDefault="004C12CF" w:rsidP="005D29F3">
            <w:pPr>
              <w:jc w:val="center"/>
              <w:rPr>
                <w:rFonts w:cstheme="minorHAnsi"/>
                <w:b/>
                <w:bCs/>
                <w:sz w:val="20"/>
                <w:szCs w:val="20"/>
              </w:rPr>
            </w:pPr>
            <w:r w:rsidRPr="005D29F3">
              <w:rPr>
                <w:rFonts w:cstheme="minorHAnsi"/>
                <w:b/>
                <w:bCs/>
                <w:sz w:val="20"/>
                <w:szCs w:val="20"/>
              </w:rPr>
              <w:lastRenderedPageBreak/>
              <w:t>Outcome element:</w:t>
            </w:r>
          </w:p>
        </w:tc>
        <w:tc>
          <w:tcPr>
            <w:tcW w:w="12651" w:type="dxa"/>
            <w:gridSpan w:val="5"/>
          </w:tcPr>
          <w:p w14:paraId="7B2D262B" w14:textId="77777777" w:rsidR="004C12CF" w:rsidRPr="005D29F3" w:rsidRDefault="004C12CF" w:rsidP="005D29F3">
            <w:pPr>
              <w:jc w:val="center"/>
              <w:rPr>
                <w:rFonts w:cstheme="minorHAnsi"/>
                <w:b/>
                <w:bCs/>
                <w:sz w:val="20"/>
                <w:szCs w:val="20"/>
              </w:rPr>
            </w:pPr>
            <w:r w:rsidRPr="005D29F3">
              <w:rPr>
                <w:rFonts w:cstheme="minorHAnsi"/>
                <w:b/>
                <w:bCs/>
                <w:sz w:val="20"/>
                <w:szCs w:val="20"/>
                <w:shd w:val="clear" w:color="auto" w:fill="FFFFFF"/>
              </w:rPr>
              <w:t>Number of participants who reported each score on a Likert scale (%).</w:t>
            </w:r>
          </w:p>
        </w:tc>
      </w:tr>
      <w:tr w:rsidR="004053D7" w:rsidRPr="00CA4ABC" w14:paraId="47135BFE" w14:textId="77777777" w:rsidTr="009E173A">
        <w:trPr>
          <w:trHeight w:val="267"/>
        </w:trPr>
        <w:tc>
          <w:tcPr>
            <w:tcW w:w="2583" w:type="dxa"/>
            <w:vMerge w:val="restart"/>
          </w:tcPr>
          <w:p w14:paraId="38CB5BAD" w14:textId="77777777" w:rsidR="004C12CF" w:rsidRPr="005D29F3" w:rsidRDefault="004C12CF" w:rsidP="005D29F3">
            <w:pPr>
              <w:rPr>
                <w:rFonts w:cstheme="minorHAnsi"/>
                <w:sz w:val="20"/>
                <w:szCs w:val="20"/>
              </w:rPr>
            </w:pPr>
            <w:r w:rsidRPr="005D29F3">
              <w:rPr>
                <w:rFonts w:cstheme="minorHAnsi"/>
                <w:sz w:val="20"/>
                <w:szCs w:val="20"/>
              </w:rPr>
              <w:t>Q2. Practicality of attending an exercise session</w:t>
            </w:r>
          </w:p>
        </w:tc>
        <w:tc>
          <w:tcPr>
            <w:tcW w:w="2877" w:type="dxa"/>
          </w:tcPr>
          <w:p w14:paraId="6C88D768" w14:textId="77777777" w:rsidR="004C12CF" w:rsidRPr="005D29F3" w:rsidRDefault="004C12CF" w:rsidP="005D29F3">
            <w:pPr>
              <w:rPr>
                <w:rFonts w:cstheme="minorHAnsi"/>
                <w:b/>
                <w:bCs/>
                <w:sz w:val="20"/>
                <w:szCs w:val="20"/>
              </w:rPr>
            </w:pPr>
            <w:r w:rsidRPr="005D29F3">
              <w:rPr>
                <w:rFonts w:cstheme="minorHAnsi"/>
                <w:b/>
                <w:bCs/>
                <w:sz w:val="20"/>
                <w:szCs w:val="20"/>
              </w:rPr>
              <w:t>Very impractical</w:t>
            </w:r>
          </w:p>
        </w:tc>
        <w:tc>
          <w:tcPr>
            <w:tcW w:w="2507" w:type="dxa"/>
          </w:tcPr>
          <w:p w14:paraId="58BCAFA2" w14:textId="77777777" w:rsidR="004C12CF" w:rsidRPr="005D29F3" w:rsidRDefault="004C12CF" w:rsidP="005D29F3">
            <w:pPr>
              <w:rPr>
                <w:rFonts w:cstheme="minorHAnsi"/>
                <w:b/>
                <w:bCs/>
                <w:sz w:val="20"/>
                <w:szCs w:val="20"/>
              </w:rPr>
            </w:pPr>
            <w:r w:rsidRPr="005D29F3">
              <w:rPr>
                <w:rFonts w:cstheme="minorHAnsi"/>
                <w:b/>
                <w:bCs/>
                <w:sz w:val="20"/>
                <w:szCs w:val="20"/>
              </w:rPr>
              <w:t>Somewhat practical</w:t>
            </w:r>
          </w:p>
        </w:tc>
        <w:tc>
          <w:tcPr>
            <w:tcW w:w="2420" w:type="dxa"/>
          </w:tcPr>
          <w:p w14:paraId="59AAC79F" w14:textId="77777777" w:rsidR="004C12CF" w:rsidRPr="005D29F3" w:rsidRDefault="004C12CF" w:rsidP="005D29F3">
            <w:pPr>
              <w:rPr>
                <w:rFonts w:cstheme="minorHAnsi"/>
                <w:b/>
                <w:bCs/>
                <w:sz w:val="20"/>
                <w:szCs w:val="20"/>
              </w:rPr>
            </w:pPr>
            <w:r w:rsidRPr="005D29F3">
              <w:rPr>
                <w:rFonts w:cstheme="minorHAnsi"/>
                <w:b/>
                <w:bCs/>
                <w:sz w:val="20"/>
                <w:szCs w:val="20"/>
              </w:rPr>
              <w:t>No opinion</w:t>
            </w:r>
          </w:p>
        </w:tc>
        <w:tc>
          <w:tcPr>
            <w:tcW w:w="2420" w:type="dxa"/>
          </w:tcPr>
          <w:p w14:paraId="07B8FC93" w14:textId="77777777" w:rsidR="004C12CF" w:rsidRPr="005D29F3" w:rsidRDefault="004C12CF" w:rsidP="005D29F3">
            <w:pPr>
              <w:rPr>
                <w:rFonts w:cstheme="minorHAnsi"/>
                <w:b/>
                <w:bCs/>
                <w:sz w:val="20"/>
                <w:szCs w:val="20"/>
              </w:rPr>
            </w:pPr>
            <w:r w:rsidRPr="005D29F3">
              <w:rPr>
                <w:rFonts w:cstheme="minorHAnsi"/>
                <w:b/>
                <w:bCs/>
                <w:sz w:val="20"/>
                <w:szCs w:val="20"/>
              </w:rPr>
              <w:t>Fairly practical</w:t>
            </w:r>
          </w:p>
        </w:tc>
        <w:tc>
          <w:tcPr>
            <w:tcW w:w="2427" w:type="dxa"/>
          </w:tcPr>
          <w:p w14:paraId="5EBE56C3" w14:textId="77777777" w:rsidR="004C12CF" w:rsidRPr="005D29F3" w:rsidRDefault="004C12CF" w:rsidP="005D29F3">
            <w:pPr>
              <w:rPr>
                <w:rFonts w:cstheme="minorHAnsi"/>
                <w:b/>
                <w:bCs/>
                <w:sz w:val="20"/>
                <w:szCs w:val="20"/>
              </w:rPr>
            </w:pPr>
            <w:r w:rsidRPr="005D29F3">
              <w:rPr>
                <w:rFonts w:cstheme="minorHAnsi"/>
                <w:b/>
                <w:bCs/>
                <w:sz w:val="20"/>
                <w:szCs w:val="20"/>
              </w:rPr>
              <w:t>Very practical</w:t>
            </w:r>
          </w:p>
        </w:tc>
      </w:tr>
      <w:tr w:rsidR="004053D7" w:rsidRPr="00CA4ABC" w14:paraId="1FAA7D12" w14:textId="77777777" w:rsidTr="009E173A">
        <w:trPr>
          <w:trHeight w:val="133"/>
        </w:trPr>
        <w:tc>
          <w:tcPr>
            <w:tcW w:w="2583" w:type="dxa"/>
            <w:vMerge/>
          </w:tcPr>
          <w:p w14:paraId="4CBD015B" w14:textId="77777777" w:rsidR="004C12CF" w:rsidRPr="005D29F3" w:rsidRDefault="004C12CF" w:rsidP="005D29F3">
            <w:pPr>
              <w:rPr>
                <w:rFonts w:cstheme="minorHAnsi"/>
                <w:sz w:val="20"/>
                <w:szCs w:val="20"/>
              </w:rPr>
            </w:pPr>
          </w:p>
        </w:tc>
        <w:tc>
          <w:tcPr>
            <w:tcW w:w="2877" w:type="dxa"/>
          </w:tcPr>
          <w:p w14:paraId="09E9D0FC" w14:textId="77777777" w:rsidR="004C12CF" w:rsidRPr="005D29F3" w:rsidRDefault="004C12CF" w:rsidP="005D29F3">
            <w:pPr>
              <w:rPr>
                <w:rFonts w:cstheme="minorHAnsi"/>
                <w:sz w:val="20"/>
                <w:szCs w:val="20"/>
              </w:rPr>
            </w:pPr>
            <w:r w:rsidRPr="005D29F3">
              <w:rPr>
                <w:rFonts w:cstheme="minorHAnsi"/>
                <w:sz w:val="20"/>
                <w:szCs w:val="20"/>
              </w:rPr>
              <w:t>0</w:t>
            </w:r>
          </w:p>
        </w:tc>
        <w:tc>
          <w:tcPr>
            <w:tcW w:w="2507" w:type="dxa"/>
          </w:tcPr>
          <w:p w14:paraId="6A030D9D" w14:textId="77777777" w:rsidR="004C12CF" w:rsidRPr="005D29F3" w:rsidRDefault="004C12CF" w:rsidP="005D29F3">
            <w:pPr>
              <w:rPr>
                <w:rFonts w:cstheme="minorHAnsi"/>
                <w:sz w:val="20"/>
                <w:szCs w:val="20"/>
              </w:rPr>
            </w:pPr>
            <w:r w:rsidRPr="005D29F3">
              <w:rPr>
                <w:rFonts w:cstheme="minorHAnsi"/>
                <w:sz w:val="20"/>
                <w:szCs w:val="20"/>
              </w:rPr>
              <w:t>2 (18%)</w:t>
            </w:r>
          </w:p>
        </w:tc>
        <w:tc>
          <w:tcPr>
            <w:tcW w:w="2420" w:type="dxa"/>
          </w:tcPr>
          <w:p w14:paraId="122E3779" w14:textId="77777777" w:rsidR="004C12CF" w:rsidRPr="005D29F3" w:rsidRDefault="004C12CF" w:rsidP="005D29F3">
            <w:pPr>
              <w:rPr>
                <w:rFonts w:cstheme="minorHAnsi"/>
                <w:sz w:val="20"/>
                <w:szCs w:val="20"/>
              </w:rPr>
            </w:pPr>
            <w:r w:rsidRPr="005D29F3">
              <w:rPr>
                <w:rFonts w:cstheme="minorHAnsi"/>
                <w:sz w:val="20"/>
                <w:szCs w:val="20"/>
              </w:rPr>
              <w:t>2 (18%)</w:t>
            </w:r>
          </w:p>
        </w:tc>
        <w:tc>
          <w:tcPr>
            <w:tcW w:w="2420" w:type="dxa"/>
          </w:tcPr>
          <w:p w14:paraId="1212E4F7" w14:textId="77777777" w:rsidR="004C12CF" w:rsidRPr="005D29F3" w:rsidRDefault="004C12CF" w:rsidP="005D29F3">
            <w:pPr>
              <w:rPr>
                <w:rFonts w:cstheme="minorHAnsi"/>
                <w:sz w:val="20"/>
                <w:szCs w:val="20"/>
              </w:rPr>
            </w:pPr>
            <w:r w:rsidRPr="005D29F3">
              <w:rPr>
                <w:rFonts w:cstheme="minorHAnsi"/>
                <w:sz w:val="20"/>
                <w:szCs w:val="20"/>
              </w:rPr>
              <w:t>4 (36%)</w:t>
            </w:r>
          </w:p>
        </w:tc>
        <w:tc>
          <w:tcPr>
            <w:tcW w:w="2427" w:type="dxa"/>
          </w:tcPr>
          <w:p w14:paraId="79E6A08F" w14:textId="77777777" w:rsidR="004C12CF" w:rsidRPr="005D29F3" w:rsidRDefault="004C12CF" w:rsidP="005D29F3">
            <w:pPr>
              <w:rPr>
                <w:rFonts w:cstheme="minorHAnsi"/>
                <w:sz w:val="20"/>
                <w:szCs w:val="20"/>
              </w:rPr>
            </w:pPr>
            <w:r w:rsidRPr="005D29F3">
              <w:rPr>
                <w:rFonts w:cstheme="minorHAnsi"/>
                <w:sz w:val="20"/>
                <w:szCs w:val="20"/>
              </w:rPr>
              <w:t>3 (27%)</w:t>
            </w:r>
          </w:p>
        </w:tc>
      </w:tr>
      <w:tr w:rsidR="004053D7" w:rsidRPr="00CA4ABC" w14:paraId="086A9D72" w14:textId="77777777" w:rsidTr="005D29F3">
        <w:trPr>
          <w:trHeight w:val="95"/>
        </w:trPr>
        <w:tc>
          <w:tcPr>
            <w:tcW w:w="2583" w:type="dxa"/>
            <w:vMerge w:val="restart"/>
          </w:tcPr>
          <w:p w14:paraId="6A8CDD66" w14:textId="77777777" w:rsidR="004C12CF" w:rsidRPr="005D29F3" w:rsidRDefault="004C12CF" w:rsidP="005D29F3">
            <w:pPr>
              <w:rPr>
                <w:rFonts w:cstheme="minorHAnsi"/>
                <w:sz w:val="20"/>
                <w:szCs w:val="20"/>
              </w:rPr>
            </w:pPr>
            <w:r w:rsidRPr="005D29F3">
              <w:rPr>
                <w:rFonts w:cstheme="minorHAnsi"/>
                <w:sz w:val="20"/>
                <w:szCs w:val="20"/>
              </w:rPr>
              <w:t>Q3. Challenge of the exercise session</w:t>
            </w:r>
          </w:p>
        </w:tc>
        <w:tc>
          <w:tcPr>
            <w:tcW w:w="2877" w:type="dxa"/>
          </w:tcPr>
          <w:p w14:paraId="3916854C" w14:textId="77777777" w:rsidR="004C12CF" w:rsidRPr="005D29F3" w:rsidRDefault="004C12CF" w:rsidP="005D29F3">
            <w:pPr>
              <w:rPr>
                <w:rFonts w:cstheme="minorHAnsi"/>
                <w:b/>
                <w:bCs/>
                <w:sz w:val="20"/>
                <w:szCs w:val="20"/>
              </w:rPr>
            </w:pPr>
            <w:r w:rsidRPr="005D29F3">
              <w:rPr>
                <w:rFonts w:cstheme="minorHAnsi"/>
                <w:b/>
                <w:bCs/>
                <w:sz w:val="20"/>
                <w:szCs w:val="20"/>
              </w:rPr>
              <w:t>Extremely challenging</w:t>
            </w:r>
          </w:p>
        </w:tc>
        <w:tc>
          <w:tcPr>
            <w:tcW w:w="2507" w:type="dxa"/>
          </w:tcPr>
          <w:p w14:paraId="30047606" w14:textId="77777777" w:rsidR="004C12CF" w:rsidRPr="005D29F3" w:rsidRDefault="004C12CF" w:rsidP="005D29F3">
            <w:pPr>
              <w:rPr>
                <w:rFonts w:cstheme="minorHAnsi"/>
                <w:b/>
                <w:bCs/>
                <w:sz w:val="20"/>
                <w:szCs w:val="20"/>
              </w:rPr>
            </w:pPr>
            <w:r w:rsidRPr="005D29F3">
              <w:rPr>
                <w:rFonts w:cstheme="minorHAnsi"/>
                <w:b/>
                <w:bCs/>
                <w:sz w:val="20"/>
                <w:szCs w:val="20"/>
              </w:rPr>
              <w:t>Challenging</w:t>
            </w:r>
          </w:p>
        </w:tc>
        <w:tc>
          <w:tcPr>
            <w:tcW w:w="2420" w:type="dxa"/>
          </w:tcPr>
          <w:p w14:paraId="36308D9C" w14:textId="77777777" w:rsidR="004C12CF" w:rsidRPr="005D29F3" w:rsidRDefault="004C12CF" w:rsidP="005D29F3">
            <w:pPr>
              <w:rPr>
                <w:rFonts w:cstheme="minorHAnsi"/>
                <w:b/>
                <w:bCs/>
                <w:sz w:val="20"/>
                <w:szCs w:val="20"/>
              </w:rPr>
            </w:pPr>
            <w:r w:rsidRPr="005D29F3">
              <w:rPr>
                <w:rFonts w:cstheme="minorHAnsi"/>
                <w:b/>
                <w:bCs/>
                <w:sz w:val="20"/>
                <w:szCs w:val="20"/>
              </w:rPr>
              <w:t>Moderately challenging</w:t>
            </w:r>
          </w:p>
        </w:tc>
        <w:tc>
          <w:tcPr>
            <w:tcW w:w="2420" w:type="dxa"/>
          </w:tcPr>
          <w:p w14:paraId="7FB573CF" w14:textId="77777777" w:rsidR="004C12CF" w:rsidRPr="005D29F3" w:rsidRDefault="004C12CF" w:rsidP="005D29F3">
            <w:pPr>
              <w:rPr>
                <w:rFonts w:cstheme="minorHAnsi"/>
                <w:b/>
                <w:bCs/>
                <w:sz w:val="20"/>
                <w:szCs w:val="20"/>
              </w:rPr>
            </w:pPr>
            <w:r w:rsidRPr="005D29F3">
              <w:rPr>
                <w:rFonts w:cstheme="minorHAnsi"/>
                <w:b/>
                <w:bCs/>
                <w:sz w:val="20"/>
                <w:szCs w:val="20"/>
              </w:rPr>
              <w:t>Easy</w:t>
            </w:r>
          </w:p>
        </w:tc>
        <w:tc>
          <w:tcPr>
            <w:tcW w:w="2427" w:type="dxa"/>
          </w:tcPr>
          <w:p w14:paraId="6F28B9BE" w14:textId="77777777" w:rsidR="004C12CF" w:rsidRPr="005D29F3" w:rsidRDefault="004C12CF" w:rsidP="005D29F3">
            <w:pPr>
              <w:rPr>
                <w:rFonts w:cstheme="minorHAnsi"/>
                <w:b/>
                <w:bCs/>
                <w:sz w:val="20"/>
                <w:szCs w:val="20"/>
              </w:rPr>
            </w:pPr>
            <w:r w:rsidRPr="005D29F3">
              <w:rPr>
                <w:rFonts w:cstheme="minorHAnsi"/>
                <w:b/>
                <w:bCs/>
                <w:sz w:val="20"/>
                <w:szCs w:val="20"/>
              </w:rPr>
              <w:t>Extremely easy</w:t>
            </w:r>
          </w:p>
        </w:tc>
      </w:tr>
      <w:tr w:rsidR="004053D7" w:rsidRPr="00CA4ABC" w14:paraId="38165E27" w14:textId="77777777" w:rsidTr="005D29F3">
        <w:trPr>
          <w:trHeight w:val="207"/>
        </w:trPr>
        <w:tc>
          <w:tcPr>
            <w:tcW w:w="2583" w:type="dxa"/>
            <w:vMerge/>
          </w:tcPr>
          <w:p w14:paraId="7D26D5C8" w14:textId="77777777" w:rsidR="004C12CF" w:rsidRPr="005D29F3" w:rsidRDefault="004C12CF" w:rsidP="005D29F3">
            <w:pPr>
              <w:rPr>
                <w:rFonts w:cstheme="minorHAnsi"/>
                <w:sz w:val="20"/>
                <w:szCs w:val="20"/>
              </w:rPr>
            </w:pPr>
          </w:p>
        </w:tc>
        <w:tc>
          <w:tcPr>
            <w:tcW w:w="2877" w:type="dxa"/>
          </w:tcPr>
          <w:p w14:paraId="55E462C6" w14:textId="77777777" w:rsidR="004C12CF" w:rsidRPr="005D29F3" w:rsidRDefault="004C12CF" w:rsidP="005D29F3">
            <w:pPr>
              <w:rPr>
                <w:rFonts w:cstheme="minorHAnsi"/>
                <w:sz w:val="20"/>
                <w:szCs w:val="20"/>
              </w:rPr>
            </w:pPr>
            <w:r w:rsidRPr="005D29F3">
              <w:rPr>
                <w:rFonts w:cstheme="minorHAnsi"/>
                <w:sz w:val="20"/>
                <w:szCs w:val="20"/>
              </w:rPr>
              <w:t>0</w:t>
            </w:r>
          </w:p>
        </w:tc>
        <w:tc>
          <w:tcPr>
            <w:tcW w:w="2507" w:type="dxa"/>
          </w:tcPr>
          <w:p w14:paraId="35AE2F5B" w14:textId="77777777" w:rsidR="004C12CF" w:rsidRPr="005D29F3" w:rsidRDefault="004C12CF" w:rsidP="005D29F3">
            <w:pPr>
              <w:rPr>
                <w:rFonts w:cstheme="minorHAnsi"/>
                <w:sz w:val="20"/>
                <w:szCs w:val="20"/>
              </w:rPr>
            </w:pPr>
            <w:r w:rsidRPr="005D29F3">
              <w:rPr>
                <w:rFonts w:cstheme="minorHAnsi"/>
                <w:sz w:val="20"/>
                <w:szCs w:val="20"/>
              </w:rPr>
              <w:t>4 (36%)</w:t>
            </w:r>
          </w:p>
        </w:tc>
        <w:tc>
          <w:tcPr>
            <w:tcW w:w="2420" w:type="dxa"/>
          </w:tcPr>
          <w:p w14:paraId="765B7F56" w14:textId="77777777" w:rsidR="004C12CF" w:rsidRPr="005D29F3" w:rsidRDefault="004C12CF" w:rsidP="005D29F3">
            <w:pPr>
              <w:rPr>
                <w:rFonts w:cstheme="minorHAnsi"/>
                <w:sz w:val="20"/>
                <w:szCs w:val="20"/>
              </w:rPr>
            </w:pPr>
            <w:r w:rsidRPr="005D29F3">
              <w:rPr>
                <w:rFonts w:cstheme="minorHAnsi"/>
                <w:sz w:val="20"/>
                <w:szCs w:val="20"/>
              </w:rPr>
              <w:t>5 (45%)</w:t>
            </w:r>
          </w:p>
        </w:tc>
        <w:tc>
          <w:tcPr>
            <w:tcW w:w="2420" w:type="dxa"/>
          </w:tcPr>
          <w:p w14:paraId="2F30F8CF" w14:textId="77777777" w:rsidR="004C12CF" w:rsidRPr="005D29F3" w:rsidRDefault="004C12CF" w:rsidP="005D29F3">
            <w:pPr>
              <w:rPr>
                <w:rFonts w:cstheme="minorHAnsi"/>
                <w:sz w:val="20"/>
                <w:szCs w:val="20"/>
              </w:rPr>
            </w:pPr>
          </w:p>
        </w:tc>
        <w:tc>
          <w:tcPr>
            <w:tcW w:w="2427" w:type="dxa"/>
          </w:tcPr>
          <w:p w14:paraId="04C5ECB4" w14:textId="77777777" w:rsidR="004C12CF" w:rsidRPr="005D29F3" w:rsidRDefault="004C12CF" w:rsidP="005D29F3">
            <w:pPr>
              <w:rPr>
                <w:rFonts w:cstheme="minorHAnsi"/>
                <w:sz w:val="20"/>
                <w:szCs w:val="20"/>
              </w:rPr>
            </w:pPr>
            <w:r w:rsidRPr="005D29F3">
              <w:rPr>
                <w:rFonts w:cstheme="minorHAnsi"/>
                <w:sz w:val="20"/>
                <w:szCs w:val="20"/>
              </w:rPr>
              <w:t>2 (18%)</w:t>
            </w:r>
          </w:p>
        </w:tc>
      </w:tr>
      <w:tr w:rsidR="004053D7" w:rsidRPr="00CA4ABC" w14:paraId="6D61B1C3" w14:textId="77777777" w:rsidTr="009E173A">
        <w:trPr>
          <w:trHeight w:val="444"/>
        </w:trPr>
        <w:tc>
          <w:tcPr>
            <w:tcW w:w="2583" w:type="dxa"/>
            <w:vMerge w:val="restart"/>
          </w:tcPr>
          <w:p w14:paraId="4D26D0D0" w14:textId="77777777" w:rsidR="004C12CF" w:rsidRPr="005D29F3" w:rsidRDefault="004C12CF" w:rsidP="005D29F3">
            <w:pPr>
              <w:rPr>
                <w:rFonts w:cstheme="minorHAnsi"/>
                <w:sz w:val="20"/>
                <w:szCs w:val="20"/>
              </w:rPr>
            </w:pPr>
            <w:r w:rsidRPr="005D29F3">
              <w:rPr>
                <w:rFonts w:cstheme="minorHAnsi"/>
                <w:sz w:val="20"/>
                <w:szCs w:val="20"/>
              </w:rPr>
              <w:t>Q4. Satisfaction with the exercise sessions</w:t>
            </w:r>
          </w:p>
        </w:tc>
        <w:tc>
          <w:tcPr>
            <w:tcW w:w="2877" w:type="dxa"/>
          </w:tcPr>
          <w:p w14:paraId="6525A2D0" w14:textId="77777777" w:rsidR="004C12CF" w:rsidRPr="005D29F3" w:rsidRDefault="004C12CF" w:rsidP="005D29F3">
            <w:pPr>
              <w:rPr>
                <w:rFonts w:cstheme="minorHAnsi"/>
                <w:b/>
                <w:bCs/>
                <w:sz w:val="20"/>
                <w:szCs w:val="20"/>
              </w:rPr>
            </w:pPr>
            <w:r w:rsidRPr="005D29F3">
              <w:rPr>
                <w:rFonts w:cstheme="minorHAnsi"/>
                <w:b/>
                <w:bCs/>
                <w:sz w:val="20"/>
                <w:szCs w:val="20"/>
              </w:rPr>
              <w:t>Extremely dissatisfied</w:t>
            </w:r>
          </w:p>
        </w:tc>
        <w:tc>
          <w:tcPr>
            <w:tcW w:w="2507" w:type="dxa"/>
          </w:tcPr>
          <w:p w14:paraId="6FE3EAF0" w14:textId="77777777" w:rsidR="004C12CF" w:rsidRPr="005D29F3" w:rsidRDefault="004C12CF" w:rsidP="005D29F3">
            <w:pPr>
              <w:rPr>
                <w:rFonts w:cstheme="minorHAnsi"/>
                <w:b/>
                <w:bCs/>
                <w:sz w:val="20"/>
                <w:szCs w:val="20"/>
              </w:rPr>
            </w:pPr>
            <w:r w:rsidRPr="005D29F3">
              <w:rPr>
                <w:rFonts w:cstheme="minorHAnsi"/>
                <w:b/>
                <w:bCs/>
                <w:sz w:val="20"/>
                <w:szCs w:val="20"/>
              </w:rPr>
              <w:t>Dissatisfied</w:t>
            </w:r>
          </w:p>
        </w:tc>
        <w:tc>
          <w:tcPr>
            <w:tcW w:w="2420" w:type="dxa"/>
          </w:tcPr>
          <w:p w14:paraId="15B8F02D" w14:textId="77777777" w:rsidR="004C12CF" w:rsidRPr="005D29F3" w:rsidRDefault="004C12CF" w:rsidP="005D29F3">
            <w:pPr>
              <w:rPr>
                <w:rFonts w:cstheme="minorHAnsi"/>
                <w:b/>
                <w:bCs/>
                <w:sz w:val="20"/>
                <w:szCs w:val="20"/>
              </w:rPr>
            </w:pPr>
            <w:r w:rsidRPr="005D29F3">
              <w:rPr>
                <w:rFonts w:cstheme="minorHAnsi"/>
                <w:b/>
                <w:bCs/>
                <w:sz w:val="20"/>
                <w:szCs w:val="20"/>
              </w:rPr>
              <w:t>Neither dissatisfied or satisfied</w:t>
            </w:r>
          </w:p>
        </w:tc>
        <w:tc>
          <w:tcPr>
            <w:tcW w:w="2420" w:type="dxa"/>
          </w:tcPr>
          <w:p w14:paraId="72E2B2E7" w14:textId="77777777" w:rsidR="004C12CF" w:rsidRPr="005D29F3" w:rsidRDefault="004C12CF" w:rsidP="005D29F3">
            <w:pPr>
              <w:rPr>
                <w:rFonts w:cstheme="minorHAnsi"/>
                <w:b/>
                <w:bCs/>
                <w:sz w:val="20"/>
                <w:szCs w:val="20"/>
              </w:rPr>
            </w:pPr>
            <w:r w:rsidRPr="005D29F3">
              <w:rPr>
                <w:rFonts w:cstheme="minorHAnsi"/>
                <w:b/>
                <w:bCs/>
                <w:sz w:val="20"/>
                <w:szCs w:val="20"/>
              </w:rPr>
              <w:t>Satisfied</w:t>
            </w:r>
          </w:p>
        </w:tc>
        <w:tc>
          <w:tcPr>
            <w:tcW w:w="2427" w:type="dxa"/>
          </w:tcPr>
          <w:p w14:paraId="7DF64FD6" w14:textId="77777777" w:rsidR="004C12CF" w:rsidRPr="005D29F3" w:rsidRDefault="004C12CF" w:rsidP="005D29F3">
            <w:pPr>
              <w:rPr>
                <w:rFonts w:cstheme="minorHAnsi"/>
                <w:b/>
                <w:bCs/>
                <w:sz w:val="20"/>
                <w:szCs w:val="20"/>
              </w:rPr>
            </w:pPr>
            <w:r w:rsidRPr="005D29F3">
              <w:rPr>
                <w:rFonts w:cstheme="minorHAnsi"/>
                <w:b/>
                <w:bCs/>
                <w:sz w:val="20"/>
                <w:szCs w:val="20"/>
              </w:rPr>
              <w:t>Extremely satisfied</w:t>
            </w:r>
          </w:p>
        </w:tc>
      </w:tr>
      <w:tr w:rsidR="004053D7" w:rsidRPr="00CA4ABC" w14:paraId="6D8A1A00" w14:textId="77777777" w:rsidTr="005D29F3">
        <w:trPr>
          <w:trHeight w:val="161"/>
        </w:trPr>
        <w:tc>
          <w:tcPr>
            <w:tcW w:w="2583" w:type="dxa"/>
            <w:vMerge/>
          </w:tcPr>
          <w:p w14:paraId="57ED6AC4" w14:textId="77777777" w:rsidR="004C12CF" w:rsidRPr="005D29F3" w:rsidRDefault="004C12CF" w:rsidP="005D29F3">
            <w:pPr>
              <w:rPr>
                <w:rFonts w:cstheme="minorHAnsi"/>
                <w:sz w:val="20"/>
                <w:szCs w:val="20"/>
              </w:rPr>
            </w:pPr>
          </w:p>
        </w:tc>
        <w:tc>
          <w:tcPr>
            <w:tcW w:w="2877" w:type="dxa"/>
          </w:tcPr>
          <w:p w14:paraId="4A25D4D1" w14:textId="77777777" w:rsidR="004C12CF" w:rsidRPr="005D29F3" w:rsidRDefault="004C12CF" w:rsidP="005D29F3">
            <w:pPr>
              <w:rPr>
                <w:rFonts w:cstheme="minorHAnsi"/>
                <w:sz w:val="20"/>
                <w:szCs w:val="20"/>
              </w:rPr>
            </w:pPr>
            <w:r w:rsidRPr="005D29F3">
              <w:rPr>
                <w:rFonts w:cstheme="minorHAnsi"/>
                <w:sz w:val="20"/>
                <w:szCs w:val="20"/>
              </w:rPr>
              <w:t>0</w:t>
            </w:r>
          </w:p>
        </w:tc>
        <w:tc>
          <w:tcPr>
            <w:tcW w:w="2507" w:type="dxa"/>
          </w:tcPr>
          <w:p w14:paraId="28623A2E" w14:textId="77777777" w:rsidR="004C12CF" w:rsidRPr="005D29F3" w:rsidRDefault="004C12CF" w:rsidP="005D29F3">
            <w:pPr>
              <w:rPr>
                <w:rFonts w:cstheme="minorHAnsi"/>
                <w:sz w:val="20"/>
                <w:szCs w:val="20"/>
              </w:rPr>
            </w:pPr>
            <w:r w:rsidRPr="005D29F3">
              <w:rPr>
                <w:rFonts w:cstheme="minorHAnsi"/>
                <w:sz w:val="20"/>
                <w:szCs w:val="20"/>
              </w:rPr>
              <w:t>0</w:t>
            </w:r>
          </w:p>
        </w:tc>
        <w:tc>
          <w:tcPr>
            <w:tcW w:w="2420" w:type="dxa"/>
          </w:tcPr>
          <w:p w14:paraId="5B5ED1E6" w14:textId="77777777" w:rsidR="004C12CF" w:rsidRPr="005D29F3" w:rsidRDefault="004C12CF" w:rsidP="005D29F3">
            <w:pPr>
              <w:rPr>
                <w:rFonts w:cstheme="minorHAnsi"/>
                <w:sz w:val="20"/>
                <w:szCs w:val="20"/>
              </w:rPr>
            </w:pPr>
            <w:r w:rsidRPr="005D29F3">
              <w:rPr>
                <w:rFonts w:cstheme="minorHAnsi"/>
                <w:sz w:val="20"/>
                <w:szCs w:val="20"/>
              </w:rPr>
              <w:t>1 (9%)</w:t>
            </w:r>
          </w:p>
        </w:tc>
        <w:tc>
          <w:tcPr>
            <w:tcW w:w="2420" w:type="dxa"/>
          </w:tcPr>
          <w:p w14:paraId="5FA74091" w14:textId="77777777" w:rsidR="004C12CF" w:rsidRPr="005D29F3" w:rsidRDefault="004C12CF" w:rsidP="005D29F3">
            <w:pPr>
              <w:rPr>
                <w:rFonts w:cstheme="minorHAnsi"/>
                <w:sz w:val="20"/>
                <w:szCs w:val="20"/>
              </w:rPr>
            </w:pPr>
            <w:r w:rsidRPr="005D29F3">
              <w:rPr>
                <w:rFonts w:cstheme="minorHAnsi"/>
                <w:sz w:val="20"/>
                <w:szCs w:val="20"/>
              </w:rPr>
              <w:t>4 (36%)</w:t>
            </w:r>
          </w:p>
        </w:tc>
        <w:tc>
          <w:tcPr>
            <w:tcW w:w="2427" w:type="dxa"/>
          </w:tcPr>
          <w:p w14:paraId="2E64D69D" w14:textId="77777777" w:rsidR="004C12CF" w:rsidRPr="005D29F3" w:rsidRDefault="004C12CF" w:rsidP="005D29F3">
            <w:pPr>
              <w:rPr>
                <w:rFonts w:cstheme="minorHAnsi"/>
                <w:sz w:val="20"/>
                <w:szCs w:val="20"/>
              </w:rPr>
            </w:pPr>
            <w:r w:rsidRPr="005D29F3">
              <w:rPr>
                <w:rFonts w:cstheme="minorHAnsi"/>
                <w:sz w:val="20"/>
                <w:szCs w:val="20"/>
              </w:rPr>
              <w:t>6 (55%)</w:t>
            </w:r>
          </w:p>
        </w:tc>
      </w:tr>
      <w:tr w:rsidR="004053D7" w:rsidRPr="00CA4ABC" w14:paraId="6D7D9A93" w14:textId="77777777" w:rsidTr="005D29F3">
        <w:trPr>
          <w:trHeight w:val="192"/>
        </w:trPr>
        <w:tc>
          <w:tcPr>
            <w:tcW w:w="2583" w:type="dxa"/>
            <w:vMerge w:val="restart"/>
          </w:tcPr>
          <w:p w14:paraId="66147173" w14:textId="77777777" w:rsidR="004C12CF" w:rsidRPr="005D29F3" w:rsidRDefault="004C12CF" w:rsidP="005D29F3">
            <w:pPr>
              <w:rPr>
                <w:rFonts w:cstheme="minorHAnsi"/>
                <w:sz w:val="20"/>
                <w:szCs w:val="20"/>
              </w:rPr>
            </w:pPr>
            <w:r w:rsidRPr="005D29F3">
              <w:rPr>
                <w:rFonts w:cstheme="minorHAnsi"/>
                <w:sz w:val="20"/>
                <w:szCs w:val="20"/>
              </w:rPr>
              <w:t>Q5. Acceptability of resistance bands</w:t>
            </w:r>
          </w:p>
        </w:tc>
        <w:tc>
          <w:tcPr>
            <w:tcW w:w="2877" w:type="dxa"/>
          </w:tcPr>
          <w:p w14:paraId="395147EE" w14:textId="77777777" w:rsidR="004C12CF" w:rsidRPr="005D29F3" w:rsidRDefault="004C12CF" w:rsidP="005D29F3">
            <w:pPr>
              <w:rPr>
                <w:rFonts w:cstheme="minorHAnsi"/>
                <w:b/>
                <w:bCs/>
                <w:sz w:val="20"/>
                <w:szCs w:val="20"/>
              </w:rPr>
            </w:pPr>
            <w:r w:rsidRPr="005D29F3">
              <w:rPr>
                <w:rFonts w:cstheme="minorHAnsi"/>
                <w:b/>
                <w:bCs/>
                <w:sz w:val="20"/>
                <w:szCs w:val="20"/>
              </w:rPr>
              <w:t>Extremely unacceptable</w:t>
            </w:r>
          </w:p>
        </w:tc>
        <w:tc>
          <w:tcPr>
            <w:tcW w:w="2507" w:type="dxa"/>
          </w:tcPr>
          <w:p w14:paraId="7E4158AA" w14:textId="77777777" w:rsidR="004C12CF" w:rsidRPr="005D29F3" w:rsidRDefault="004C12CF" w:rsidP="005D29F3">
            <w:pPr>
              <w:rPr>
                <w:rFonts w:cstheme="minorHAnsi"/>
                <w:b/>
                <w:bCs/>
                <w:sz w:val="20"/>
                <w:szCs w:val="20"/>
              </w:rPr>
            </w:pPr>
            <w:r w:rsidRPr="005D29F3">
              <w:rPr>
                <w:rFonts w:cstheme="minorHAnsi"/>
                <w:b/>
                <w:bCs/>
                <w:sz w:val="20"/>
                <w:szCs w:val="20"/>
              </w:rPr>
              <w:t>Unacceptable</w:t>
            </w:r>
          </w:p>
        </w:tc>
        <w:tc>
          <w:tcPr>
            <w:tcW w:w="2420" w:type="dxa"/>
          </w:tcPr>
          <w:p w14:paraId="2BF35E7B" w14:textId="77777777" w:rsidR="004C12CF" w:rsidRPr="005D29F3" w:rsidRDefault="004C12CF" w:rsidP="005D29F3">
            <w:pPr>
              <w:rPr>
                <w:rFonts w:cstheme="minorHAnsi"/>
                <w:b/>
                <w:bCs/>
                <w:sz w:val="20"/>
                <w:szCs w:val="20"/>
              </w:rPr>
            </w:pPr>
            <w:r w:rsidRPr="005D29F3">
              <w:rPr>
                <w:rFonts w:cstheme="minorHAnsi"/>
                <w:b/>
                <w:bCs/>
                <w:sz w:val="20"/>
                <w:szCs w:val="20"/>
              </w:rPr>
              <w:t>Adequate</w:t>
            </w:r>
          </w:p>
        </w:tc>
        <w:tc>
          <w:tcPr>
            <w:tcW w:w="2420" w:type="dxa"/>
          </w:tcPr>
          <w:p w14:paraId="327C5DBD" w14:textId="77777777" w:rsidR="004C12CF" w:rsidRPr="005D29F3" w:rsidRDefault="004C12CF" w:rsidP="005D29F3">
            <w:pPr>
              <w:rPr>
                <w:rFonts w:cstheme="minorHAnsi"/>
                <w:b/>
                <w:bCs/>
                <w:sz w:val="20"/>
                <w:szCs w:val="20"/>
              </w:rPr>
            </w:pPr>
            <w:r w:rsidRPr="005D29F3">
              <w:rPr>
                <w:rFonts w:cstheme="minorHAnsi"/>
                <w:b/>
                <w:bCs/>
                <w:sz w:val="20"/>
                <w:szCs w:val="20"/>
              </w:rPr>
              <w:t>Acceptable</w:t>
            </w:r>
          </w:p>
        </w:tc>
        <w:tc>
          <w:tcPr>
            <w:tcW w:w="2427" w:type="dxa"/>
          </w:tcPr>
          <w:p w14:paraId="6824F952" w14:textId="77777777" w:rsidR="004C12CF" w:rsidRPr="005D29F3" w:rsidRDefault="004C12CF" w:rsidP="005D29F3">
            <w:pPr>
              <w:rPr>
                <w:rFonts w:cstheme="minorHAnsi"/>
                <w:b/>
                <w:bCs/>
                <w:sz w:val="20"/>
                <w:szCs w:val="20"/>
              </w:rPr>
            </w:pPr>
            <w:r w:rsidRPr="005D29F3">
              <w:rPr>
                <w:rFonts w:cstheme="minorHAnsi"/>
                <w:b/>
                <w:bCs/>
                <w:sz w:val="20"/>
                <w:szCs w:val="20"/>
              </w:rPr>
              <w:t>Very acceptable</w:t>
            </w:r>
          </w:p>
        </w:tc>
      </w:tr>
      <w:tr w:rsidR="004053D7" w:rsidRPr="00CA4ABC" w14:paraId="506EF1B0" w14:textId="77777777" w:rsidTr="009E173A">
        <w:trPr>
          <w:trHeight w:val="133"/>
        </w:trPr>
        <w:tc>
          <w:tcPr>
            <w:tcW w:w="2583" w:type="dxa"/>
            <w:vMerge/>
          </w:tcPr>
          <w:p w14:paraId="069FE6CD" w14:textId="77777777" w:rsidR="004C12CF" w:rsidRPr="005D29F3" w:rsidRDefault="004C12CF" w:rsidP="005D29F3">
            <w:pPr>
              <w:rPr>
                <w:rFonts w:cstheme="minorHAnsi"/>
                <w:sz w:val="20"/>
                <w:szCs w:val="20"/>
              </w:rPr>
            </w:pPr>
          </w:p>
        </w:tc>
        <w:tc>
          <w:tcPr>
            <w:tcW w:w="2877" w:type="dxa"/>
          </w:tcPr>
          <w:p w14:paraId="3F660171" w14:textId="77777777" w:rsidR="004C12CF" w:rsidRPr="005D29F3" w:rsidRDefault="004C12CF" w:rsidP="005D29F3">
            <w:pPr>
              <w:rPr>
                <w:rFonts w:cstheme="minorHAnsi"/>
                <w:sz w:val="20"/>
                <w:szCs w:val="20"/>
              </w:rPr>
            </w:pPr>
            <w:r w:rsidRPr="005D29F3">
              <w:rPr>
                <w:rFonts w:cstheme="minorHAnsi"/>
                <w:sz w:val="20"/>
                <w:szCs w:val="20"/>
              </w:rPr>
              <w:t>0</w:t>
            </w:r>
          </w:p>
        </w:tc>
        <w:tc>
          <w:tcPr>
            <w:tcW w:w="2507" w:type="dxa"/>
          </w:tcPr>
          <w:p w14:paraId="47522404" w14:textId="77777777" w:rsidR="004C12CF" w:rsidRPr="005D29F3" w:rsidRDefault="004C12CF" w:rsidP="005D29F3">
            <w:pPr>
              <w:rPr>
                <w:rFonts w:cstheme="minorHAnsi"/>
                <w:sz w:val="20"/>
                <w:szCs w:val="20"/>
              </w:rPr>
            </w:pPr>
            <w:r w:rsidRPr="005D29F3">
              <w:rPr>
                <w:rFonts w:cstheme="minorHAnsi"/>
                <w:sz w:val="20"/>
                <w:szCs w:val="20"/>
              </w:rPr>
              <w:t>0</w:t>
            </w:r>
          </w:p>
        </w:tc>
        <w:tc>
          <w:tcPr>
            <w:tcW w:w="2420" w:type="dxa"/>
          </w:tcPr>
          <w:p w14:paraId="353C90BC" w14:textId="77777777" w:rsidR="004C12CF" w:rsidRPr="005D29F3" w:rsidRDefault="004C12CF" w:rsidP="005D29F3">
            <w:pPr>
              <w:rPr>
                <w:rFonts w:cstheme="minorHAnsi"/>
                <w:sz w:val="20"/>
                <w:szCs w:val="20"/>
              </w:rPr>
            </w:pPr>
            <w:r w:rsidRPr="005D29F3">
              <w:rPr>
                <w:rFonts w:cstheme="minorHAnsi"/>
                <w:sz w:val="20"/>
                <w:szCs w:val="20"/>
              </w:rPr>
              <w:t>1 (9%)</w:t>
            </w:r>
          </w:p>
        </w:tc>
        <w:tc>
          <w:tcPr>
            <w:tcW w:w="2420" w:type="dxa"/>
          </w:tcPr>
          <w:p w14:paraId="6F89499F" w14:textId="77777777" w:rsidR="004C12CF" w:rsidRPr="005D29F3" w:rsidRDefault="004C12CF" w:rsidP="005D29F3">
            <w:pPr>
              <w:rPr>
                <w:rFonts w:cstheme="minorHAnsi"/>
                <w:sz w:val="20"/>
                <w:szCs w:val="20"/>
              </w:rPr>
            </w:pPr>
            <w:r w:rsidRPr="005D29F3">
              <w:rPr>
                <w:rFonts w:cstheme="minorHAnsi"/>
                <w:sz w:val="20"/>
                <w:szCs w:val="20"/>
              </w:rPr>
              <w:t>3 (27%)</w:t>
            </w:r>
          </w:p>
        </w:tc>
        <w:tc>
          <w:tcPr>
            <w:tcW w:w="2427" w:type="dxa"/>
          </w:tcPr>
          <w:p w14:paraId="00DA43FD" w14:textId="77777777" w:rsidR="004C12CF" w:rsidRPr="005D29F3" w:rsidRDefault="004C12CF" w:rsidP="005D29F3">
            <w:pPr>
              <w:rPr>
                <w:rFonts w:cstheme="minorHAnsi"/>
                <w:sz w:val="20"/>
                <w:szCs w:val="20"/>
              </w:rPr>
            </w:pPr>
            <w:r w:rsidRPr="005D29F3">
              <w:rPr>
                <w:rFonts w:cstheme="minorHAnsi"/>
                <w:sz w:val="20"/>
                <w:szCs w:val="20"/>
              </w:rPr>
              <w:t>7 (64%)</w:t>
            </w:r>
          </w:p>
        </w:tc>
      </w:tr>
      <w:tr w:rsidR="005D29F3" w:rsidRPr="00CA4ABC" w14:paraId="73E151D9" w14:textId="77777777" w:rsidTr="009E173A">
        <w:trPr>
          <w:trHeight w:val="92"/>
        </w:trPr>
        <w:tc>
          <w:tcPr>
            <w:tcW w:w="2583" w:type="dxa"/>
            <w:vMerge w:val="restart"/>
          </w:tcPr>
          <w:p w14:paraId="4B3AD04B" w14:textId="77777777" w:rsidR="005D29F3" w:rsidRPr="005D29F3" w:rsidRDefault="005D29F3" w:rsidP="005D29F3">
            <w:pPr>
              <w:rPr>
                <w:rFonts w:cstheme="minorHAnsi"/>
                <w:sz w:val="20"/>
                <w:szCs w:val="20"/>
              </w:rPr>
            </w:pPr>
            <w:r w:rsidRPr="005D29F3">
              <w:rPr>
                <w:rFonts w:cstheme="minorHAnsi"/>
                <w:sz w:val="20"/>
                <w:szCs w:val="20"/>
              </w:rPr>
              <w:t>Q15. Overall rating of trial experience</w:t>
            </w:r>
          </w:p>
        </w:tc>
        <w:tc>
          <w:tcPr>
            <w:tcW w:w="2877" w:type="dxa"/>
          </w:tcPr>
          <w:p w14:paraId="2A55AD02" w14:textId="77777777" w:rsidR="005D29F3" w:rsidRPr="005D29F3" w:rsidRDefault="005D29F3" w:rsidP="005D29F3">
            <w:pPr>
              <w:rPr>
                <w:rFonts w:cstheme="minorHAnsi"/>
                <w:b/>
                <w:bCs/>
                <w:sz w:val="20"/>
                <w:szCs w:val="20"/>
              </w:rPr>
            </w:pPr>
            <w:r w:rsidRPr="005D29F3">
              <w:rPr>
                <w:rFonts w:cstheme="minorHAnsi"/>
                <w:b/>
                <w:bCs/>
                <w:sz w:val="20"/>
                <w:szCs w:val="20"/>
              </w:rPr>
              <w:t>Awful</w:t>
            </w:r>
          </w:p>
        </w:tc>
        <w:tc>
          <w:tcPr>
            <w:tcW w:w="2507" w:type="dxa"/>
          </w:tcPr>
          <w:p w14:paraId="33DADE73" w14:textId="77777777" w:rsidR="005D29F3" w:rsidRPr="005D29F3" w:rsidRDefault="005D29F3" w:rsidP="005D29F3">
            <w:pPr>
              <w:rPr>
                <w:rFonts w:cstheme="minorHAnsi"/>
                <w:b/>
                <w:bCs/>
                <w:sz w:val="20"/>
                <w:szCs w:val="20"/>
              </w:rPr>
            </w:pPr>
            <w:r w:rsidRPr="005D29F3">
              <w:rPr>
                <w:rFonts w:cstheme="minorHAnsi"/>
                <w:b/>
                <w:bCs/>
                <w:sz w:val="20"/>
                <w:szCs w:val="20"/>
              </w:rPr>
              <w:t>2</w:t>
            </w:r>
          </w:p>
        </w:tc>
        <w:tc>
          <w:tcPr>
            <w:tcW w:w="2420" w:type="dxa"/>
          </w:tcPr>
          <w:p w14:paraId="6E94A882" w14:textId="77777777" w:rsidR="005D29F3" w:rsidRPr="005D29F3" w:rsidRDefault="005D29F3" w:rsidP="005D29F3">
            <w:pPr>
              <w:rPr>
                <w:rFonts w:cstheme="minorHAnsi"/>
                <w:b/>
                <w:bCs/>
                <w:sz w:val="20"/>
                <w:szCs w:val="20"/>
              </w:rPr>
            </w:pPr>
            <w:r w:rsidRPr="005D29F3">
              <w:rPr>
                <w:rFonts w:cstheme="minorHAnsi"/>
                <w:b/>
                <w:bCs/>
                <w:sz w:val="20"/>
                <w:szCs w:val="20"/>
              </w:rPr>
              <w:t>3</w:t>
            </w:r>
          </w:p>
        </w:tc>
        <w:tc>
          <w:tcPr>
            <w:tcW w:w="2420" w:type="dxa"/>
          </w:tcPr>
          <w:p w14:paraId="58116F0C" w14:textId="77777777" w:rsidR="005D29F3" w:rsidRPr="005D29F3" w:rsidRDefault="005D29F3" w:rsidP="005D29F3">
            <w:pPr>
              <w:rPr>
                <w:rFonts w:cstheme="minorHAnsi"/>
                <w:b/>
                <w:bCs/>
                <w:sz w:val="20"/>
                <w:szCs w:val="20"/>
              </w:rPr>
            </w:pPr>
            <w:r w:rsidRPr="005D29F3">
              <w:rPr>
                <w:rFonts w:cstheme="minorHAnsi"/>
                <w:b/>
                <w:bCs/>
                <w:sz w:val="20"/>
                <w:szCs w:val="20"/>
              </w:rPr>
              <w:t>4</w:t>
            </w:r>
          </w:p>
        </w:tc>
        <w:tc>
          <w:tcPr>
            <w:tcW w:w="2427" w:type="dxa"/>
          </w:tcPr>
          <w:p w14:paraId="2FDE07E3" w14:textId="77777777" w:rsidR="005D29F3" w:rsidRPr="005D29F3" w:rsidRDefault="005D29F3" w:rsidP="005D29F3">
            <w:pPr>
              <w:rPr>
                <w:rFonts w:cstheme="minorHAnsi"/>
                <w:b/>
                <w:bCs/>
                <w:sz w:val="20"/>
                <w:szCs w:val="20"/>
              </w:rPr>
            </w:pPr>
            <w:r w:rsidRPr="005D29F3">
              <w:rPr>
                <w:rFonts w:cstheme="minorHAnsi"/>
                <w:b/>
                <w:bCs/>
                <w:sz w:val="20"/>
                <w:szCs w:val="20"/>
              </w:rPr>
              <w:t>Extremely pleasant</w:t>
            </w:r>
          </w:p>
        </w:tc>
      </w:tr>
      <w:tr w:rsidR="005D29F3" w:rsidRPr="00CA4ABC" w14:paraId="1228B8C8" w14:textId="77777777" w:rsidTr="005D29F3">
        <w:trPr>
          <w:trHeight w:val="64"/>
        </w:trPr>
        <w:tc>
          <w:tcPr>
            <w:tcW w:w="2583" w:type="dxa"/>
            <w:vMerge/>
          </w:tcPr>
          <w:p w14:paraId="260DEF7D" w14:textId="77777777" w:rsidR="005D29F3" w:rsidRPr="005D29F3" w:rsidRDefault="005D29F3" w:rsidP="005D29F3">
            <w:pPr>
              <w:rPr>
                <w:rFonts w:cstheme="minorHAnsi"/>
                <w:sz w:val="20"/>
                <w:szCs w:val="20"/>
              </w:rPr>
            </w:pPr>
          </w:p>
        </w:tc>
        <w:tc>
          <w:tcPr>
            <w:tcW w:w="2877" w:type="dxa"/>
          </w:tcPr>
          <w:p w14:paraId="7FA95969" w14:textId="77777777" w:rsidR="005D29F3" w:rsidRPr="005D29F3" w:rsidRDefault="005D29F3" w:rsidP="005D29F3">
            <w:pPr>
              <w:rPr>
                <w:rFonts w:cstheme="minorHAnsi"/>
                <w:sz w:val="20"/>
                <w:szCs w:val="20"/>
              </w:rPr>
            </w:pPr>
          </w:p>
        </w:tc>
        <w:tc>
          <w:tcPr>
            <w:tcW w:w="2507" w:type="dxa"/>
          </w:tcPr>
          <w:p w14:paraId="1ED80A88" w14:textId="77777777" w:rsidR="005D29F3" w:rsidRPr="005D29F3" w:rsidRDefault="005D29F3" w:rsidP="005D29F3">
            <w:pPr>
              <w:rPr>
                <w:rFonts w:cstheme="minorHAnsi"/>
                <w:sz w:val="20"/>
                <w:szCs w:val="20"/>
              </w:rPr>
            </w:pPr>
          </w:p>
        </w:tc>
        <w:tc>
          <w:tcPr>
            <w:tcW w:w="2420" w:type="dxa"/>
          </w:tcPr>
          <w:p w14:paraId="6118C0C5" w14:textId="77777777" w:rsidR="005D29F3" w:rsidRPr="005D29F3" w:rsidRDefault="005D29F3" w:rsidP="005D29F3">
            <w:pPr>
              <w:rPr>
                <w:rFonts w:cstheme="minorHAnsi"/>
                <w:sz w:val="20"/>
                <w:szCs w:val="20"/>
              </w:rPr>
            </w:pPr>
          </w:p>
        </w:tc>
        <w:tc>
          <w:tcPr>
            <w:tcW w:w="2420" w:type="dxa"/>
          </w:tcPr>
          <w:p w14:paraId="0DA83CB5" w14:textId="77777777" w:rsidR="005D29F3" w:rsidRPr="005D29F3" w:rsidRDefault="005D29F3" w:rsidP="005D29F3">
            <w:pPr>
              <w:rPr>
                <w:rFonts w:cstheme="minorHAnsi"/>
                <w:sz w:val="20"/>
                <w:szCs w:val="20"/>
              </w:rPr>
            </w:pPr>
            <w:r w:rsidRPr="005D29F3">
              <w:rPr>
                <w:rFonts w:cstheme="minorHAnsi"/>
                <w:sz w:val="20"/>
                <w:szCs w:val="20"/>
              </w:rPr>
              <w:t>4 (36%)</w:t>
            </w:r>
          </w:p>
        </w:tc>
        <w:tc>
          <w:tcPr>
            <w:tcW w:w="2427" w:type="dxa"/>
          </w:tcPr>
          <w:p w14:paraId="0A2D97E4" w14:textId="77777777" w:rsidR="005D29F3" w:rsidRPr="005D29F3" w:rsidRDefault="005D29F3" w:rsidP="005D29F3">
            <w:pPr>
              <w:rPr>
                <w:rFonts w:cstheme="minorHAnsi"/>
                <w:sz w:val="20"/>
                <w:szCs w:val="20"/>
              </w:rPr>
            </w:pPr>
            <w:r w:rsidRPr="005D29F3">
              <w:rPr>
                <w:rFonts w:cstheme="minorHAnsi"/>
                <w:sz w:val="20"/>
                <w:szCs w:val="20"/>
              </w:rPr>
              <w:t>6 (55%)</w:t>
            </w:r>
          </w:p>
        </w:tc>
      </w:tr>
    </w:tbl>
    <w:p w14:paraId="3F4597EA" w14:textId="1086E949" w:rsidR="004C12CF" w:rsidRPr="00AE7B4B" w:rsidRDefault="004C12CF" w:rsidP="00357DD3">
      <w:pPr>
        <w:pStyle w:val="Caption"/>
        <w:rPr>
          <w:rFonts w:cstheme="minorHAnsi"/>
          <w:i w:val="0"/>
          <w:iCs w:val="0"/>
          <w:color w:val="000000" w:themeColor="text1"/>
          <w:sz w:val="24"/>
          <w:szCs w:val="24"/>
          <w:shd w:val="clear" w:color="auto" w:fill="FFFFFF"/>
        </w:rPr>
        <w:sectPr w:rsidR="004C12CF" w:rsidRPr="00AE7B4B" w:rsidSect="009E173A">
          <w:pgSz w:w="16840" w:h="11900" w:orient="landscape"/>
          <w:pgMar w:top="1440" w:right="1440" w:bottom="1440" w:left="1440" w:header="708" w:footer="708" w:gutter="0"/>
          <w:cols w:space="708"/>
          <w:docGrid w:linePitch="360"/>
        </w:sectPr>
      </w:pPr>
      <w:bookmarkStart w:id="321" w:name="_Ref122447141"/>
      <w:bookmarkStart w:id="322" w:name="_Toc122956586"/>
      <w:r w:rsidRPr="00AE7B4B">
        <w:rPr>
          <w:rFonts w:cstheme="minorHAnsi"/>
          <w:i w:val="0"/>
          <w:iCs w:val="0"/>
          <w:color w:val="000000" w:themeColor="text1"/>
          <w:sz w:val="24"/>
          <w:szCs w:val="24"/>
        </w:rPr>
        <w:t xml:space="preserve">Table </w:t>
      </w:r>
      <w:r w:rsidRPr="00AE7B4B">
        <w:rPr>
          <w:rFonts w:cstheme="minorHAnsi"/>
          <w:i w:val="0"/>
          <w:iCs w:val="0"/>
          <w:color w:val="000000" w:themeColor="text1"/>
          <w:sz w:val="24"/>
          <w:szCs w:val="24"/>
        </w:rPr>
        <w:fldChar w:fldCharType="begin"/>
      </w:r>
      <w:r w:rsidRPr="00AE7B4B">
        <w:rPr>
          <w:rFonts w:cstheme="minorHAnsi"/>
          <w:i w:val="0"/>
          <w:iCs w:val="0"/>
          <w:color w:val="000000" w:themeColor="text1"/>
          <w:sz w:val="24"/>
          <w:szCs w:val="24"/>
        </w:rPr>
        <w:instrText xml:space="preserve"> SEQ Table \* ARABIC </w:instrText>
      </w:r>
      <w:r w:rsidRPr="00AE7B4B">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23</w:t>
      </w:r>
      <w:r w:rsidRPr="00AE7B4B">
        <w:rPr>
          <w:rFonts w:cstheme="minorHAnsi"/>
          <w:i w:val="0"/>
          <w:iCs w:val="0"/>
          <w:color w:val="000000" w:themeColor="text1"/>
          <w:sz w:val="24"/>
          <w:szCs w:val="24"/>
        </w:rPr>
        <w:fldChar w:fldCharType="end"/>
      </w:r>
      <w:bookmarkEnd w:id="321"/>
      <w:r w:rsidR="00AE7B4B" w:rsidRPr="00AE7B4B">
        <w:rPr>
          <w:rFonts w:cstheme="minorHAnsi"/>
          <w:i w:val="0"/>
          <w:iCs w:val="0"/>
          <w:color w:val="000000" w:themeColor="text1"/>
          <w:sz w:val="24"/>
          <w:szCs w:val="24"/>
        </w:rPr>
        <w:t>. T</w:t>
      </w:r>
      <w:r w:rsidRPr="00AE7B4B">
        <w:rPr>
          <w:rFonts w:cstheme="minorHAnsi"/>
          <w:i w:val="0"/>
          <w:iCs w:val="0"/>
          <w:color w:val="000000" w:themeColor="text1"/>
          <w:sz w:val="24"/>
          <w:szCs w:val="24"/>
        </w:rPr>
        <w:t xml:space="preserve">he number of responses to each question when a </w:t>
      </w:r>
      <w:r w:rsidRPr="00AE7B4B">
        <w:rPr>
          <w:rFonts w:cstheme="minorHAnsi"/>
          <w:i w:val="0"/>
          <w:iCs w:val="0"/>
          <w:color w:val="000000" w:themeColor="text1"/>
          <w:sz w:val="24"/>
          <w:szCs w:val="24"/>
          <w:shd w:val="clear" w:color="auto" w:fill="FFFFFF"/>
        </w:rPr>
        <w:t>Likert scale was used</w:t>
      </w:r>
      <w:r w:rsidR="005F45D1" w:rsidRPr="00AE7B4B">
        <w:rPr>
          <w:rFonts w:cstheme="minorHAnsi"/>
          <w:i w:val="0"/>
          <w:iCs w:val="0"/>
          <w:color w:val="000000" w:themeColor="text1"/>
          <w:sz w:val="24"/>
          <w:szCs w:val="24"/>
          <w:shd w:val="clear" w:color="auto" w:fill="FFFFFF"/>
        </w:rPr>
        <w:t>,</w:t>
      </w:r>
      <w:r w:rsidRPr="00AE7B4B">
        <w:rPr>
          <w:rFonts w:cstheme="minorHAnsi"/>
          <w:i w:val="0"/>
          <w:iCs w:val="0"/>
          <w:color w:val="000000" w:themeColor="text1"/>
          <w:sz w:val="24"/>
          <w:szCs w:val="24"/>
          <w:shd w:val="clear" w:color="auto" w:fill="FFFFFF"/>
        </w:rPr>
        <w:t xml:space="preserve"> where 1 represents the least </w:t>
      </w:r>
      <w:r w:rsidR="00552487" w:rsidRPr="00AE7B4B">
        <w:rPr>
          <w:rFonts w:cstheme="minorHAnsi"/>
          <w:i w:val="0"/>
          <w:iCs w:val="0"/>
          <w:color w:val="000000" w:themeColor="text1"/>
          <w:sz w:val="24"/>
          <w:szCs w:val="24"/>
          <w:shd w:val="clear" w:color="auto" w:fill="FFFFFF"/>
        </w:rPr>
        <w:t>favourable</w:t>
      </w:r>
      <w:r w:rsidRPr="00AE7B4B">
        <w:rPr>
          <w:rFonts w:cstheme="minorHAnsi"/>
          <w:i w:val="0"/>
          <w:iCs w:val="0"/>
          <w:color w:val="000000" w:themeColor="text1"/>
          <w:sz w:val="24"/>
          <w:szCs w:val="24"/>
          <w:shd w:val="clear" w:color="auto" w:fill="FFFFFF"/>
        </w:rPr>
        <w:t xml:space="preserve"> score and 5 represents the most </w:t>
      </w:r>
      <w:r w:rsidR="00552487" w:rsidRPr="00AE7B4B">
        <w:rPr>
          <w:rFonts w:cstheme="minorHAnsi"/>
          <w:i w:val="0"/>
          <w:iCs w:val="0"/>
          <w:color w:val="000000" w:themeColor="text1"/>
          <w:sz w:val="24"/>
          <w:szCs w:val="24"/>
          <w:shd w:val="clear" w:color="auto" w:fill="FFFFFF"/>
        </w:rPr>
        <w:t>favourable</w:t>
      </w:r>
      <w:r w:rsidRPr="00AE7B4B">
        <w:rPr>
          <w:rFonts w:cstheme="minorHAnsi"/>
          <w:i w:val="0"/>
          <w:iCs w:val="0"/>
          <w:color w:val="000000" w:themeColor="text1"/>
          <w:sz w:val="24"/>
          <w:szCs w:val="24"/>
          <w:shd w:val="clear" w:color="auto" w:fill="FFFFFF"/>
        </w:rPr>
        <w:t xml:space="preserve"> score.</w:t>
      </w:r>
      <w:bookmarkEnd w:id="322"/>
      <w:r w:rsidRPr="00AE7B4B">
        <w:rPr>
          <w:rFonts w:cstheme="minorHAnsi"/>
          <w:i w:val="0"/>
          <w:iCs w:val="0"/>
          <w:color w:val="000000" w:themeColor="text1"/>
          <w:sz w:val="24"/>
          <w:szCs w:val="24"/>
          <w:shd w:val="clear" w:color="auto" w:fill="FFFFFF"/>
        </w:rPr>
        <w:t xml:space="preserve"> </w:t>
      </w:r>
    </w:p>
    <w:tbl>
      <w:tblPr>
        <w:tblStyle w:val="TableGrid"/>
        <w:tblpPr w:leftFromText="180" w:rightFromText="180" w:vertAnchor="text" w:horzAnchor="margin" w:tblpXSpec="center" w:tblpY="-389"/>
        <w:tblW w:w="10206" w:type="dxa"/>
        <w:tblLook w:val="04A0" w:firstRow="1" w:lastRow="0" w:firstColumn="1" w:lastColumn="0" w:noHBand="0" w:noVBand="1"/>
      </w:tblPr>
      <w:tblGrid>
        <w:gridCol w:w="3119"/>
        <w:gridCol w:w="2410"/>
        <w:gridCol w:w="1984"/>
        <w:gridCol w:w="2693"/>
      </w:tblGrid>
      <w:tr w:rsidR="00697918" w:rsidRPr="00CA4ABC" w14:paraId="7B2DDA57" w14:textId="77777777" w:rsidTr="00697918">
        <w:trPr>
          <w:trHeight w:val="294"/>
        </w:trPr>
        <w:tc>
          <w:tcPr>
            <w:tcW w:w="3119" w:type="dxa"/>
            <w:vMerge w:val="restart"/>
          </w:tcPr>
          <w:p w14:paraId="327B23B2" w14:textId="77777777" w:rsidR="00697918" w:rsidRPr="00ED0D42" w:rsidRDefault="00697918" w:rsidP="00697918">
            <w:pPr>
              <w:jc w:val="center"/>
              <w:rPr>
                <w:b/>
                <w:bCs/>
                <w:sz w:val="20"/>
                <w:szCs w:val="20"/>
              </w:rPr>
            </w:pPr>
            <w:r w:rsidRPr="00ED0D42">
              <w:rPr>
                <w:b/>
                <w:bCs/>
                <w:sz w:val="20"/>
                <w:szCs w:val="20"/>
              </w:rPr>
              <w:lastRenderedPageBreak/>
              <w:t>Question</w:t>
            </w:r>
          </w:p>
        </w:tc>
        <w:tc>
          <w:tcPr>
            <w:tcW w:w="7087" w:type="dxa"/>
            <w:gridSpan w:val="3"/>
          </w:tcPr>
          <w:p w14:paraId="391524B4" w14:textId="77777777" w:rsidR="00697918" w:rsidRPr="00ED0D42" w:rsidRDefault="00697918" w:rsidP="00697918">
            <w:pPr>
              <w:jc w:val="center"/>
              <w:rPr>
                <w:b/>
                <w:bCs/>
                <w:sz w:val="20"/>
                <w:szCs w:val="20"/>
              </w:rPr>
            </w:pPr>
            <w:r w:rsidRPr="00ED0D42">
              <w:rPr>
                <w:b/>
                <w:bCs/>
                <w:sz w:val="20"/>
                <w:szCs w:val="20"/>
              </w:rPr>
              <w:t>Number of responses provided by participants to each question (%)</w:t>
            </w:r>
          </w:p>
        </w:tc>
      </w:tr>
      <w:tr w:rsidR="00697918" w:rsidRPr="00CA4ABC" w14:paraId="23A80720" w14:textId="77777777" w:rsidTr="00697918">
        <w:trPr>
          <w:trHeight w:val="100"/>
        </w:trPr>
        <w:tc>
          <w:tcPr>
            <w:tcW w:w="3119" w:type="dxa"/>
            <w:vMerge/>
          </w:tcPr>
          <w:p w14:paraId="291E2A5A" w14:textId="77777777" w:rsidR="00697918" w:rsidRPr="00ED0D42" w:rsidRDefault="00697918" w:rsidP="00697918">
            <w:pPr>
              <w:jc w:val="center"/>
              <w:rPr>
                <w:b/>
                <w:bCs/>
                <w:sz w:val="20"/>
                <w:szCs w:val="20"/>
              </w:rPr>
            </w:pPr>
          </w:p>
        </w:tc>
        <w:tc>
          <w:tcPr>
            <w:tcW w:w="2410" w:type="dxa"/>
          </w:tcPr>
          <w:p w14:paraId="054B8428" w14:textId="77777777" w:rsidR="00697918" w:rsidRPr="00ED0D42" w:rsidRDefault="00697918" w:rsidP="00697918">
            <w:pPr>
              <w:jc w:val="center"/>
              <w:rPr>
                <w:b/>
                <w:bCs/>
                <w:sz w:val="20"/>
                <w:szCs w:val="20"/>
              </w:rPr>
            </w:pPr>
            <w:r w:rsidRPr="00ED0D42">
              <w:rPr>
                <w:b/>
                <w:bCs/>
                <w:sz w:val="20"/>
                <w:szCs w:val="20"/>
              </w:rPr>
              <w:t>Yes</w:t>
            </w:r>
          </w:p>
        </w:tc>
        <w:tc>
          <w:tcPr>
            <w:tcW w:w="1984" w:type="dxa"/>
          </w:tcPr>
          <w:p w14:paraId="3D19B49E" w14:textId="77777777" w:rsidR="00697918" w:rsidRPr="00ED0D42" w:rsidRDefault="00697918" w:rsidP="00697918">
            <w:pPr>
              <w:jc w:val="center"/>
              <w:rPr>
                <w:b/>
                <w:bCs/>
                <w:sz w:val="20"/>
                <w:szCs w:val="20"/>
              </w:rPr>
            </w:pPr>
            <w:r w:rsidRPr="00ED0D42">
              <w:rPr>
                <w:b/>
                <w:bCs/>
                <w:sz w:val="20"/>
                <w:szCs w:val="20"/>
              </w:rPr>
              <w:t>No</w:t>
            </w:r>
          </w:p>
        </w:tc>
        <w:tc>
          <w:tcPr>
            <w:tcW w:w="2693" w:type="dxa"/>
          </w:tcPr>
          <w:p w14:paraId="1E32F32F" w14:textId="77777777" w:rsidR="00697918" w:rsidRPr="00ED0D42" w:rsidRDefault="00697918" w:rsidP="00697918">
            <w:pPr>
              <w:jc w:val="center"/>
              <w:rPr>
                <w:b/>
                <w:bCs/>
                <w:sz w:val="20"/>
                <w:szCs w:val="20"/>
              </w:rPr>
            </w:pPr>
            <w:r w:rsidRPr="00ED0D42">
              <w:rPr>
                <w:b/>
                <w:bCs/>
                <w:sz w:val="20"/>
                <w:szCs w:val="20"/>
              </w:rPr>
              <w:t>Other</w:t>
            </w:r>
          </w:p>
        </w:tc>
      </w:tr>
      <w:tr w:rsidR="00697918" w:rsidRPr="00CA4ABC" w14:paraId="51D3B149" w14:textId="77777777" w:rsidTr="00697918">
        <w:trPr>
          <w:trHeight w:val="151"/>
        </w:trPr>
        <w:tc>
          <w:tcPr>
            <w:tcW w:w="10206" w:type="dxa"/>
            <w:gridSpan w:val="4"/>
          </w:tcPr>
          <w:p w14:paraId="0026212F" w14:textId="77777777" w:rsidR="00697918" w:rsidRPr="00ED0D42" w:rsidRDefault="00697918" w:rsidP="00697918">
            <w:pPr>
              <w:jc w:val="center"/>
              <w:rPr>
                <w:b/>
                <w:bCs/>
                <w:sz w:val="20"/>
                <w:szCs w:val="20"/>
              </w:rPr>
            </w:pPr>
            <w:r w:rsidRPr="00ED0D42">
              <w:rPr>
                <w:b/>
                <w:bCs/>
                <w:sz w:val="20"/>
                <w:szCs w:val="20"/>
              </w:rPr>
              <w:t>Exercise questionnaire</w:t>
            </w:r>
          </w:p>
        </w:tc>
      </w:tr>
      <w:tr w:rsidR="00697918" w:rsidRPr="00CA4ABC" w14:paraId="1D747B4A" w14:textId="77777777" w:rsidTr="00697918">
        <w:trPr>
          <w:trHeight w:val="358"/>
        </w:trPr>
        <w:tc>
          <w:tcPr>
            <w:tcW w:w="3119" w:type="dxa"/>
          </w:tcPr>
          <w:p w14:paraId="4145139D" w14:textId="77777777" w:rsidR="00697918" w:rsidRPr="00ED0D42" w:rsidRDefault="00697918" w:rsidP="00697918">
            <w:pPr>
              <w:rPr>
                <w:sz w:val="20"/>
                <w:szCs w:val="20"/>
              </w:rPr>
            </w:pPr>
            <w:r w:rsidRPr="00ED0D42">
              <w:rPr>
                <w:sz w:val="20"/>
                <w:szCs w:val="20"/>
              </w:rPr>
              <w:t>Q6. Did you change your band colour?</w:t>
            </w:r>
          </w:p>
        </w:tc>
        <w:tc>
          <w:tcPr>
            <w:tcW w:w="2410" w:type="dxa"/>
          </w:tcPr>
          <w:p w14:paraId="120E4AF3" w14:textId="77777777" w:rsidR="00697918" w:rsidRPr="00ED0D42" w:rsidRDefault="00697918" w:rsidP="00697918">
            <w:pPr>
              <w:rPr>
                <w:sz w:val="20"/>
                <w:szCs w:val="20"/>
              </w:rPr>
            </w:pPr>
            <w:r w:rsidRPr="00ED0D42">
              <w:rPr>
                <w:sz w:val="20"/>
                <w:szCs w:val="20"/>
              </w:rPr>
              <w:t>11 (100)</w:t>
            </w:r>
          </w:p>
        </w:tc>
        <w:tc>
          <w:tcPr>
            <w:tcW w:w="1984" w:type="dxa"/>
          </w:tcPr>
          <w:p w14:paraId="495E08BF" w14:textId="77777777" w:rsidR="00697918" w:rsidRPr="00ED0D42" w:rsidRDefault="00697918" w:rsidP="00697918">
            <w:pPr>
              <w:rPr>
                <w:sz w:val="20"/>
                <w:szCs w:val="20"/>
              </w:rPr>
            </w:pPr>
          </w:p>
        </w:tc>
        <w:tc>
          <w:tcPr>
            <w:tcW w:w="2693" w:type="dxa"/>
          </w:tcPr>
          <w:p w14:paraId="37825144" w14:textId="77777777" w:rsidR="00697918" w:rsidRPr="00ED0D42" w:rsidRDefault="00697918" w:rsidP="00697918">
            <w:pPr>
              <w:rPr>
                <w:sz w:val="20"/>
                <w:szCs w:val="20"/>
              </w:rPr>
            </w:pPr>
          </w:p>
        </w:tc>
      </w:tr>
      <w:tr w:rsidR="00697918" w:rsidRPr="00CA4ABC" w14:paraId="596BC602" w14:textId="77777777" w:rsidTr="00697918">
        <w:trPr>
          <w:trHeight w:val="355"/>
        </w:trPr>
        <w:tc>
          <w:tcPr>
            <w:tcW w:w="3119" w:type="dxa"/>
          </w:tcPr>
          <w:p w14:paraId="18AA9AB4" w14:textId="77777777" w:rsidR="00697918" w:rsidRPr="00ED0D42" w:rsidRDefault="00697918" w:rsidP="00697918">
            <w:pPr>
              <w:rPr>
                <w:sz w:val="20"/>
                <w:szCs w:val="20"/>
              </w:rPr>
            </w:pPr>
            <w:r w:rsidRPr="00ED0D42">
              <w:rPr>
                <w:sz w:val="20"/>
                <w:szCs w:val="20"/>
              </w:rPr>
              <w:t>Q11. Recommendation of exercise to a friend?</w:t>
            </w:r>
          </w:p>
        </w:tc>
        <w:tc>
          <w:tcPr>
            <w:tcW w:w="2410" w:type="dxa"/>
          </w:tcPr>
          <w:p w14:paraId="63FDB68B" w14:textId="77777777" w:rsidR="00697918" w:rsidRPr="00ED0D42" w:rsidRDefault="00697918" w:rsidP="00697918">
            <w:pPr>
              <w:rPr>
                <w:sz w:val="20"/>
                <w:szCs w:val="20"/>
              </w:rPr>
            </w:pPr>
            <w:r w:rsidRPr="00ED0D42">
              <w:rPr>
                <w:sz w:val="20"/>
                <w:szCs w:val="20"/>
              </w:rPr>
              <w:t>11 (100)</w:t>
            </w:r>
          </w:p>
        </w:tc>
        <w:tc>
          <w:tcPr>
            <w:tcW w:w="1984" w:type="dxa"/>
          </w:tcPr>
          <w:p w14:paraId="1750D375" w14:textId="77777777" w:rsidR="00697918" w:rsidRPr="00ED0D42" w:rsidRDefault="00697918" w:rsidP="00697918">
            <w:pPr>
              <w:rPr>
                <w:sz w:val="20"/>
                <w:szCs w:val="20"/>
              </w:rPr>
            </w:pPr>
          </w:p>
        </w:tc>
        <w:tc>
          <w:tcPr>
            <w:tcW w:w="2693" w:type="dxa"/>
          </w:tcPr>
          <w:p w14:paraId="12CCE4A2" w14:textId="77777777" w:rsidR="00697918" w:rsidRPr="00ED0D42" w:rsidRDefault="00697918" w:rsidP="00697918">
            <w:pPr>
              <w:rPr>
                <w:sz w:val="20"/>
                <w:szCs w:val="20"/>
              </w:rPr>
            </w:pPr>
          </w:p>
        </w:tc>
      </w:tr>
      <w:tr w:rsidR="00697918" w:rsidRPr="00CA4ABC" w14:paraId="7E70A627" w14:textId="77777777" w:rsidTr="00697918">
        <w:trPr>
          <w:trHeight w:val="287"/>
        </w:trPr>
        <w:tc>
          <w:tcPr>
            <w:tcW w:w="3119" w:type="dxa"/>
          </w:tcPr>
          <w:p w14:paraId="16982C8C" w14:textId="77777777" w:rsidR="00697918" w:rsidRPr="00ED0D42" w:rsidRDefault="00697918" w:rsidP="00697918">
            <w:pPr>
              <w:rPr>
                <w:sz w:val="20"/>
                <w:szCs w:val="20"/>
              </w:rPr>
            </w:pPr>
            <w:r w:rsidRPr="00ED0D42">
              <w:rPr>
                <w:sz w:val="20"/>
                <w:szCs w:val="20"/>
              </w:rPr>
              <w:t>Q12. Continuation of resistance exercise</w:t>
            </w:r>
          </w:p>
        </w:tc>
        <w:tc>
          <w:tcPr>
            <w:tcW w:w="2410" w:type="dxa"/>
          </w:tcPr>
          <w:p w14:paraId="66F1A6F6" w14:textId="77777777" w:rsidR="00697918" w:rsidRPr="00ED0D42" w:rsidRDefault="00697918" w:rsidP="00697918">
            <w:pPr>
              <w:rPr>
                <w:sz w:val="20"/>
                <w:szCs w:val="20"/>
              </w:rPr>
            </w:pPr>
            <w:r w:rsidRPr="00ED0D42">
              <w:rPr>
                <w:sz w:val="20"/>
                <w:szCs w:val="20"/>
              </w:rPr>
              <w:t>10 (91)</w:t>
            </w:r>
          </w:p>
        </w:tc>
        <w:tc>
          <w:tcPr>
            <w:tcW w:w="1984" w:type="dxa"/>
          </w:tcPr>
          <w:p w14:paraId="5F9F1CBB" w14:textId="77777777" w:rsidR="00697918" w:rsidRPr="00ED0D42" w:rsidRDefault="00697918" w:rsidP="00697918">
            <w:pPr>
              <w:rPr>
                <w:sz w:val="20"/>
                <w:szCs w:val="20"/>
              </w:rPr>
            </w:pPr>
          </w:p>
        </w:tc>
        <w:tc>
          <w:tcPr>
            <w:tcW w:w="2693" w:type="dxa"/>
          </w:tcPr>
          <w:p w14:paraId="761E2B50" w14:textId="77777777" w:rsidR="00697918" w:rsidRPr="00ED0D42" w:rsidRDefault="00697918" w:rsidP="00697918">
            <w:pPr>
              <w:rPr>
                <w:sz w:val="20"/>
                <w:szCs w:val="20"/>
              </w:rPr>
            </w:pPr>
            <w:r w:rsidRPr="00ED0D42">
              <w:rPr>
                <w:sz w:val="20"/>
                <w:szCs w:val="20"/>
              </w:rPr>
              <w:t>Would attend some sessions, but not regularly; n=1 (9)</w:t>
            </w:r>
          </w:p>
        </w:tc>
      </w:tr>
      <w:tr w:rsidR="00697918" w:rsidRPr="00CA4ABC" w14:paraId="773E372D" w14:textId="77777777" w:rsidTr="00697918">
        <w:trPr>
          <w:trHeight w:val="329"/>
        </w:trPr>
        <w:tc>
          <w:tcPr>
            <w:tcW w:w="3119" w:type="dxa"/>
          </w:tcPr>
          <w:p w14:paraId="42A31D61" w14:textId="77777777" w:rsidR="00697918" w:rsidRPr="00ED0D42" w:rsidRDefault="00697918" w:rsidP="00697918">
            <w:pPr>
              <w:rPr>
                <w:sz w:val="20"/>
                <w:szCs w:val="20"/>
              </w:rPr>
            </w:pPr>
            <w:r w:rsidRPr="00ED0D42">
              <w:rPr>
                <w:sz w:val="20"/>
                <w:szCs w:val="20"/>
              </w:rPr>
              <w:t>Q13. Feelings of increased strength?</w:t>
            </w:r>
          </w:p>
        </w:tc>
        <w:tc>
          <w:tcPr>
            <w:tcW w:w="2410" w:type="dxa"/>
          </w:tcPr>
          <w:p w14:paraId="06AAEBC8" w14:textId="40DC48D7" w:rsidR="00697918" w:rsidRPr="00ED0D42" w:rsidRDefault="00697918" w:rsidP="00697918">
            <w:pPr>
              <w:rPr>
                <w:sz w:val="20"/>
                <w:szCs w:val="20"/>
              </w:rPr>
            </w:pPr>
            <w:r w:rsidRPr="00ED0D42">
              <w:rPr>
                <w:sz w:val="20"/>
                <w:szCs w:val="20"/>
              </w:rPr>
              <w:t>7 (64)</w:t>
            </w:r>
          </w:p>
        </w:tc>
        <w:tc>
          <w:tcPr>
            <w:tcW w:w="1984" w:type="dxa"/>
          </w:tcPr>
          <w:p w14:paraId="66240D74" w14:textId="77777777" w:rsidR="00697918" w:rsidRPr="00ED0D42" w:rsidRDefault="00697918" w:rsidP="00697918">
            <w:pPr>
              <w:rPr>
                <w:sz w:val="20"/>
                <w:szCs w:val="20"/>
              </w:rPr>
            </w:pPr>
            <w:r w:rsidRPr="00ED0D42">
              <w:rPr>
                <w:sz w:val="20"/>
                <w:szCs w:val="20"/>
              </w:rPr>
              <w:t>1 (9)</w:t>
            </w:r>
          </w:p>
        </w:tc>
        <w:tc>
          <w:tcPr>
            <w:tcW w:w="2693" w:type="dxa"/>
          </w:tcPr>
          <w:p w14:paraId="10250504" w14:textId="77777777" w:rsidR="00697918" w:rsidRPr="00ED0D42" w:rsidRDefault="00697918" w:rsidP="00697918">
            <w:pPr>
              <w:rPr>
                <w:sz w:val="20"/>
                <w:szCs w:val="20"/>
              </w:rPr>
            </w:pPr>
            <w:r w:rsidRPr="00ED0D42">
              <w:rPr>
                <w:sz w:val="20"/>
                <w:szCs w:val="20"/>
              </w:rPr>
              <w:t>Unsure; n=2 (9)</w:t>
            </w:r>
          </w:p>
        </w:tc>
      </w:tr>
      <w:tr w:rsidR="00697918" w:rsidRPr="00CA4ABC" w14:paraId="76F627F7" w14:textId="77777777" w:rsidTr="00697918">
        <w:trPr>
          <w:trHeight w:val="127"/>
        </w:trPr>
        <w:tc>
          <w:tcPr>
            <w:tcW w:w="10206" w:type="dxa"/>
            <w:gridSpan w:val="4"/>
          </w:tcPr>
          <w:p w14:paraId="28D7B98D" w14:textId="77777777" w:rsidR="00697918" w:rsidRPr="00ED0D42" w:rsidRDefault="00697918" w:rsidP="00697918">
            <w:pPr>
              <w:jc w:val="center"/>
              <w:rPr>
                <w:b/>
                <w:bCs/>
                <w:sz w:val="20"/>
                <w:szCs w:val="20"/>
              </w:rPr>
            </w:pPr>
            <w:r w:rsidRPr="00ED0D42">
              <w:rPr>
                <w:b/>
                <w:bCs/>
                <w:sz w:val="20"/>
                <w:szCs w:val="20"/>
              </w:rPr>
              <w:t>Nutrition Questionnaire</w:t>
            </w:r>
          </w:p>
        </w:tc>
      </w:tr>
      <w:tr w:rsidR="00697918" w:rsidRPr="00CA4ABC" w14:paraId="00E69A68" w14:textId="77777777" w:rsidTr="00697918">
        <w:trPr>
          <w:trHeight w:val="490"/>
        </w:trPr>
        <w:tc>
          <w:tcPr>
            <w:tcW w:w="3119" w:type="dxa"/>
          </w:tcPr>
          <w:p w14:paraId="5C683573" w14:textId="77777777" w:rsidR="00697918" w:rsidRPr="00ED0D42" w:rsidRDefault="00697918" w:rsidP="00697918">
            <w:pPr>
              <w:rPr>
                <w:sz w:val="20"/>
                <w:szCs w:val="20"/>
              </w:rPr>
            </w:pPr>
            <w:r w:rsidRPr="00ED0D42">
              <w:rPr>
                <w:sz w:val="20"/>
                <w:szCs w:val="20"/>
              </w:rPr>
              <w:t>Continuation of supplement out of choice</w:t>
            </w:r>
          </w:p>
        </w:tc>
        <w:tc>
          <w:tcPr>
            <w:tcW w:w="2410" w:type="dxa"/>
          </w:tcPr>
          <w:p w14:paraId="24D76D66" w14:textId="77777777" w:rsidR="00697918" w:rsidRPr="00ED0D42" w:rsidRDefault="00697918" w:rsidP="00697918">
            <w:pPr>
              <w:rPr>
                <w:sz w:val="20"/>
                <w:szCs w:val="20"/>
              </w:rPr>
            </w:pPr>
            <w:r w:rsidRPr="00ED0D42">
              <w:rPr>
                <w:sz w:val="20"/>
                <w:szCs w:val="20"/>
              </w:rPr>
              <w:t>1 (14)</w:t>
            </w:r>
          </w:p>
        </w:tc>
        <w:tc>
          <w:tcPr>
            <w:tcW w:w="1984" w:type="dxa"/>
          </w:tcPr>
          <w:p w14:paraId="778C95C1" w14:textId="77777777" w:rsidR="00697918" w:rsidRPr="00ED0D42" w:rsidRDefault="00697918" w:rsidP="00697918">
            <w:pPr>
              <w:rPr>
                <w:sz w:val="20"/>
                <w:szCs w:val="20"/>
              </w:rPr>
            </w:pPr>
            <w:r w:rsidRPr="00ED0D42">
              <w:rPr>
                <w:sz w:val="20"/>
                <w:szCs w:val="20"/>
              </w:rPr>
              <w:t>4 (57)</w:t>
            </w:r>
          </w:p>
        </w:tc>
        <w:tc>
          <w:tcPr>
            <w:tcW w:w="2693" w:type="dxa"/>
          </w:tcPr>
          <w:p w14:paraId="6759F3B0" w14:textId="77777777" w:rsidR="00697918" w:rsidRPr="00ED0D42" w:rsidRDefault="00697918" w:rsidP="00697918">
            <w:pPr>
              <w:rPr>
                <w:sz w:val="20"/>
                <w:szCs w:val="20"/>
              </w:rPr>
            </w:pPr>
            <w:r w:rsidRPr="00ED0D42">
              <w:rPr>
                <w:sz w:val="20"/>
                <w:szCs w:val="20"/>
              </w:rPr>
              <w:t>Maybe n=2 (29)</w:t>
            </w:r>
          </w:p>
        </w:tc>
      </w:tr>
      <w:tr w:rsidR="00697918" w:rsidRPr="00CA4ABC" w14:paraId="5F6B3CF4" w14:textId="77777777" w:rsidTr="00697918">
        <w:trPr>
          <w:trHeight w:val="64"/>
        </w:trPr>
        <w:tc>
          <w:tcPr>
            <w:tcW w:w="3119" w:type="dxa"/>
          </w:tcPr>
          <w:p w14:paraId="29BE37BD" w14:textId="77777777" w:rsidR="00697918" w:rsidRPr="00ED0D42" w:rsidRDefault="00697918" w:rsidP="00697918">
            <w:pPr>
              <w:rPr>
                <w:sz w:val="20"/>
                <w:szCs w:val="20"/>
              </w:rPr>
            </w:pPr>
            <w:r w:rsidRPr="00ED0D42">
              <w:rPr>
                <w:sz w:val="20"/>
                <w:szCs w:val="20"/>
              </w:rPr>
              <w:t>Continuation of supplement if prescribed</w:t>
            </w:r>
          </w:p>
        </w:tc>
        <w:tc>
          <w:tcPr>
            <w:tcW w:w="2410" w:type="dxa"/>
          </w:tcPr>
          <w:p w14:paraId="016D0ABB" w14:textId="77777777" w:rsidR="00697918" w:rsidRPr="00ED0D42" w:rsidRDefault="00697918" w:rsidP="00697918">
            <w:pPr>
              <w:rPr>
                <w:sz w:val="20"/>
                <w:szCs w:val="20"/>
              </w:rPr>
            </w:pPr>
            <w:r w:rsidRPr="00ED0D42">
              <w:rPr>
                <w:sz w:val="20"/>
                <w:szCs w:val="20"/>
              </w:rPr>
              <w:t>5 (71)</w:t>
            </w:r>
          </w:p>
        </w:tc>
        <w:tc>
          <w:tcPr>
            <w:tcW w:w="1984" w:type="dxa"/>
          </w:tcPr>
          <w:p w14:paraId="4F416855" w14:textId="77777777" w:rsidR="00697918" w:rsidRPr="00ED0D42" w:rsidRDefault="00697918" w:rsidP="00697918">
            <w:pPr>
              <w:rPr>
                <w:sz w:val="20"/>
                <w:szCs w:val="20"/>
              </w:rPr>
            </w:pPr>
            <w:r w:rsidRPr="00ED0D42">
              <w:rPr>
                <w:sz w:val="20"/>
                <w:szCs w:val="20"/>
              </w:rPr>
              <w:t>1 (14)</w:t>
            </w:r>
          </w:p>
        </w:tc>
        <w:tc>
          <w:tcPr>
            <w:tcW w:w="2693" w:type="dxa"/>
          </w:tcPr>
          <w:p w14:paraId="1B4C7683" w14:textId="77777777" w:rsidR="00697918" w:rsidRPr="00ED0D42" w:rsidRDefault="00697918" w:rsidP="00697918">
            <w:pPr>
              <w:rPr>
                <w:sz w:val="20"/>
                <w:szCs w:val="20"/>
              </w:rPr>
            </w:pPr>
            <w:r w:rsidRPr="00ED0D42">
              <w:rPr>
                <w:sz w:val="20"/>
                <w:szCs w:val="20"/>
              </w:rPr>
              <w:t>1 (14)</w:t>
            </w:r>
          </w:p>
        </w:tc>
      </w:tr>
    </w:tbl>
    <w:p w14:paraId="0160ACF8" w14:textId="27EE8510" w:rsidR="004C12CF" w:rsidRPr="00323872" w:rsidRDefault="004C12CF" w:rsidP="00357DD3">
      <w:pPr>
        <w:pStyle w:val="Caption"/>
        <w:rPr>
          <w:rFonts w:cstheme="minorHAnsi"/>
          <w:i w:val="0"/>
          <w:iCs w:val="0"/>
          <w:color w:val="000000" w:themeColor="text1"/>
          <w:sz w:val="24"/>
          <w:szCs w:val="24"/>
        </w:rPr>
      </w:pPr>
      <w:bookmarkStart w:id="323" w:name="_Ref122447143"/>
      <w:bookmarkStart w:id="324" w:name="_Toc122956587"/>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24</w:t>
      </w:r>
      <w:r w:rsidRPr="00323872">
        <w:rPr>
          <w:rFonts w:cstheme="minorHAnsi"/>
          <w:i w:val="0"/>
          <w:iCs w:val="0"/>
          <w:color w:val="000000" w:themeColor="text1"/>
          <w:sz w:val="24"/>
          <w:szCs w:val="24"/>
        </w:rPr>
        <w:fldChar w:fldCharType="end"/>
      </w:r>
      <w:bookmarkEnd w:id="323"/>
      <w:r w:rsidR="00323872" w:rsidRPr="00323872">
        <w:rPr>
          <w:rFonts w:cstheme="minorHAnsi"/>
          <w:i w:val="0"/>
          <w:iCs w:val="0"/>
          <w:color w:val="000000" w:themeColor="text1"/>
          <w:sz w:val="24"/>
          <w:szCs w:val="24"/>
        </w:rPr>
        <w:t xml:space="preserve">. </w:t>
      </w:r>
      <w:r w:rsidRPr="00323872">
        <w:rPr>
          <w:rFonts w:cstheme="minorHAnsi"/>
          <w:i w:val="0"/>
          <w:iCs w:val="0"/>
          <w:color w:val="000000" w:themeColor="text1"/>
          <w:sz w:val="24"/>
          <w:szCs w:val="24"/>
        </w:rPr>
        <w:t>Responses to questions on the outcomes questionnaire which required a “yes”, “no” or another response.</w:t>
      </w:r>
      <w:bookmarkEnd w:id="324"/>
    </w:p>
    <w:p w14:paraId="74D85525" w14:textId="77777777" w:rsidR="004C12CF" w:rsidRPr="00CA4ABC" w:rsidRDefault="004C12CF" w:rsidP="004053D7">
      <w:pPr>
        <w:pStyle w:val="MDPI52figure"/>
        <w:spacing w:line="360" w:lineRule="auto"/>
        <w:jc w:val="left"/>
        <w:rPr>
          <w:rFonts w:asciiTheme="minorHAnsi" w:hAnsiTheme="minorHAnsi" w:cstheme="minorHAnsi"/>
          <w:color w:val="000000" w:themeColor="text1"/>
          <w:sz w:val="24"/>
          <w:szCs w:val="24"/>
          <w:lang w:val="en-GB"/>
        </w:rPr>
        <w:sectPr w:rsidR="004C12CF" w:rsidRPr="00CA4ABC" w:rsidSect="009E173A">
          <w:pgSz w:w="11900" w:h="16840"/>
          <w:pgMar w:top="1440" w:right="1440" w:bottom="1440" w:left="1440" w:header="708" w:footer="708" w:gutter="0"/>
          <w:cols w:space="708"/>
          <w:docGrid w:linePitch="360"/>
        </w:sectPr>
      </w:pPr>
    </w:p>
    <w:p w14:paraId="2A476F58" w14:textId="77777777" w:rsidR="004C12CF" w:rsidRPr="00CA4ABC" w:rsidRDefault="004C12CF" w:rsidP="004053D7">
      <w:pPr>
        <w:pStyle w:val="MDPI52figure"/>
        <w:spacing w:line="360" w:lineRule="auto"/>
        <w:jc w:val="left"/>
        <w:rPr>
          <w:rFonts w:asciiTheme="minorHAnsi" w:hAnsiTheme="minorHAnsi" w:cstheme="minorHAnsi"/>
          <w:color w:val="000000" w:themeColor="text1"/>
          <w:sz w:val="24"/>
          <w:szCs w:val="24"/>
          <w:lang w:val="en-GB"/>
        </w:rPr>
      </w:pPr>
    </w:p>
    <w:tbl>
      <w:tblPr>
        <w:tblStyle w:val="TableGrid"/>
        <w:tblpPr w:leftFromText="180" w:rightFromText="180" w:vertAnchor="text" w:horzAnchor="margin" w:tblpXSpec="center" w:tblpY="1"/>
        <w:tblW w:w="15234" w:type="dxa"/>
        <w:tblLook w:val="04A0" w:firstRow="1" w:lastRow="0" w:firstColumn="1" w:lastColumn="0" w:noHBand="0" w:noVBand="1"/>
      </w:tblPr>
      <w:tblGrid>
        <w:gridCol w:w="2583"/>
        <w:gridCol w:w="2877"/>
        <w:gridCol w:w="2507"/>
        <w:gridCol w:w="2420"/>
        <w:gridCol w:w="2420"/>
        <w:gridCol w:w="2427"/>
      </w:tblGrid>
      <w:tr w:rsidR="004053D7" w:rsidRPr="00CA4ABC" w14:paraId="79CFA72C" w14:textId="77777777" w:rsidTr="009E173A">
        <w:trPr>
          <w:trHeight w:val="626"/>
        </w:trPr>
        <w:tc>
          <w:tcPr>
            <w:tcW w:w="2583" w:type="dxa"/>
          </w:tcPr>
          <w:p w14:paraId="11874E93" w14:textId="77777777" w:rsidR="004C12CF" w:rsidRPr="00697918" w:rsidRDefault="004C12CF" w:rsidP="00697918">
            <w:pPr>
              <w:jc w:val="center"/>
              <w:rPr>
                <w:b/>
                <w:bCs/>
                <w:sz w:val="20"/>
                <w:szCs w:val="20"/>
              </w:rPr>
            </w:pPr>
            <w:r w:rsidRPr="00697918">
              <w:rPr>
                <w:b/>
                <w:bCs/>
                <w:sz w:val="20"/>
                <w:szCs w:val="20"/>
              </w:rPr>
              <w:t>Outcome element:</w:t>
            </w:r>
          </w:p>
        </w:tc>
        <w:tc>
          <w:tcPr>
            <w:tcW w:w="12651" w:type="dxa"/>
            <w:gridSpan w:val="5"/>
          </w:tcPr>
          <w:p w14:paraId="0EDE1B72" w14:textId="77777777" w:rsidR="004C12CF" w:rsidRPr="00697918" w:rsidRDefault="004C12CF" w:rsidP="00697918">
            <w:pPr>
              <w:jc w:val="center"/>
              <w:rPr>
                <w:b/>
                <w:bCs/>
                <w:sz w:val="20"/>
                <w:szCs w:val="20"/>
              </w:rPr>
            </w:pPr>
            <w:r w:rsidRPr="00697918">
              <w:rPr>
                <w:b/>
                <w:bCs/>
                <w:sz w:val="20"/>
                <w:szCs w:val="20"/>
                <w:shd w:val="clear" w:color="auto" w:fill="FFFFFF"/>
              </w:rPr>
              <w:t>Number of participants who reported each score on a Likert scale (%).</w:t>
            </w:r>
          </w:p>
        </w:tc>
      </w:tr>
      <w:tr w:rsidR="004053D7" w:rsidRPr="00CA4ABC" w14:paraId="3F21514F" w14:textId="77777777" w:rsidTr="009E173A">
        <w:trPr>
          <w:trHeight w:val="267"/>
        </w:trPr>
        <w:tc>
          <w:tcPr>
            <w:tcW w:w="2583" w:type="dxa"/>
            <w:vMerge w:val="restart"/>
          </w:tcPr>
          <w:p w14:paraId="2E4D3D1E" w14:textId="77777777" w:rsidR="004C12CF" w:rsidRPr="00697918" w:rsidRDefault="004C12CF" w:rsidP="00697918">
            <w:pPr>
              <w:rPr>
                <w:sz w:val="20"/>
                <w:szCs w:val="20"/>
              </w:rPr>
            </w:pPr>
            <w:r w:rsidRPr="00697918">
              <w:rPr>
                <w:sz w:val="20"/>
                <w:szCs w:val="20"/>
              </w:rPr>
              <w:t>Palatability ratings</w:t>
            </w:r>
          </w:p>
        </w:tc>
        <w:tc>
          <w:tcPr>
            <w:tcW w:w="2877" w:type="dxa"/>
          </w:tcPr>
          <w:p w14:paraId="642E84BC" w14:textId="77777777" w:rsidR="004C12CF" w:rsidRPr="00697918" w:rsidRDefault="004C12CF" w:rsidP="00697918">
            <w:pPr>
              <w:rPr>
                <w:b/>
                <w:bCs/>
                <w:sz w:val="20"/>
                <w:szCs w:val="20"/>
              </w:rPr>
            </w:pPr>
            <w:r w:rsidRPr="00697918">
              <w:rPr>
                <w:b/>
                <w:bCs/>
                <w:sz w:val="20"/>
                <w:szCs w:val="20"/>
              </w:rPr>
              <w:t>Extremely unpalatable</w:t>
            </w:r>
          </w:p>
        </w:tc>
        <w:tc>
          <w:tcPr>
            <w:tcW w:w="2507" w:type="dxa"/>
          </w:tcPr>
          <w:p w14:paraId="67A6FC28" w14:textId="77777777" w:rsidR="004C12CF" w:rsidRPr="00697918" w:rsidRDefault="004C12CF" w:rsidP="00697918">
            <w:pPr>
              <w:rPr>
                <w:b/>
                <w:bCs/>
                <w:sz w:val="20"/>
                <w:szCs w:val="20"/>
              </w:rPr>
            </w:pPr>
            <w:r w:rsidRPr="00697918">
              <w:rPr>
                <w:b/>
                <w:bCs/>
                <w:sz w:val="20"/>
                <w:szCs w:val="20"/>
              </w:rPr>
              <w:t>Somewhat unpalatable</w:t>
            </w:r>
          </w:p>
        </w:tc>
        <w:tc>
          <w:tcPr>
            <w:tcW w:w="2420" w:type="dxa"/>
          </w:tcPr>
          <w:p w14:paraId="0C247EE6" w14:textId="77777777" w:rsidR="004C12CF" w:rsidRPr="00697918" w:rsidRDefault="004C12CF" w:rsidP="00697918">
            <w:pPr>
              <w:rPr>
                <w:b/>
                <w:bCs/>
                <w:sz w:val="20"/>
                <w:szCs w:val="20"/>
              </w:rPr>
            </w:pPr>
            <w:r w:rsidRPr="00697918">
              <w:rPr>
                <w:b/>
                <w:bCs/>
                <w:sz w:val="20"/>
                <w:szCs w:val="20"/>
              </w:rPr>
              <w:t>No opinion</w:t>
            </w:r>
          </w:p>
        </w:tc>
        <w:tc>
          <w:tcPr>
            <w:tcW w:w="2420" w:type="dxa"/>
          </w:tcPr>
          <w:p w14:paraId="6F24F466" w14:textId="77777777" w:rsidR="004C12CF" w:rsidRPr="00697918" w:rsidRDefault="004C12CF" w:rsidP="00697918">
            <w:pPr>
              <w:rPr>
                <w:b/>
                <w:bCs/>
                <w:sz w:val="20"/>
                <w:szCs w:val="20"/>
              </w:rPr>
            </w:pPr>
            <w:r w:rsidRPr="00697918">
              <w:rPr>
                <w:b/>
                <w:bCs/>
                <w:sz w:val="20"/>
                <w:szCs w:val="20"/>
              </w:rPr>
              <w:t>Palatable</w:t>
            </w:r>
          </w:p>
        </w:tc>
        <w:tc>
          <w:tcPr>
            <w:tcW w:w="2427" w:type="dxa"/>
          </w:tcPr>
          <w:p w14:paraId="77C0EBC1" w14:textId="77777777" w:rsidR="004C12CF" w:rsidRPr="00697918" w:rsidRDefault="004C12CF" w:rsidP="00697918">
            <w:pPr>
              <w:rPr>
                <w:b/>
                <w:bCs/>
                <w:sz w:val="20"/>
                <w:szCs w:val="20"/>
              </w:rPr>
            </w:pPr>
            <w:r w:rsidRPr="00697918">
              <w:rPr>
                <w:b/>
                <w:bCs/>
                <w:sz w:val="20"/>
                <w:szCs w:val="20"/>
              </w:rPr>
              <w:t>Extremely unpalatable</w:t>
            </w:r>
          </w:p>
        </w:tc>
      </w:tr>
      <w:tr w:rsidR="004053D7" w:rsidRPr="00CA4ABC" w14:paraId="6CA5D2CA" w14:textId="77777777" w:rsidTr="009E173A">
        <w:trPr>
          <w:trHeight w:val="133"/>
        </w:trPr>
        <w:tc>
          <w:tcPr>
            <w:tcW w:w="2583" w:type="dxa"/>
            <w:vMerge/>
          </w:tcPr>
          <w:p w14:paraId="7C3929D3" w14:textId="77777777" w:rsidR="004C12CF" w:rsidRPr="00697918" w:rsidRDefault="004C12CF" w:rsidP="00697918">
            <w:pPr>
              <w:rPr>
                <w:sz w:val="20"/>
                <w:szCs w:val="20"/>
              </w:rPr>
            </w:pPr>
          </w:p>
        </w:tc>
        <w:tc>
          <w:tcPr>
            <w:tcW w:w="2877" w:type="dxa"/>
          </w:tcPr>
          <w:p w14:paraId="38067399" w14:textId="77777777" w:rsidR="004C12CF" w:rsidRPr="00697918" w:rsidRDefault="004C12CF" w:rsidP="00697918">
            <w:pPr>
              <w:rPr>
                <w:sz w:val="20"/>
                <w:szCs w:val="20"/>
              </w:rPr>
            </w:pPr>
            <w:r w:rsidRPr="00697918">
              <w:rPr>
                <w:sz w:val="20"/>
                <w:szCs w:val="20"/>
              </w:rPr>
              <w:t>4 (57)</w:t>
            </w:r>
          </w:p>
        </w:tc>
        <w:tc>
          <w:tcPr>
            <w:tcW w:w="2507" w:type="dxa"/>
          </w:tcPr>
          <w:p w14:paraId="6A8D7671" w14:textId="77777777" w:rsidR="004C12CF" w:rsidRPr="00697918" w:rsidRDefault="004C12CF" w:rsidP="00697918">
            <w:pPr>
              <w:rPr>
                <w:sz w:val="20"/>
                <w:szCs w:val="20"/>
              </w:rPr>
            </w:pPr>
            <w:r w:rsidRPr="00697918">
              <w:rPr>
                <w:sz w:val="20"/>
                <w:szCs w:val="20"/>
              </w:rPr>
              <w:t>2 (29)</w:t>
            </w:r>
          </w:p>
        </w:tc>
        <w:tc>
          <w:tcPr>
            <w:tcW w:w="2420" w:type="dxa"/>
          </w:tcPr>
          <w:p w14:paraId="5005C04A" w14:textId="77777777" w:rsidR="004C12CF" w:rsidRPr="00697918" w:rsidRDefault="004C12CF" w:rsidP="00697918">
            <w:pPr>
              <w:rPr>
                <w:sz w:val="20"/>
                <w:szCs w:val="20"/>
              </w:rPr>
            </w:pPr>
          </w:p>
        </w:tc>
        <w:tc>
          <w:tcPr>
            <w:tcW w:w="2420" w:type="dxa"/>
          </w:tcPr>
          <w:p w14:paraId="07AEBEAA" w14:textId="77777777" w:rsidR="004C12CF" w:rsidRPr="00697918" w:rsidRDefault="004C12CF" w:rsidP="00697918">
            <w:pPr>
              <w:rPr>
                <w:sz w:val="20"/>
                <w:szCs w:val="20"/>
              </w:rPr>
            </w:pPr>
          </w:p>
        </w:tc>
        <w:tc>
          <w:tcPr>
            <w:tcW w:w="2427" w:type="dxa"/>
          </w:tcPr>
          <w:p w14:paraId="55D522D3" w14:textId="77777777" w:rsidR="004C12CF" w:rsidRPr="00697918" w:rsidRDefault="004C12CF" w:rsidP="00697918">
            <w:pPr>
              <w:rPr>
                <w:sz w:val="20"/>
                <w:szCs w:val="20"/>
              </w:rPr>
            </w:pPr>
            <w:r w:rsidRPr="00697918">
              <w:rPr>
                <w:sz w:val="20"/>
                <w:szCs w:val="20"/>
              </w:rPr>
              <w:t>1 (14)</w:t>
            </w:r>
          </w:p>
        </w:tc>
      </w:tr>
      <w:tr w:rsidR="004053D7" w:rsidRPr="00CA4ABC" w14:paraId="07D0F724" w14:textId="77777777" w:rsidTr="00697918">
        <w:trPr>
          <w:trHeight w:val="91"/>
        </w:trPr>
        <w:tc>
          <w:tcPr>
            <w:tcW w:w="2583" w:type="dxa"/>
            <w:vMerge w:val="restart"/>
          </w:tcPr>
          <w:p w14:paraId="30947CEE" w14:textId="77777777" w:rsidR="004C12CF" w:rsidRPr="00697918" w:rsidRDefault="004C12CF" w:rsidP="00697918">
            <w:pPr>
              <w:rPr>
                <w:sz w:val="20"/>
                <w:szCs w:val="20"/>
              </w:rPr>
            </w:pPr>
            <w:r w:rsidRPr="00697918">
              <w:rPr>
                <w:sz w:val="20"/>
                <w:szCs w:val="20"/>
              </w:rPr>
              <w:t>Texture ratings</w:t>
            </w:r>
          </w:p>
        </w:tc>
        <w:tc>
          <w:tcPr>
            <w:tcW w:w="2877" w:type="dxa"/>
          </w:tcPr>
          <w:p w14:paraId="4B897F84" w14:textId="77777777" w:rsidR="004C12CF" w:rsidRPr="00697918" w:rsidRDefault="004C12CF" w:rsidP="00697918">
            <w:pPr>
              <w:rPr>
                <w:b/>
                <w:bCs/>
                <w:sz w:val="20"/>
                <w:szCs w:val="20"/>
              </w:rPr>
            </w:pPr>
            <w:r w:rsidRPr="00697918">
              <w:rPr>
                <w:b/>
                <w:bCs/>
                <w:sz w:val="20"/>
                <w:szCs w:val="20"/>
              </w:rPr>
              <w:t>Extremely unpleasant</w:t>
            </w:r>
          </w:p>
        </w:tc>
        <w:tc>
          <w:tcPr>
            <w:tcW w:w="2507" w:type="dxa"/>
          </w:tcPr>
          <w:p w14:paraId="74EDC89C" w14:textId="77777777" w:rsidR="004C12CF" w:rsidRPr="00697918" w:rsidRDefault="004C12CF" w:rsidP="00697918">
            <w:pPr>
              <w:rPr>
                <w:b/>
                <w:bCs/>
                <w:sz w:val="20"/>
                <w:szCs w:val="20"/>
              </w:rPr>
            </w:pPr>
            <w:r w:rsidRPr="00697918">
              <w:rPr>
                <w:b/>
                <w:bCs/>
                <w:sz w:val="20"/>
                <w:szCs w:val="20"/>
              </w:rPr>
              <w:t>Somewhat unpleasant</w:t>
            </w:r>
          </w:p>
        </w:tc>
        <w:tc>
          <w:tcPr>
            <w:tcW w:w="2420" w:type="dxa"/>
          </w:tcPr>
          <w:p w14:paraId="61360AD2" w14:textId="77777777" w:rsidR="004C12CF" w:rsidRPr="00697918" w:rsidRDefault="004C12CF" w:rsidP="00697918">
            <w:pPr>
              <w:rPr>
                <w:b/>
                <w:bCs/>
                <w:sz w:val="20"/>
                <w:szCs w:val="20"/>
              </w:rPr>
            </w:pPr>
            <w:r w:rsidRPr="00697918">
              <w:rPr>
                <w:b/>
                <w:bCs/>
                <w:sz w:val="20"/>
                <w:szCs w:val="20"/>
              </w:rPr>
              <w:t>No opinions</w:t>
            </w:r>
          </w:p>
        </w:tc>
        <w:tc>
          <w:tcPr>
            <w:tcW w:w="2420" w:type="dxa"/>
          </w:tcPr>
          <w:p w14:paraId="714A07C2" w14:textId="77777777" w:rsidR="004C12CF" w:rsidRPr="00697918" w:rsidRDefault="004C12CF" w:rsidP="00697918">
            <w:pPr>
              <w:rPr>
                <w:b/>
                <w:bCs/>
                <w:sz w:val="20"/>
                <w:szCs w:val="20"/>
              </w:rPr>
            </w:pPr>
            <w:r w:rsidRPr="00697918">
              <w:rPr>
                <w:b/>
                <w:bCs/>
                <w:sz w:val="20"/>
                <w:szCs w:val="20"/>
              </w:rPr>
              <w:t>Enjoyable</w:t>
            </w:r>
          </w:p>
        </w:tc>
        <w:tc>
          <w:tcPr>
            <w:tcW w:w="2427" w:type="dxa"/>
          </w:tcPr>
          <w:p w14:paraId="401885C7" w14:textId="77777777" w:rsidR="004C12CF" w:rsidRPr="00697918" w:rsidRDefault="004C12CF" w:rsidP="00697918">
            <w:pPr>
              <w:rPr>
                <w:b/>
                <w:bCs/>
                <w:sz w:val="20"/>
                <w:szCs w:val="20"/>
              </w:rPr>
            </w:pPr>
            <w:r w:rsidRPr="00697918">
              <w:rPr>
                <w:b/>
                <w:bCs/>
                <w:sz w:val="20"/>
                <w:szCs w:val="20"/>
              </w:rPr>
              <w:t>Very enjoyable</w:t>
            </w:r>
          </w:p>
        </w:tc>
      </w:tr>
      <w:tr w:rsidR="004053D7" w:rsidRPr="00CA4ABC" w14:paraId="10F01C97" w14:textId="77777777" w:rsidTr="00697918">
        <w:trPr>
          <w:trHeight w:val="265"/>
        </w:trPr>
        <w:tc>
          <w:tcPr>
            <w:tcW w:w="2583" w:type="dxa"/>
            <w:vMerge/>
          </w:tcPr>
          <w:p w14:paraId="76A5DD5E" w14:textId="77777777" w:rsidR="004C12CF" w:rsidRPr="00697918" w:rsidRDefault="004C12CF" w:rsidP="00697918">
            <w:pPr>
              <w:rPr>
                <w:sz w:val="20"/>
                <w:szCs w:val="20"/>
              </w:rPr>
            </w:pPr>
          </w:p>
        </w:tc>
        <w:tc>
          <w:tcPr>
            <w:tcW w:w="2877" w:type="dxa"/>
          </w:tcPr>
          <w:p w14:paraId="542A4F51" w14:textId="77777777" w:rsidR="004C12CF" w:rsidRPr="00697918" w:rsidRDefault="004C12CF" w:rsidP="00697918">
            <w:pPr>
              <w:rPr>
                <w:sz w:val="20"/>
                <w:szCs w:val="20"/>
              </w:rPr>
            </w:pPr>
          </w:p>
        </w:tc>
        <w:tc>
          <w:tcPr>
            <w:tcW w:w="2507" w:type="dxa"/>
          </w:tcPr>
          <w:p w14:paraId="7631AD1D" w14:textId="77777777" w:rsidR="004C12CF" w:rsidRPr="00697918" w:rsidRDefault="004C12CF" w:rsidP="00697918">
            <w:pPr>
              <w:rPr>
                <w:sz w:val="20"/>
                <w:szCs w:val="20"/>
              </w:rPr>
            </w:pPr>
            <w:r w:rsidRPr="00697918">
              <w:rPr>
                <w:sz w:val="20"/>
                <w:szCs w:val="20"/>
              </w:rPr>
              <w:t>1 (14)</w:t>
            </w:r>
          </w:p>
        </w:tc>
        <w:tc>
          <w:tcPr>
            <w:tcW w:w="2420" w:type="dxa"/>
          </w:tcPr>
          <w:p w14:paraId="6ACB37CE" w14:textId="77777777" w:rsidR="004C12CF" w:rsidRPr="00697918" w:rsidRDefault="004C12CF" w:rsidP="00697918">
            <w:pPr>
              <w:rPr>
                <w:sz w:val="20"/>
                <w:szCs w:val="20"/>
              </w:rPr>
            </w:pPr>
            <w:r w:rsidRPr="00697918">
              <w:rPr>
                <w:sz w:val="20"/>
                <w:szCs w:val="20"/>
              </w:rPr>
              <w:t>5 (71)</w:t>
            </w:r>
          </w:p>
        </w:tc>
        <w:tc>
          <w:tcPr>
            <w:tcW w:w="2420" w:type="dxa"/>
          </w:tcPr>
          <w:p w14:paraId="1128C6DC" w14:textId="77777777" w:rsidR="004C12CF" w:rsidRPr="00697918" w:rsidRDefault="004C12CF" w:rsidP="00697918">
            <w:pPr>
              <w:rPr>
                <w:sz w:val="20"/>
                <w:szCs w:val="20"/>
              </w:rPr>
            </w:pPr>
            <w:r w:rsidRPr="00697918">
              <w:rPr>
                <w:sz w:val="20"/>
                <w:szCs w:val="20"/>
              </w:rPr>
              <w:t>1 (14)</w:t>
            </w:r>
          </w:p>
        </w:tc>
        <w:tc>
          <w:tcPr>
            <w:tcW w:w="2427" w:type="dxa"/>
          </w:tcPr>
          <w:p w14:paraId="6461A47C" w14:textId="77777777" w:rsidR="004C12CF" w:rsidRPr="00697918" w:rsidRDefault="004C12CF" w:rsidP="00697918">
            <w:pPr>
              <w:rPr>
                <w:sz w:val="20"/>
                <w:szCs w:val="20"/>
              </w:rPr>
            </w:pPr>
          </w:p>
        </w:tc>
      </w:tr>
      <w:tr w:rsidR="004053D7" w:rsidRPr="00CA4ABC" w14:paraId="2D080786" w14:textId="77777777" w:rsidTr="009E173A">
        <w:trPr>
          <w:trHeight w:val="92"/>
        </w:trPr>
        <w:tc>
          <w:tcPr>
            <w:tcW w:w="2583" w:type="dxa"/>
          </w:tcPr>
          <w:p w14:paraId="668583C7" w14:textId="77777777" w:rsidR="004C12CF" w:rsidRPr="00697918" w:rsidRDefault="004C12CF" w:rsidP="00697918">
            <w:pPr>
              <w:rPr>
                <w:sz w:val="20"/>
                <w:szCs w:val="20"/>
              </w:rPr>
            </w:pPr>
            <w:r w:rsidRPr="00697918">
              <w:rPr>
                <w:sz w:val="20"/>
                <w:szCs w:val="20"/>
              </w:rPr>
              <w:t>Overall rating of supplement</w:t>
            </w:r>
          </w:p>
        </w:tc>
        <w:tc>
          <w:tcPr>
            <w:tcW w:w="2877" w:type="dxa"/>
          </w:tcPr>
          <w:p w14:paraId="2B1D489A" w14:textId="77777777" w:rsidR="004C12CF" w:rsidRPr="00697918" w:rsidRDefault="004C12CF" w:rsidP="00697918">
            <w:pPr>
              <w:rPr>
                <w:b/>
                <w:bCs/>
                <w:sz w:val="20"/>
                <w:szCs w:val="20"/>
              </w:rPr>
            </w:pPr>
            <w:r w:rsidRPr="00697918">
              <w:rPr>
                <w:b/>
                <w:bCs/>
                <w:sz w:val="20"/>
                <w:szCs w:val="20"/>
              </w:rPr>
              <w:t>1.Disgusting</w:t>
            </w:r>
          </w:p>
        </w:tc>
        <w:tc>
          <w:tcPr>
            <w:tcW w:w="2507" w:type="dxa"/>
          </w:tcPr>
          <w:p w14:paraId="1D771796" w14:textId="77777777" w:rsidR="004C12CF" w:rsidRPr="00697918" w:rsidRDefault="004C12CF" w:rsidP="00697918">
            <w:pPr>
              <w:rPr>
                <w:b/>
                <w:bCs/>
                <w:sz w:val="20"/>
                <w:szCs w:val="20"/>
              </w:rPr>
            </w:pPr>
            <w:r w:rsidRPr="00697918">
              <w:rPr>
                <w:b/>
                <w:bCs/>
                <w:sz w:val="20"/>
                <w:szCs w:val="20"/>
              </w:rPr>
              <w:t>2</w:t>
            </w:r>
          </w:p>
        </w:tc>
        <w:tc>
          <w:tcPr>
            <w:tcW w:w="2420" w:type="dxa"/>
          </w:tcPr>
          <w:p w14:paraId="7CD08E96" w14:textId="77777777" w:rsidR="004C12CF" w:rsidRPr="00697918" w:rsidRDefault="004C12CF" w:rsidP="00697918">
            <w:pPr>
              <w:rPr>
                <w:b/>
                <w:bCs/>
                <w:sz w:val="20"/>
                <w:szCs w:val="20"/>
              </w:rPr>
            </w:pPr>
            <w:r w:rsidRPr="00697918">
              <w:rPr>
                <w:b/>
                <w:bCs/>
                <w:sz w:val="20"/>
                <w:szCs w:val="20"/>
              </w:rPr>
              <w:t>3</w:t>
            </w:r>
          </w:p>
        </w:tc>
        <w:tc>
          <w:tcPr>
            <w:tcW w:w="2420" w:type="dxa"/>
          </w:tcPr>
          <w:p w14:paraId="67FAFA10" w14:textId="77777777" w:rsidR="004C12CF" w:rsidRPr="00697918" w:rsidRDefault="004C12CF" w:rsidP="00697918">
            <w:pPr>
              <w:rPr>
                <w:b/>
                <w:bCs/>
                <w:sz w:val="20"/>
                <w:szCs w:val="20"/>
              </w:rPr>
            </w:pPr>
            <w:r w:rsidRPr="00697918">
              <w:rPr>
                <w:b/>
                <w:bCs/>
                <w:sz w:val="20"/>
                <w:szCs w:val="20"/>
              </w:rPr>
              <w:t>4</w:t>
            </w:r>
          </w:p>
        </w:tc>
        <w:tc>
          <w:tcPr>
            <w:tcW w:w="2427" w:type="dxa"/>
          </w:tcPr>
          <w:p w14:paraId="22583578" w14:textId="77777777" w:rsidR="004C12CF" w:rsidRPr="00697918" w:rsidRDefault="004C12CF" w:rsidP="00697918">
            <w:pPr>
              <w:rPr>
                <w:b/>
                <w:bCs/>
                <w:sz w:val="20"/>
                <w:szCs w:val="20"/>
              </w:rPr>
            </w:pPr>
            <w:r w:rsidRPr="00697918">
              <w:rPr>
                <w:b/>
                <w:bCs/>
                <w:sz w:val="20"/>
                <w:szCs w:val="20"/>
              </w:rPr>
              <w:t xml:space="preserve">5.Delicious </w:t>
            </w:r>
          </w:p>
        </w:tc>
      </w:tr>
      <w:tr w:rsidR="004053D7" w:rsidRPr="00CA4ABC" w14:paraId="2FD9B9B0" w14:textId="77777777" w:rsidTr="00697918">
        <w:trPr>
          <w:trHeight w:val="159"/>
        </w:trPr>
        <w:tc>
          <w:tcPr>
            <w:tcW w:w="2583" w:type="dxa"/>
          </w:tcPr>
          <w:p w14:paraId="28156BBC" w14:textId="77777777" w:rsidR="004C12CF" w:rsidRPr="00697918" w:rsidRDefault="004C12CF" w:rsidP="00697918">
            <w:pPr>
              <w:rPr>
                <w:sz w:val="20"/>
                <w:szCs w:val="20"/>
              </w:rPr>
            </w:pPr>
          </w:p>
        </w:tc>
        <w:tc>
          <w:tcPr>
            <w:tcW w:w="2877" w:type="dxa"/>
          </w:tcPr>
          <w:p w14:paraId="58D2CCC8" w14:textId="77777777" w:rsidR="004C12CF" w:rsidRPr="00697918" w:rsidRDefault="004C12CF" w:rsidP="00697918">
            <w:pPr>
              <w:rPr>
                <w:sz w:val="20"/>
                <w:szCs w:val="20"/>
              </w:rPr>
            </w:pPr>
            <w:r w:rsidRPr="00697918">
              <w:rPr>
                <w:sz w:val="20"/>
                <w:szCs w:val="20"/>
              </w:rPr>
              <w:t>4 (57)</w:t>
            </w:r>
          </w:p>
        </w:tc>
        <w:tc>
          <w:tcPr>
            <w:tcW w:w="2507" w:type="dxa"/>
          </w:tcPr>
          <w:p w14:paraId="2A070B6B" w14:textId="77777777" w:rsidR="004C12CF" w:rsidRPr="00697918" w:rsidRDefault="004C12CF" w:rsidP="00697918">
            <w:pPr>
              <w:rPr>
                <w:sz w:val="20"/>
                <w:szCs w:val="20"/>
              </w:rPr>
            </w:pPr>
            <w:r w:rsidRPr="00697918">
              <w:rPr>
                <w:sz w:val="20"/>
                <w:szCs w:val="20"/>
              </w:rPr>
              <w:t>1 (14)</w:t>
            </w:r>
          </w:p>
        </w:tc>
        <w:tc>
          <w:tcPr>
            <w:tcW w:w="2420" w:type="dxa"/>
          </w:tcPr>
          <w:p w14:paraId="6B4DDDE3" w14:textId="77777777" w:rsidR="004C12CF" w:rsidRPr="00697918" w:rsidRDefault="004C12CF" w:rsidP="00697918">
            <w:pPr>
              <w:rPr>
                <w:sz w:val="20"/>
                <w:szCs w:val="20"/>
              </w:rPr>
            </w:pPr>
            <w:r w:rsidRPr="00697918">
              <w:rPr>
                <w:sz w:val="20"/>
                <w:szCs w:val="20"/>
              </w:rPr>
              <w:t>1 (14)</w:t>
            </w:r>
          </w:p>
        </w:tc>
        <w:tc>
          <w:tcPr>
            <w:tcW w:w="2420" w:type="dxa"/>
          </w:tcPr>
          <w:p w14:paraId="25463B63" w14:textId="77777777" w:rsidR="004C12CF" w:rsidRPr="00697918" w:rsidRDefault="004C12CF" w:rsidP="00697918">
            <w:pPr>
              <w:rPr>
                <w:sz w:val="20"/>
                <w:szCs w:val="20"/>
              </w:rPr>
            </w:pPr>
          </w:p>
        </w:tc>
        <w:tc>
          <w:tcPr>
            <w:tcW w:w="2427" w:type="dxa"/>
          </w:tcPr>
          <w:p w14:paraId="12610A6D" w14:textId="77777777" w:rsidR="004C12CF" w:rsidRPr="00697918" w:rsidRDefault="004C12CF" w:rsidP="00697918">
            <w:pPr>
              <w:rPr>
                <w:sz w:val="20"/>
                <w:szCs w:val="20"/>
              </w:rPr>
            </w:pPr>
          </w:p>
        </w:tc>
      </w:tr>
    </w:tbl>
    <w:p w14:paraId="4EB5505B" w14:textId="0C9C1490" w:rsidR="004C12CF" w:rsidRPr="00323872" w:rsidRDefault="004C12CF" w:rsidP="004053D7">
      <w:pPr>
        <w:pStyle w:val="Caption"/>
        <w:spacing w:line="360" w:lineRule="auto"/>
        <w:rPr>
          <w:rFonts w:cstheme="minorHAnsi"/>
          <w:i w:val="0"/>
          <w:iCs w:val="0"/>
          <w:color w:val="000000" w:themeColor="text1"/>
          <w:sz w:val="24"/>
          <w:szCs w:val="24"/>
        </w:rPr>
        <w:sectPr w:rsidR="004C12CF" w:rsidRPr="00323872" w:rsidSect="009E173A">
          <w:pgSz w:w="16840" w:h="11900" w:orient="landscape"/>
          <w:pgMar w:top="1440" w:right="1440" w:bottom="1440" w:left="1440" w:header="708" w:footer="708" w:gutter="0"/>
          <w:cols w:space="708"/>
          <w:docGrid w:linePitch="360"/>
        </w:sectPr>
      </w:pPr>
      <w:bookmarkStart w:id="325" w:name="_Toc122956588"/>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25</w:t>
      </w:r>
      <w:r w:rsidRPr="00323872">
        <w:rPr>
          <w:rFonts w:cstheme="minorHAnsi"/>
          <w:i w:val="0"/>
          <w:iCs w:val="0"/>
          <w:color w:val="000000" w:themeColor="text1"/>
          <w:sz w:val="24"/>
          <w:szCs w:val="24"/>
        </w:rPr>
        <w:fldChar w:fldCharType="end"/>
      </w:r>
      <w:r w:rsidR="00323872" w:rsidRPr="00323872">
        <w:rPr>
          <w:rFonts w:cstheme="minorHAnsi"/>
          <w:i w:val="0"/>
          <w:iCs w:val="0"/>
          <w:color w:val="000000" w:themeColor="text1"/>
          <w:sz w:val="24"/>
          <w:szCs w:val="24"/>
        </w:rPr>
        <w:t>. R</w:t>
      </w:r>
      <w:r w:rsidRPr="00323872">
        <w:rPr>
          <w:rFonts w:cstheme="minorHAnsi"/>
          <w:i w:val="0"/>
          <w:iCs w:val="0"/>
          <w:color w:val="000000" w:themeColor="text1"/>
          <w:sz w:val="24"/>
          <w:szCs w:val="24"/>
        </w:rPr>
        <w:t>esponses to the nutrition intervention outcome questionnaire.</w:t>
      </w:r>
      <w:bookmarkEnd w:id="325"/>
    </w:p>
    <w:p w14:paraId="7B9F9F4E" w14:textId="15B8E67C" w:rsidR="004C12CF" w:rsidRPr="00CA4ABC" w:rsidRDefault="004C12CF" w:rsidP="004053D7">
      <w:pPr>
        <w:pStyle w:val="Heading3"/>
        <w:spacing w:line="360" w:lineRule="auto"/>
        <w:rPr>
          <w:rFonts w:asciiTheme="minorHAnsi" w:hAnsiTheme="minorHAnsi" w:cstheme="minorHAnsi"/>
          <w:color w:val="000000" w:themeColor="text1"/>
        </w:rPr>
      </w:pPr>
      <w:bookmarkStart w:id="326" w:name="_Toc135384376"/>
      <w:r w:rsidRPr="00CA4ABC">
        <w:rPr>
          <w:rFonts w:asciiTheme="minorHAnsi" w:hAnsiTheme="minorHAnsi" w:cstheme="minorHAnsi"/>
          <w:color w:val="000000" w:themeColor="text1"/>
        </w:rPr>
        <w:lastRenderedPageBreak/>
        <w:t>5.3.</w:t>
      </w:r>
      <w:r w:rsidR="007F5B0B" w:rsidRPr="00CA4ABC">
        <w:rPr>
          <w:rFonts w:asciiTheme="minorHAnsi" w:hAnsiTheme="minorHAnsi" w:cstheme="minorHAnsi"/>
          <w:color w:val="000000" w:themeColor="text1"/>
        </w:rPr>
        <w:t>3</w:t>
      </w:r>
      <w:r w:rsidRPr="00CA4ABC">
        <w:rPr>
          <w:rFonts w:asciiTheme="minorHAnsi" w:hAnsiTheme="minorHAnsi" w:cstheme="minorHAnsi"/>
          <w:color w:val="000000" w:themeColor="text1"/>
        </w:rPr>
        <w:t>.7 Two-month follow</w:t>
      </w:r>
      <w:r w:rsidR="008809FE"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up</w:t>
      </w:r>
      <w:bookmarkEnd w:id="326"/>
    </w:p>
    <w:p w14:paraId="35AF67ED" w14:textId="792D2C88" w:rsidR="004C12CF" w:rsidRPr="00CA4ABC" w:rsidRDefault="004C12CF" w:rsidP="00357DD3">
      <w:pPr>
        <w:spacing w:line="360" w:lineRule="auto"/>
        <w:ind w:firstLine="360"/>
        <w:rPr>
          <w:rFonts w:cstheme="minorHAnsi"/>
          <w:color w:val="000000" w:themeColor="text1"/>
        </w:rPr>
      </w:pPr>
      <w:r w:rsidRPr="00CA4ABC">
        <w:rPr>
          <w:rFonts w:cstheme="minorHAnsi"/>
          <w:color w:val="000000" w:themeColor="text1"/>
        </w:rPr>
        <w:t xml:space="preserve">Six participants responded to the 2-month follow up correspondence. </w:t>
      </w:r>
      <w:r w:rsidR="00552487" w:rsidRPr="00CA4ABC">
        <w:rPr>
          <w:rFonts w:cstheme="minorHAnsi"/>
          <w:color w:val="000000" w:themeColor="text1"/>
        </w:rPr>
        <w:t>Four</w:t>
      </w:r>
      <w:r w:rsidRPr="00CA4ABC">
        <w:rPr>
          <w:rFonts w:cstheme="minorHAnsi"/>
          <w:color w:val="000000" w:themeColor="text1"/>
        </w:rPr>
        <w:t xml:space="preserve"> participants reported being more active since the intervention. Two</w:t>
      </w:r>
      <w:r w:rsidR="00552487" w:rsidRPr="00CA4ABC">
        <w:rPr>
          <w:rFonts w:cstheme="minorHAnsi"/>
          <w:color w:val="000000" w:themeColor="text1"/>
        </w:rPr>
        <w:t xml:space="preserve"> participants</w:t>
      </w:r>
      <w:r w:rsidRPr="00CA4ABC">
        <w:rPr>
          <w:rFonts w:cstheme="minorHAnsi"/>
          <w:color w:val="000000" w:themeColor="text1"/>
        </w:rPr>
        <w:t xml:space="preserve"> reported continuing to use the resistance bands. Appendix 26 provides </w:t>
      </w:r>
      <w:r w:rsidR="004B57B7" w:rsidRPr="00CA4ABC">
        <w:rPr>
          <w:rFonts w:cstheme="minorHAnsi"/>
          <w:color w:val="000000" w:themeColor="text1"/>
        </w:rPr>
        <w:t xml:space="preserve">further </w:t>
      </w:r>
      <w:r w:rsidRPr="00CA4ABC">
        <w:rPr>
          <w:rFonts w:cstheme="minorHAnsi"/>
          <w:color w:val="000000" w:themeColor="text1"/>
        </w:rPr>
        <w:t>participant post-trial feedback.</w:t>
      </w:r>
    </w:p>
    <w:p w14:paraId="2532BADA" w14:textId="77777777" w:rsidR="004C12CF" w:rsidRPr="00CA4ABC" w:rsidRDefault="004C12CF" w:rsidP="004053D7">
      <w:pPr>
        <w:spacing w:line="360" w:lineRule="auto"/>
        <w:rPr>
          <w:rFonts w:cstheme="minorHAnsi"/>
          <w:color w:val="000000" w:themeColor="text1"/>
        </w:rPr>
      </w:pPr>
    </w:p>
    <w:p w14:paraId="2867BDDE" w14:textId="3781FB2F" w:rsidR="004C12CF" w:rsidRPr="00CA4ABC" w:rsidRDefault="00552487" w:rsidP="005F45D1">
      <w:pPr>
        <w:pStyle w:val="Heading2"/>
        <w:spacing w:line="360" w:lineRule="auto"/>
        <w:rPr>
          <w:rFonts w:asciiTheme="minorHAnsi" w:hAnsiTheme="minorHAnsi" w:cstheme="minorHAnsi"/>
          <w:color w:val="000000" w:themeColor="text1"/>
          <w:sz w:val="24"/>
          <w:szCs w:val="24"/>
        </w:rPr>
      </w:pPr>
      <w:bookmarkStart w:id="327" w:name="_Toc135384377"/>
      <w:r w:rsidRPr="00CA4ABC">
        <w:rPr>
          <w:rFonts w:asciiTheme="minorHAnsi" w:hAnsiTheme="minorHAnsi" w:cstheme="minorHAnsi"/>
          <w:color w:val="000000" w:themeColor="text1"/>
          <w:sz w:val="24"/>
          <w:szCs w:val="24"/>
        </w:rPr>
        <w:t>5.3.</w:t>
      </w:r>
      <w:r w:rsidR="007F5B0B" w:rsidRPr="00CA4ABC">
        <w:rPr>
          <w:rFonts w:asciiTheme="minorHAnsi" w:hAnsiTheme="minorHAnsi" w:cstheme="minorHAnsi"/>
          <w:color w:val="000000" w:themeColor="text1"/>
          <w:sz w:val="24"/>
          <w:szCs w:val="24"/>
        </w:rPr>
        <w:t>4</w:t>
      </w:r>
      <w:r w:rsidRPr="00CA4ABC">
        <w:rPr>
          <w:rFonts w:asciiTheme="minorHAnsi" w:hAnsiTheme="minorHAnsi" w:cstheme="minorHAnsi"/>
          <w:color w:val="000000" w:themeColor="text1"/>
          <w:sz w:val="24"/>
          <w:szCs w:val="24"/>
        </w:rPr>
        <w:t xml:space="preserve"> </w:t>
      </w:r>
      <w:r w:rsidR="004C12CF" w:rsidRPr="00CA4ABC">
        <w:rPr>
          <w:rFonts w:asciiTheme="minorHAnsi" w:hAnsiTheme="minorHAnsi" w:cstheme="minorHAnsi"/>
          <w:color w:val="000000" w:themeColor="text1"/>
          <w:sz w:val="24"/>
          <w:szCs w:val="24"/>
        </w:rPr>
        <w:t>Secondary outcome measurements</w:t>
      </w:r>
      <w:bookmarkEnd w:id="327"/>
    </w:p>
    <w:p w14:paraId="2EEBC22B" w14:textId="6CBB1B62" w:rsidR="004C12CF" w:rsidRPr="00CA4ABC" w:rsidRDefault="004C12CF" w:rsidP="005F45D1">
      <w:pPr>
        <w:pStyle w:val="Heading3"/>
        <w:spacing w:line="360" w:lineRule="auto"/>
        <w:rPr>
          <w:rFonts w:asciiTheme="minorHAnsi" w:hAnsiTheme="minorHAnsi" w:cstheme="minorHAnsi"/>
          <w:color w:val="000000" w:themeColor="text1"/>
        </w:rPr>
      </w:pPr>
      <w:bookmarkStart w:id="328" w:name="_Toc135384378"/>
      <w:r w:rsidRPr="00CA4ABC">
        <w:rPr>
          <w:rFonts w:asciiTheme="minorHAnsi" w:hAnsiTheme="minorHAnsi" w:cstheme="minorHAnsi"/>
          <w:color w:val="000000" w:themeColor="text1"/>
        </w:rPr>
        <w:t>5.3.</w:t>
      </w:r>
      <w:r w:rsidR="007F5B0B"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.1 Food diary and macronutrient data</w:t>
      </w:r>
      <w:bookmarkEnd w:id="328"/>
    </w:p>
    <w:p w14:paraId="2584C144" w14:textId="5AD3D96F" w:rsidR="004C12CF" w:rsidRPr="00CA4ABC" w:rsidRDefault="004C12CF" w:rsidP="005F45D1">
      <w:pPr>
        <w:spacing w:line="360" w:lineRule="auto"/>
        <w:ind w:firstLine="720"/>
        <w:rPr>
          <w:rFonts w:cstheme="minorHAnsi"/>
          <w:color w:val="000000" w:themeColor="text1"/>
        </w:rPr>
      </w:pPr>
      <w:r w:rsidRPr="00CA4ABC">
        <w:rPr>
          <w:rFonts w:cstheme="minorHAnsi"/>
          <w:color w:val="000000" w:themeColor="text1"/>
        </w:rPr>
        <w:t xml:space="preserve">Eight participants returned complete food diaries for </w:t>
      </w:r>
      <w:r w:rsidR="00552487" w:rsidRPr="00CA4ABC">
        <w:rPr>
          <w:rFonts w:cstheme="minorHAnsi"/>
          <w:color w:val="000000" w:themeColor="text1"/>
        </w:rPr>
        <w:t xml:space="preserve">the </w:t>
      </w:r>
      <w:r w:rsidRPr="00CA4ABC">
        <w:rPr>
          <w:rFonts w:cstheme="minorHAnsi"/>
          <w:color w:val="000000" w:themeColor="text1"/>
        </w:rPr>
        <w:t>three requested weeks</w:t>
      </w:r>
      <w:r w:rsidR="00552487" w:rsidRPr="00CA4ABC">
        <w:rPr>
          <w:rFonts w:cstheme="minorHAnsi"/>
          <w:color w:val="000000" w:themeColor="text1"/>
        </w:rPr>
        <w:t>; arm 1 (n=2), arm 2 (n=2) and arm 3 (n=4)</w:t>
      </w:r>
      <w:r w:rsidRPr="00CA4ABC">
        <w:rPr>
          <w:rFonts w:cstheme="minorHAnsi"/>
          <w:color w:val="000000" w:themeColor="text1"/>
        </w:rPr>
        <w:t>. Two participants (EN105 and EN112) only reported week 3 and one participant (EN109) did not do a baseline diary</w:t>
      </w:r>
      <w:r w:rsidR="00C57D8D">
        <w:rPr>
          <w:rFonts w:cstheme="minorHAnsi"/>
          <w:color w:val="000000" w:themeColor="text1"/>
        </w:rPr>
        <w:t>. A</w:t>
      </w:r>
      <w:r w:rsidR="005F45D1" w:rsidRPr="00CA4ABC">
        <w:rPr>
          <w:rFonts w:cstheme="minorHAnsi"/>
          <w:color w:val="000000" w:themeColor="text1"/>
        </w:rPr>
        <w:t>ll three were</w:t>
      </w:r>
      <w:r w:rsidRPr="00CA4ABC">
        <w:rPr>
          <w:rFonts w:cstheme="minorHAnsi"/>
          <w:color w:val="000000" w:themeColor="text1"/>
        </w:rPr>
        <w:t xml:space="preserve"> removed from the analysis leaving</w:t>
      </w:r>
      <w:r w:rsidR="001C28D6" w:rsidRPr="00CA4ABC">
        <w:rPr>
          <w:rFonts w:cstheme="minorHAnsi"/>
          <w:color w:val="000000" w:themeColor="text1"/>
        </w:rPr>
        <w:t xml:space="preserve"> n=8</w:t>
      </w:r>
      <w:r w:rsidR="00552487" w:rsidRPr="00CA4ABC">
        <w:rPr>
          <w:rFonts w:cstheme="minorHAnsi"/>
          <w:color w:val="000000" w:themeColor="text1"/>
        </w:rPr>
        <w:t xml:space="preserve">. </w:t>
      </w:r>
      <w:r w:rsidRPr="00CA4ABC">
        <w:rPr>
          <w:rFonts w:cstheme="minorHAnsi"/>
          <w:color w:val="000000" w:themeColor="text1"/>
        </w:rPr>
        <w:fldChar w:fldCharType="begin"/>
      </w:r>
      <w:r w:rsidRPr="00CA4ABC">
        <w:rPr>
          <w:rFonts w:cstheme="minorHAnsi"/>
          <w:color w:val="000000" w:themeColor="text1"/>
        </w:rPr>
        <w:instrText xml:space="preserve"> REF _Ref122447447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25</w:t>
      </w:r>
      <w:r w:rsidRPr="00CA4ABC">
        <w:rPr>
          <w:rFonts w:cstheme="minorHAnsi"/>
          <w:color w:val="000000" w:themeColor="text1"/>
        </w:rPr>
        <w:fldChar w:fldCharType="end"/>
      </w:r>
      <w:r w:rsidRPr="00CA4ABC">
        <w:rPr>
          <w:rFonts w:cstheme="minorHAnsi"/>
          <w:color w:val="000000" w:themeColor="text1"/>
        </w:rPr>
        <w:t xml:space="preserve"> shows the average energy intake and macronutrients for all participants who successfully completed </w:t>
      </w:r>
      <w:r w:rsidR="005F45D1" w:rsidRPr="00CA4ABC">
        <w:rPr>
          <w:rFonts w:cstheme="minorHAnsi"/>
          <w:color w:val="000000" w:themeColor="text1"/>
        </w:rPr>
        <w:t>three</w:t>
      </w:r>
      <w:r w:rsidRPr="00CA4ABC">
        <w:rPr>
          <w:rFonts w:cstheme="minorHAnsi"/>
          <w:color w:val="000000" w:themeColor="text1"/>
        </w:rPr>
        <w:t xml:space="preserve"> food diary entries (n=8). No statistical differences were found for any dietary intake measurement across the trial.  </w:t>
      </w:r>
    </w:p>
    <w:p w14:paraId="70F718C7" w14:textId="3ED629E4" w:rsidR="004C12CF" w:rsidRPr="00CA4ABC" w:rsidRDefault="004C12CF" w:rsidP="004053D7">
      <w:pPr>
        <w:spacing w:line="360" w:lineRule="auto"/>
        <w:rPr>
          <w:rFonts w:cstheme="minorHAnsi"/>
          <w:color w:val="000000" w:themeColor="text1"/>
        </w:rPr>
      </w:pPr>
      <w:r w:rsidRPr="00CA4ABC">
        <w:rPr>
          <w:rFonts w:cstheme="minorHAnsi"/>
          <w:color w:val="000000" w:themeColor="text1"/>
        </w:rPr>
        <w:t>Exploring protein intakes alone, there appears to be a decline in habitual dietary protein but this is counteracted when</w:t>
      </w:r>
      <w:r w:rsidR="00552487" w:rsidRPr="00CA4ABC">
        <w:rPr>
          <w:rFonts w:cstheme="minorHAnsi"/>
          <w:color w:val="000000" w:themeColor="text1"/>
        </w:rPr>
        <w:t xml:space="preserve"> the</w:t>
      </w:r>
      <w:r w:rsidRPr="00CA4ABC">
        <w:rPr>
          <w:rFonts w:cstheme="minorHAnsi"/>
          <w:color w:val="000000" w:themeColor="text1"/>
        </w:rPr>
        <w:t xml:space="preserve"> protein supplement i</w:t>
      </w:r>
      <w:r w:rsidR="00552487" w:rsidRPr="00CA4ABC">
        <w:rPr>
          <w:rFonts w:cstheme="minorHAnsi"/>
          <w:color w:val="000000" w:themeColor="text1"/>
        </w:rPr>
        <w:t>s</w:t>
      </w:r>
      <w:r w:rsidRPr="00CA4ABC">
        <w:rPr>
          <w:rFonts w:cstheme="minorHAnsi"/>
          <w:color w:val="000000" w:themeColor="text1"/>
        </w:rPr>
        <w:t xml:space="preserve"> added (</w:t>
      </w:r>
      <w:r w:rsidRPr="00CA4ABC">
        <w:rPr>
          <w:rFonts w:cstheme="minorHAnsi"/>
          <w:color w:val="000000" w:themeColor="text1"/>
        </w:rPr>
        <w:fldChar w:fldCharType="begin"/>
      </w:r>
      <w:r w:rsidRPr="00CA4ABC">
        <w:rPr>
          <w:rFonts w:cstheme="minorHAnsi"/>
          <w:color w:val="000000" w:themeColor="text1"/>
        </w:rPr>
        <w:instrText xml:space="preserve"> REF _Ref122447463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18</w:t>
      </w:r>
      <w:r w:rsidRPr="00CA4ABC">
        <w:rPr>
          <w:rFonts w:cstheme="minorHAnsi"/>
          <w:color w:val="000000" w:themeColor="text1"/>
        </w:rPr>
        <w:fldChar w:fldCharType="end"/>
      </w:r>
      <w:r w:rsidRPr="00CA4ABC">
        <w:rPr>
          <w:rFonts w:cstheme="minorHAnsi"/>
          <w:color w:val="000000" w:themeColor="text1"/>
        </w:rPr>
        <w:t>)</w:t>
      </w:r>
      <w:r w:rsidR="00552487" w:rsidRPr="00CA4ABC">
        <w:rPr>
          <w:rFonts w:cstheme="minorHAnsi"/>
          <w:color w:val="000000" w:themeColor="text1"/>
        </w:rPr>
        <w:t xml:space="preserve"> and is not statistically significant.</w:t>
      </w:r>
      <w:r w:rsidRPr="00CA4ABC">
        <w:rPr>
          <w:rFonts w:cstheme="minorHAnsi"/>
          <w:color w:val="000000" w:themeColor="text1"/>
        </w:rPr>
        <w:t xml:space="preserve"> Further dietary data, split by intervention arm, is available in appendix 27.</w:t>
      </w:r>
    </w:p>
    <w:tbl>
      <w:tblPr>
        <w:tblStyle w:val="TableGrid"/>
        <w:tblW w:w="11520" w:type="dxa"/>
        <w:tblInd w:w="-1255" w:type="dxa"/>
        <w:tblLook w:val="04A0" w:firstRow="1" w:lastRow="0" w:firstColumn="1" w:lastColumn="0" w:noHBand="0" w:noVBand="1"/>
      </w:tblPr>
      <w:tblGrid>
        <w:gridCol w:w="2304"/>
        <w:gridCol w:w="2304"/>
        <w:gridCol w:w="2304"/>
        <w:gridCol w:w="2304"/>
        <w:gridCol w:w="2304"/>
      </w:tblGrid>
      <w:tr w:rsidR="004053D7" w:rsidRPr="00CA4ABC" w14:paraId="22F6CDC3" w14:textId="77777777" w:rsidTr="009E173A">
        <w:trPr>
          <w:trHeight w:val="340"/>
        </w:trPr>
        <w:tc>
          <w:tcPr>
            <w:tcW w:w="2304" w:type="dxa"/>
          </w:tcPr>
          <w:p w14:paraId="527E8AA5"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Measure</w:t>
            </w:r>
          </w:p>
        </w:tc>
        <w:tc>
          <w:tcPr>
            <w:tcW w:w="2304" w:type="dxa"/>
          </w:tcPr>
          <w:p w14:paraId="5B99BBA0"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Week 0 (Mean(SD))</w:t>
            </w:r>
          </w:p>
        </w:tc>
        <w:tc>
          <w:tcPr>
            <w:tcW w:w="2304" w:type="dxa"/>
          </w:tcPr>
          <w:p w14:paraId="33BFC13E" w14:textId="7E60CC36"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Week 3 (Mean</w:t>
            </w:r>
            <w:r w:rsidR="008809FE" w:rsidRPr="00CA4ABC">
              <w:rPr>
                <w:rFonts w:cstheme="minorHAnsi"/>
                <w:color w:val="000000" w:themeColor="text1"/>
                <w:sz w:val="20"/>
                <w:szCs w:val="20"/>
              </w:rPr>
              <w:t xml:space="preserve"> </w:t>
            </w:r>
            <w:r w:rsidRPr="00CA4ABC">
              <w:rPr>
                <w:rFonts w:cstheme="minorHAnsi"/>
                <w:color w:val="000000" w:themeColor="text1"/>
                <w:sz w:val="20"/>
                <w:szCs w:val="20"/>
              </w:rPr>
              <w:t>(SD))</w:t>
            </w:r>
          </w:p>
        </w:tc>
        <w:tc>
          <w:tcPr>
            <w:tcW w:w="2304" w:type="dxa"/>
          </w:tcPr>
          <w:p w14:paraId="5E653260" w14:textId="3911E3E6"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Week 6 (Mean</w:t>
            </w:r>
            <w:r w:rsidR="008809FE" w:rsidRPr="00CA4ABC">
              <w:rPr>
                <w:rFonts w:cstheme="minorHAnsi"/>
                <w:color w:val="000000" w:themeColor="text1"/>
                <w:sz w:val="20"/>
                <w:szCs w:val="20"/>
              </w:rPr>
              <w:t xml:space="preserve"> </w:t>
            </w:r>
            <w:r w:rsidRPr="00CA4ABC">
              <w:rPr>
                <w:rFonts w:cstheme="minorHAnsi"/>
                <w:color w:val="000000" w:themeColor="text1"/>
                <w:sz w:val="20"/>
                <w:szCs w:val="20"/>
              </w:rPr>
              <w:t>(SD))</w:t>
            </w:r>
          </w:p>
        </w:tc>
        <w:tc>
          <w:tcPr>
            <w:tcW w:w="2304" w:type="dxa"/>
          </w:tcPr>
          <w:p w14:paraId="6B4A7852" w14:textId="1D6843AD"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Repeated measures ANOVA</w:t>
            </w:r>
            <w:r w:rsidR="008809FE" w:rsidRPr="00CA4ABC">
              <w:rPr>
                <w:rFonts w:cstheme="minorHAnsi"/>
                <w:color w:val="000000"/>
                <w:sz w:val="22"/>
                <w:szCs w:val="22"/>
              </w:rPr>
              <w:t>Ɨ</w:t>
            </w:r>
            <w:r w:rsidRPr="00CA4ABC">
              <w:rPr>
                <w:rFonts w:cstheme="minorHAnsi"/>
                <w:color w:val="000000" w:themeColor="text1"/>
                <w:sz w:val="20"/>
                <w:szCs w:val="20"/>
              </w:rPr>
              <w:t xml:space="preserve"> (p value)</w:t>
            </w:r>
          </w:p>
        </w:tc>
      </w:tr>
      <w:tr w:rsidR="004053D7" w:rsidRPr="00CA4ABC" w14:paraId="77071340" w14:textId="77777777" w:rsidTr="009E173A">
        <w:trPr>
          <w:trHeight w:val="340"/>
        </w:trPr>
        <w:tc>
          <w:tcPr>
            <w:tcW w:w="2304" w:type="dxa"/>
          </w:tcPr>
          <w:p w14:paraId="714081EF"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Weight</w:t>
            </w:r>
          </w:p>
        </w:tc>
        <w:tc>
          <w:tcPr>
            <w:tcW w:w="2304" w:type="dxa"/>
          </w:tcPr>
          <w:p w14:paraId="52C5B4B2"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73.4 (9.3)</w:t>
            </w:r>
          </w:p>
        </w:tc>
        <w:tc>
          <w:tcPr>
            <w:tcW w:w="2304" w:type="dxa"/>
          </w:tcPr>
          <w:p w14:paraId="05B1E8B5"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w:t>
            </w:r>
          </w:p>
        </w:tc>
        <w:tc>
          <w:tcPr>
            <w:tcW w:w="2304" w:type="dxa"/>
          </w:tcPr>
          <w:p w14:paraId="15392BA4"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72.9 (10.5)</w:t>
            </w:r>
          </w:p>
        </w:tc>
        <w:tc>
          <w:tcPr>
            <w:tcW w:w="2304" w:type="dxa"/>
          </w:tcPr>
          <w:p w14:paraId="4D4BFBC8"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 0.510 (0.621)</w:t>
            </w:r>
          </w:p>
        </w:tc>
      </w:tr>
      <w:tr w:rsidR="004053D7" w:rsidRPr="00CA4ABC" w14:paraId="708B199F" w14:textId="77777777" w:rsidTr="009E173A">
        <w:trPr>
          <w:trHeight w:val="340"/>
        </w:trPr>
        <w:tc>
          <w:tcPr>
            <w:tcW w:w="2304" w:type="dxa"/>
          </w:tcPr>
          <w:p w14:paraId="657A7828"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BMI</w:t>
            </w:r>
          </w:p>
        </w:tc>
        <w:tc>
          <w:tcPr>
            <w:tcW w:w="2304" w:type="dxa"/>
          </w:tcPr>
          <w:p w14:paraId="266084C1"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26.2 (2.2)</w:t>
            </w:r>
          </w:p>
        </w:tc>
        <w:tc>
          <w:tcPr>
            <w:tcW w:w="2304" w:type="dxa"/>
          </w:tcPr>
          <w:p w14:paraId="5FD19B01"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w:t>
            </w:r>
          </w:p>
        </w:tc>
        <w:tc>
          <w:tcPr>
            <w:tcW w:w="2304" w:type="dxa"/>
          </w:tcPr>
          <w:p w14:paraId="07346CBA"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26.0 (2.6)</w:t>
            </w:r>
          </w:p>
        </w:tc>
        <w:tc>
          <w:tcPr>
            <w:tcW w:w="2304" w:type="dxa"/>
          </w:tcPr>
          <w:p w14:paraId="013BDC9D"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 0.546 (0.597)</w:t>
            </w:r>
          </w:p>
        </w:tc>
      </w:tr>
      <w:tr w:rsidR="004053D7" w:rsidRPr="00CA4ABC" w14:paraId="69968F2A" w14:textId="77777777" w:rsidTr="009E173A">
        <w:trPr>
          <w:trHeight w:val="340"/>
        </w:trPr>
        <w:tc>
          <w:tcPr>
            <w:tcW w:w="2304" w:type="dxa"/>
          </w:tcPr>
          <w:p w14:paraId="2362D782" w14:textId="3D0B3681"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Protein (g</w:t>
            </w:r>
            <w:r w:rsidR="004B57B7" w:rsidRPr="00CA4ABC">
              <w:rPr>
                <w:rFonts w:cstheme="minorHAnsi"/>
                <w:color w:val="000000" w:themeColor="text1"/>
                <w:sz w:val="20"/>
                <w:szCs w:val="20"/>
              </w:rPr>
              <w:t>/d</w:t>
            </w:r>
            <w:r w:rsidRPr="00CA4ABC">
              <w:rPr>
                <w:rFonts w:cstheme="minorHAnsi"/>
                <w:color w:val="000000" w:themeColor="text1"/>
                <w:sz w:val="20"/>
                <w:szCs w:val="20"/>
              </w:rPr>
              <w:t>)</w:t>
            </w:r>
          </w:p>
        </w:tc>
        <w:tc>
          <w:tcPr>
            <w:tcW w:w="2304" w:type="dxa"/>
          </w:tcPr>
          <w:p w14:paraId="21F26714"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79.9 (29.6)</w:t>
            </w:r>
          </w:p>
        </w:tc>
        <w:tc>
          <w:tcPr>
            <w:tcW w:w="2304" w:type="dxa"/>
          </w:tcPr>
          <w:p w14:paraId="6B691D5D"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78.2 (29.3)</w:t>
            </w:r>
          </w:p>
        </w:tc>
        <w:tc>
          <w:tcPr>
            <w:tcW w:w="2304" w:type="dxa"/>
          </w:tcPr>
          <w:p w14:paraId="3A987458"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65.4 (15.9)</w:t>
            </w:r>
          </w:p>
        </w:tc>
        <w:tc>
          <w:tcPr>
            <w:tcW w:w="2304" w:type="dxa"/>
          </w:tcPr>
          <w:p w14:paraId="05B41BAE"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0.764 (0.390)</w:t>
            </w:r>
          </w:p>
        </w:tc>
      </w:tr>
      <w:tr w:rsidR="004053D7" w:rsidRPr="00CA4ABC" w14:paraId="05895900" w14:textId="77777777" w:rsidTr="009E173A">
        <w:trPr>
          <w:trHeight w:val="340"/>
        </w:trPr>
        <w:tc>
          <w:tcPr>
            <w:tcW w:w="2304" w:type="dxa"/>
          </w:tcPr>
          <w:p w14:paraId="4FFF3DDC" w14:textId="3BD9413E"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Protein + supplement(s) (g</w:t>
            </w:r>
            <w:r w:rsidR="004B57B7" w:rsidRPr="00CA4ABC">
              <w:rPr>
                <w:rFonts w:cstheme="minorHAnsi"/>
                <w:color w:val="000000" w:themeColor="text1"/>
                <w:sz w:val="20"/>
                <w:szCs w:val="20"/>
              </w:rPr>
              <w:t>/d</w:t>
            </w:r>
            <w:r w:rsidRPr="00CA4ABC">
              <w:rPr>
                <w:rFonts w:cstheme="minorHAnsi"/>
                <w:color w:val="000000" w:themeColor="text1"/>
                <w:sz w:val="20"/>
                <w:szCs w:val="20"/>
              </w:rPr>
              <w:t>)</w:t>
            </w:r>
          </w:p>
        </w:tc>
        <w:tc>
          <w:tcPr>
            <w:tcW w:w="2304" w:type="dxa"/>
          </w:tcPr>
          <w:p w14:paraId="0DF50794"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79.9 (29.6)</w:t>
            </w:r>
          </w:p>
        </w:tc>
        <w:tc>
          <w:tcPr>
            <w:tcW w:w="2304" w:type="dxa"/>
          </w:tcPr>
          <w:p w14:paraId="0C306667"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94.8 (34.3)</w:t>
            </w:r>
          </w:p>
        </w:tc>
        <w:tc>
          <w:tcPr>
            <w:tcW w:w="2304" w:type="dxa"/>
          </w:tcPr>
          <w:p w14:paraId="37D52249"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82.0 (23.2)</w:t>
            </w:r>
          </w:p>
        </w:tc>
        <w:tc>
          <w:tcPr>
            <w:tcW w:w="2304" w:type="dxa"/>
          </w:tcPr>
          <w:p w14:paraId="06910C16"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0.719 (0.315)</w:t>
            </w:r>
          </w:p>
        </w:tc>
      </w:tr>
      <w:tr w:rsidR="004053D7" w:rsidRPr="00CA4ABC" w14:paraId="5CDBCEEB" w14:textId="77777777" w:rsidTr="009E173A">
        <w:trPr>
          <w:trHeight w:val="340"/>
        </w:trPr>
        <w:tc>
          <w:tcPr>
            <w:tcW w:w="2304" w:type="dxa"/>
          </w:tcPr>
          <w:p w14:paraId="0128008A"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Protein (g/kg BM)</w:t>
            </w:r>
          </w:p>
        </w:tc>
        <w:tc>
          <w:tcPr>
            <w:tcW w:w="2304" w:type="dxa"/>
          </w:tcPr>
          <w:p w14:paraId="76A94FB3"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1.08 (0.34)</w:t>
            </w:r>
          </w:p>
        </w:tc>
        <w:tc>
          <w:tcPr>
            <w:tcW w:w="2304" w:type="dxa"/>
          </w:tcPr>
          <w:p w14:paraId="58636E41"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1.07 (0.39)</w:t>
            </w:r>
          </w:p>
        </w:tc>
        <w:tc>
          <w:tcPr>
            <w:tcW w:w="2304" w:type="dxa"/>
          </w:tcPr>
          <w:p w14:paraId="79898C1A"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0.90 (0.21)</w:t>
            </w:r>
          </w:p>
        </w:tc>
        <w:tc>
          <w:tcPr>
            <w:tcW w:w="2304" w:type="dxa"/>
          </w:tcPr>
          <w:p w14:paraId="2CD0AF24"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0.722 (0.320)</w:t>
            </w:r>
          </w:p>
        </w:tc>
      </w:tr>
      <w:tr w:rsidR="004053D7" w:rsidRPr="00CA4ABC" w14:paraId="76713A83" w14:textId="77777777" w:rsidTr="009E173A">
        <w:trPr>
          <w:trHeight w:val="340"/>
        </w:trPr>
        <w:tc>
          <w:tcPr>
            <w:tcW w:w="2304" w:type="dxa"/>
          </w:tcPr>
          <w:p w14:paraId="779DFB37"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Protein + supplement(s) (g/kg BM)</w:t>
            </w:r>
          </w:p>
        </w:tc>
        <w:tc>
          <w:tcPr>
            <w:tcW w:w="2304" w:type="dxa"/>
          </w:tcPr>
          <w:p w14:paraId="02BB51C3"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1.08 (0.34)</w:t>
            </w:r>
          </w:p>
        </w:tc>
        <w:tc>
          <w:tcPr>
            <w:tcW w:w="2304" w:type="dxa"/>
          </w:tcPr>
          <w:p w14:paraId="673C6527"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1.16 (0.57)</w:t>
            </w:r>
          </w:p>
        </w:tc>
        <w:tc>
          <w:tcPr>
            <w:tcW w:w="2304" w:type="dxa"/>
          </w:tcPr>
          <w:p w14:paraId="130175AB"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1.06 (0.34)</w:t>
            </w:r>
          </w:p>
        </w:tc>
        <w:tc>
          <w:tcPr>
            <w:tcW w:w="2304" w:type="dxa"/>
          </w:tcPr>
          <w:p w14:paraId="3A0BEC33"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0.939 (0.779)</w:t>
            </w:r>
          </w:p>
        </w:tc>
      </w:tr>
      <w:tr w:rsidR="004053D7" w:rsidRPr="00CA4ABC" w14:paraId="7099EBEF" w14:textId="77777777" w:rsidTr="009E173A">
        <w:trPr>
          <w:trHeight w:val="340"/>
        </w:trPr>
        <w:tc>
          <w:tcPr>
            <w:tcW w:w="2304" w:type="dxa"/>
          </w:tcPr>
          <w:p w14:paraId="70DEB98F" w14:textId="6C09BAA3"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Fat</w:t>
            </w:r>
            <w:r w:rsidR="004B57B7" w:rsidRPr="00CA4ABC">
              <w:rPr>
                <w:rFonts w:cstheme="minorHAnsi"/>
                <w:color w:val="000000" w:themeColor="text1"/>
                <w:sz w:val="20"/>
                <w:szCs w:val="20"/>
              </w:rPr>
              <w:t xml:space="preserve"> (g/d)</w:t>
            </w:r>
          </w:p>
        </w:tc>
        <w:tc>
          <w:tcPr>
            <w:tcW w:w="2304" w:type="dxa"/>
          </w:tcPr>
          <w:p w14:paraId="2B819A76"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70.0 (27.7)</w:t>
            </w:r>
          </w:p>
        </w:tc>
        <w:tc>
          <w:tcPr>
            <w:tcW w:w="2304" w:type="dxa"/>
          </w:tcPr>
          <w:p w14:paraId="260F6FEB"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77.13 (33.6)</w:t>
            </w:r>
          </w:p>
        </w:tc>
        <w:tc>
          <w:tcPr>
            <w:tcW w:w="2304" w:type="dxa"/>
          </w:tcPr>
          <w:p w14:paraId="3945560D"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75.1 (37.8)</w:t>
            </w:r>
          </w:p>
        </w:tc>
        <w:tc>
          <w:tcPr>
            <w:tcW w:w="2304" w:type="dxa"/>
          </w:tcPr>
          <w:p w14:paraId="3402F5BC"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0.977 (0.923)</w:t>
            </w:r>
          </w:p>
        </w:tc>
      </w:tr>
      <w:tr w:rsidR="004053D7" w:rsidRPr="00CA4ABC" w14:paraId="6A0D89F6" w14:textId="77777777" w:rsidTr="009E173A">
        <w:trPr>
          <w:trHeight w:val="340"/>
        </w:trPr>
        <w:tc>
          <w:tcPr>
            <w:tcW w:w="2304" w:type="dxa"/>
          </w:tcPr>
          <w:p w14:paraId="5BFD2A55" w14:textId="49C22CB1"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Carbohydrate</w:t>
            </w:r>
            <w:r w:rsidR="004B57B7" w:rsidRPr="00CA4ABC">
              <w:rPr>
                <w:rFonts w:cstheme="minorHAnsi"/>
                <w:color w:val="000000" w:themeColor="text1"/>
                <w:sz w:val="20"/>
                <w:szCs w:val="20"/>
              </w:rPr>
              <w:t xml:space="preserve"> (g/d)</w:t>
            </w:r>
          </w:p>
        </w:tc>
        <w:tc>
          <w:tcPr>
            <w:tcW w:w="2304" w:type="dxa"/>
          </w:tcPr>
          <w:p w14:paraId="1A4DD81F"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216.7 (76.4)</w:t>
            </w:r>
          </w:p>
        </w:tc>
        <w:tc>
          <w:tcPr>
            <w:tcW w:w="2304" w:type="dxa"/>
          </w:tcPr>
          <w:p w14:paraId="3768DD8D"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185.4 (61.2)</w:t>
            </w:r>
          </w:p>
        </w:tc>
        <w:tc>
          <w:tcPr>
            <w:tcW w:w="2304" w:type="dxa"/>
          </w:tcPr>
          <w:p w14:paraId="4D083E38"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213.7 (70.4)</w:t>
            </w:r>
          </w:p>
        </w:tc>
        <w:tc>
          <w:tcPr>
            <w:tcW w:w="2304" w:type="dxa"/>
          </w:tcPr>
          <w:p w14:paraId="5047B592"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0.880 (0.639)</w:t>
            </w:r>
          </w:p>
        </w:tc>
      </w:tr>
      <w:tr w:rsidR="004053D7" w:rsidRPr="00CA4ABC" w14:paraId="06ED0E43" w14:textId="77777777" w:rsidTr="009E173A">
        <w:trPr>
          <w:trHeight w:val="340"/>
        </w:trPr>
        <w:tc>
          <w:tcPr>
            <w:tcW w:w="2304" w:type="dxa"/>
          </w:tcPr>
          <w:p w14:paraId="2472A019"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Energy (kJ)</w:t>
            </w:r>
          </w:p>
        </w:tc>
        <w:tc>
          <w:tcPr>
            <w:tcW w:w="2304" w:type="dxa"/>
          </w:tcPr>
          <w:p w14:paraId="5C74B0FA"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7117.1 (2127.4)</w:t>
            </w:r>
          </w:p>
        </w:tc>
        <w:tc>
          <w:tcPr>
            <w:tcW w:w="2304" w:type="dxa"/>
          </w:tcPr>
          <w:p w14:paraId="03B6551E"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7260.1 (2414.8)</w:t>
            </w:r>
          </w:p>
        </w:tc>
        <w:tc>
          <w:tcPr>
            <w:tcW w:w="2304" w:type="dxa"/>
          </w:tcPr>
          <w:p w14:paraId="04EC21C4"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6687.8 (2726.3)</w:t>
            </w:r>
          </w:p>
        </w:tc>
        <w:tc>
          <w:tcPr>
            <w:tcW w:w="2304" w:type="dxa"/>
          </w:tcPr>
          <w:p w14:paraId="71D802B7" w14:textId="77777777" w:rsidR="004C12CF" w:rsidRPr="00CA4ABC" w:rsidRDefault="004C12CF" w:rsidP="00357DD3">
            <w:pPr>
              <w:rPr>
                <w:rFonts w:cstheme="minorHAnsi"/>
                <w:color w:val="000000" w:themeColor="text1"/>
                <w:sz w:val="20"/>
                <w:szCs w:val="20"/>
              </w:rPr>
            </w:pPr>
            <w:r w:rsidRPr="00CA4ABC">
              <w:rPr>
                <w:rFonts w:cstheme="minorHAnsi"/>
                <w:color w:val="000000" w:themeColor="text1"/>
                <w:sz w:val="20"/>
                <w:szCs w:val="20"/>
              </w:rPr>
              <w:t>0.976 (0.918)</w:t>
            </w:r>
          </w:p>
        </w:tc>
      </w:tr>
    </w:tbl>
    <w:p w14:paraId="4F48C37B" w14:textId="77777777" w:rsidR="004C12CF" w:rsidRPr="00CA4ABC" w:rsidRDefault="004C12CF" w:rsidP="00357DD3">
      <w:pPr>
        <w:rPr>
          <w:rFonts w:cstheme="minorHAnsi"/>
          <w:color w:val="000000" w:themeColor="text1"/>
        </w:rPr>
      </w:pPr>
    </w:p>
    <w:p w14:paraId="358026CB" w14:textId="15D50275" w:rsidR="004C12CF" w:rsidRPr="00323872" w:rsidRDefault="004C12CF" w:rsidP="004053D7">
      <w:pPr>
        <w:pStyle w:val="Caption"/>
        <w:spacing w:line="360" w:lineRule="auto"/>
        <w:rPr>
          <w:rFonts w:cstheme="minorHAnsi"/>
          <w:i w:val="0"/>
          <w:iCs w:val="0"/>
          <w:color w:val="000000" w:themeColor="text1"/>
          <w:sz w:val="24"/>
          <w:szCs w:val="24"/>
        </w:rPr>
      </w:pPr>
      <w:bookmarkStart w:id="329" w:name="_Ref122447447"/>
      <w:bookmarkStart w:id="330" w:name="_Toc122956590"/>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26</w:t>
      </w:r>
      <w:r w:rsidRPr="00323872">
        <w:rPr>
          <w:rFonts w:cstheme="minorHAnsi"/>
          <w:i w:val="0"/>
          <w:iCs w:val="0"/>
          <w:color w:val="000000" w:themeColor="text1"/>
          <w:sz w:val="24"/>
          <w:szCs w:val="24"/>
        </w:rPr>
        <w:fldChar w:fldCharType="end"/>
      </w:r>
      <w:bookmarkEnd w:id="329"/>
      <w:r w:rsidR="00323872" w:rsidRPr="00323872">
        <w:rPr>
          <w:rFonts w:cstheme="minorHAnsi"/>
          <w:i w:val="0"/>
          <w:iCs w:val="0"/>
          <w:color w:val="000000" w:themeColor="text1"/>
          <w:sz w:val="24"/>
          <w:szCs w:val="24"/>
        </w:rPr>
        <w:t xml:space="preserve">. </w:t>
      </w:r>
      <w:r w:rsidRPr="00323872">
        <w:rPr>
          <w:rFonts w:cstheme="minorHAnsi"/>
          <w:i w:val="0"/>
          <w:iCs w:val="0"/>
          <w:color w:val="000000" w:themeColor="text1"/>
          <w:sz w:val="24"/>
          <w:szCs w:val="24"/>
        </w:rPr>
        <w:t xml:space="preserve">Average (mean (SD)) protein, fat, carbohydrate and energy intakes of all participants at week 0, week 3 and week 6 of the trial. </w:t>
      </w:r>
      <w:r w:rsidR="008809FE" w:rsidRPr="00323872">
        <w:rPr>
          <w:rFonts w:cstheme="minorHAnsi"/>
          <w:i w:val="0"/>
          <w:iCs w:val="0"/>
          <w:color w:val="000000"/>
          <w:sz w:val="22"/>
          <w:szCs w:val="22"/>
        </w:rPr>
        <w:t>Ɨ</w:t>
      </w:r>
      <w:r w:rsidRPr="00323872">
        <w:rPr>
          <w:rFonts w:cstheme="minorHAnsi"/>
          <w:i w:val="0"/>
          <w:iCs w:val="0"/>
          <w:color w:val="000000" w:themeColor="text1"/>
          <w:sz w:val="24"/>
          <w:szCs w:val="24"/>
        </w:rPr>
        <w:t>Wilks’ Lambda; # paired t-test</w:t>
      </w:r>
      <w:bookmarkEnd w:id="330"/>
    </w:p>
    <w:p w14:paraId="105CFCCF" w14:textId="77777777" w:rsidR="004C12CF" w:rsidRPr="00CA4ABC" w:rsidRDefault="004C12CF" w:rsidP="004053D7">
      <w:pPr>
        <w:spacing w:line="360" w:lineRule="auto"/>
        <w:rPr>
          <w:rFonts w:cstheme="minorHAnsi"/>
          <w:color w:val="000000" w:themeColor="text1"/>
        </w:rPr>
      </w:pPr>
    </w:p>
    <w:p w14:paraId="5A5B5A7A" w14:textId="77777777" w:rsidR="004C12CF" w:rsidRPr="00CA4ABC" w:rsidRDefault="004C12CF" w:rsidP="004053D7">
      <w:pPr>
        <w:spacing w:line="360" w:lineRule="auto"/>
        <w:rPr>
          <w:rFonts w:cstheme="minorHAnsi"/>
          <w:color w:val="000000" w:themeColor="text1"/>
        </w:rPr>
      </w:pPr>
    </w:p>
    <w:p w14:paraId="7DAAECE2" w14:textId="77777777" w:rsidR="004C12CF" w:rsidRPr="00CA4ABC" w:rsidRDefault="004C12CF" w:rsidP="004053D7">
      <w:pPr>
        <w:spacing w:line="360" w:lineRule="auto"/>
        <w:rPr>
          <w:rFonts w:cstheme="minorHAnsi"/>
          <w:color w:val="000000" w:themeColor="text1"/>
        </w:rPr>
      </w:pPr>
      <w:r w:rsidRPr="00CA4ABC">
        <w:rPr>
          <w:rFonts w:cstheme="minorHAnsi"/>
          <w:noProof/>
          <w:color w:val="000000" w:themeColor="text1"/>
        </w:rPr>
        <w:lastRenderedPageBreak/>
        <mc:AlternateContent>
          <mc:Choice Requires="wps">
            <w:drawing>
              <wp:anchor distT="0" distB="0" distL="114300" distR="114300" simplePos="0" relativeHeight="251672576" behindDoc="0" locked="0" layoutInCell="1" allowOverlap="1" wp14:anchorId="193DD4D6" wp14:editId="75A6DB81">
                <wp:simplePos x="0" y="0"/>
                <wp:positionH relativeFrom="column">
                  <wp:posOffset>5171440</wp:posOffset>
                </wp:positionH>
                <wp:positionV relativeFrom="paragraph">
                  <wp:posOffset>3068320</wp:posOffset>
                </wp:positionV>
                <wp:extent cx="535940" cy="23368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535940" cy="233680"/>
                        </a:xfrm>
                        <a:prstGeom prst="rect">
                          <a:avLst/>
                        </a:prstGeom>
                        <a:solidFill>
                          <a:schemeClr val="lt1"/>
                        </a:solidFill>
                        <a:ln w="6350">
                          <a:noFill/>
                        </a:ln>
                      </wps:spPr>
                      <wps:txbx>
                        <w:txbxContent>
                          <w:p w14:paraId="6B26D152" w14:textId="77777777" w:rsidR="004C12CF" w:rsidRPr="004C539F" w:rsidRDefault="004C12CF" w:rsidP="004C12CF">
                            <w:pPr>
                              <w:rPr>
                                <w:rFonts w:cstheme="minorHAnsi"/>
                                <w:sz w:val="16"/>
                                <w:szCs w:val="16"/>
                              </w:rPr>
                            </w:pPr>
                            <w:r w:rsidRPr="004C539F">
                              <w:rPr>
                                <w:rFonts w:cstheme="minorHAnsi"/>
                                <w:sz w:val="16"/>
                                <w:szCs w:val="16"/>
                              </w:rPr>
                              <w:t xml:space="preserve">Week </w:t>
                            </w:r>
                            <w:r>
                              <w:rPr>
                                <w:rFonts w:cstheme="minorHAnsi"/>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DD4D6" id="Text Box 70" o:spid="_x0000_s1029" type="#_x0000_t202" style="position:absolute;margin-left:407.2pt;margin-top:241.6pt;width:42.2pt;height:18.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" fillcolor="white [3201]" stroked="f" strokeweight=".5pt">
                <v:textbox>
                  <w:txbxContent>
                    <w:p w14:paraId="6B26D152" w14:textId="77777777" w:rsidR="004C12CF" w:rsidRPr="004C539F" w:rsidRDefault="004C12CF" w:rsidP="004C12CF">
                      <w:pPr>
                        <w:rPr>
                          <w:rFonts w:cstheme="minorHAnsi"/>
                          <w:sz w:val="16"/>
                          <w:szCs w:val="16"/>
                        </w:rPr>
                      </w:pPr>
                      <w:r w:rsidRPr="004C539F">
                        <w:rPr>
                          <w:rFonts w:cstheme="minorHAnsi"/>
                          <w:sz w:val="16"/>
                          <w:szCs w:val="16"/>
                        </w:rPr>
                        <w:t xml:space="preserve">Week </w:t>
                      </w:r>
                      <w:r>
                        <w:rPr>
                          <w:rFonts w:cstheme="minorHAnsi"/>
                          <w:sz w:val="16"/>
                          <w:szCs w:val="16"/>
                        </w:rPr>
                        <w:t>6</w:t>
                      </w:r>
                    </w:p>
                  </w:txbxContent>
                </v:textbox>
              </v:shape>
            </w:pict>
          </mc:Fallback>
        </mc:AlternateContent>
      </w:r>
      <w:r w:rsidRPr="00CA4ABC">
        <w:rPr>
          <w:rFonts w:cstheme="minorHAnsi"/>
          <w:noProof/>
          <w:color w:val="000000" w:themeColor="text1"/>
        </w:rPr>
        <mc:AlternateContent>
          <mc:Choice Requires="wps">
            <w:drawing>
              <wp:anchor distT="0" distB="0" distL="114300" distR="114300" simplePos="0" relativeHeight="251664384" behindDoc="0" locked="0" layoutInCell="1" allowOverlap="1" wp14:anchorId="4236200F" wp14:editId="3202B69F">
                <wp:simplePos x="0" y="0"/>
                <wp:positionH relativeFrom="column">
                  <wp:posOffset>447040</wp:posOffset>
                </wp:positionH>
                <wp:positionV relativeFrom="paragraph">
                  <wp:posOffset>3068320</wp:posOffset>
                </wp:positionV>
                <wp:extent cx="538480" cy="25400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538480" cy="254000"/>
                        </a:xfrm>
                        <a:prstGeom prst="rect">
                          <a:avLst/>
                        </a:prstGeom>
                        <a:solidFill>
                          <a:schemeClr val="lt1"/>
                        </a:solidFill>
                        <a:ln w="6350">
                          <a:noFill/>
                        </a:ln>
                      </wps:spPr>
                      <wps:txbx>
                        <w:txbxContent>
                          <w:p w14:paraId="6D27BE35" w14:textId="77777777" w:rsidR="004C12CF" w:rsidRPr="004C539F" w:rsidRDefault="004C12CF" w:rsidP="004C12CF">
                            <w:pPr>
                              <w:rPr>
                                <w:rFonts w:cstheme="minorHAnsi"/>
                                <w:sz w:val="16"/>
                                <w:szCs w:val="16"/>
                              </w:rPr>
                            </w:pPr>
                            <w:r w:rsidRPr="004C539F">
                              <w:rPr>
                                <w:rFonts w:cstheme="minorHAnsi"/>
                                <w:sz w:val="16"/>
                                <w:szCs w:val="16"/>
                              </w:rPr>
                              <w:t>Week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6200F" id="Text Box 71" o:spid="_x0000_s1030" type="#_x0000_t202" style="position:absolute;margin-left:35.2pt;margin-top:241.6pt;width:42.4pt;height:2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" fillcolor="white [3201]" stroked="f" strokeweight=".5pt">
                <v:textbox>
                  <w:txbxContent>
                    <w:p w14:paraId="6D27BE35" w14:textId="77777777" w:rsidR="004C12CF" w:rsidRPr="004C539F" w:rsidRDefault="004C12CF" w:rsidP="004C12CF">
                      <w:pPr>
                        <w:rPr>
                          <w:rFonts w:cstheme="minorHAnsi"/>
                          <w:sz w:val="16"/>
                          <w:szCs w:val="16"/>
                        </w:rPr>
                      </w:pPr>
                      <w:r w:rsidRPr="004C539F">
                        <w:rPr>
                          <w:rFonts w:cstheme="minorHAnsi"/>
                          <w:sz w:val="16"/>
                          <w:szCs w:val="16"/>
                        </w:rPr>
                        <w:t>Week 0</w:t>
                      </w:r>
                    </w:p>
                  </w:txbxContent>
                </v:textbox>
              </v:shape>
            </w:pict>
          </mc:Fallback>
        </mc:AlternateContent>
      </w:r>
      <w:r w:rsidRPr="00CA4ABC">
        <w:rPr>
          <w:rFonts w:cstheme="minorHAnsi"/>
          <w:noProof/>
          <w:color w:val="000000" w:themeColor="text1"/>
        </w:rPr>
        <mc:AlternateContent>
          <mc:Choice Requires="wps">
            <w:drawing>
              <wp:anchor distT="0" distB="0" distL="114300" distR="114300" simplePos="0" relativeHeight="251668480" behindDoc="0" locked="0" layoutInCell="1" allowOverlap="1" wp14:anchorId="007191A9" wp14:editId="2D24BE57">
                <wp:simplePos x="0" y="0"/>
                <wp:positionH relativeFrom="column">
                  <wp:posOffset>2834640</wp:posOffset>
                </wp:positionH>
                <wp:positionV relativeFrom="paragraph">
                  <wp:posOffset>3068320</wp:posOffset>
                </wp:positionV>
                <wp:extent cx="538480" cy="23368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538480" cy="233680"/>
                        </a:xfrm>
                        <a:prstGeom prst="rect">
                          <a:avLst/>
                        </a:prstGeom>
                        <a:solidFill>
                          <a:schemeClr val="lt1"/>
                        </a:solidFill>
                        <a:ln w="6350">
                          <a:noFill/>
                        </a:ln>
                      </wps:spPr>
                      <wps:txbx>
                        <w:txbxContent>
                          <w:p w14:paraId="590E8B4A" w14:textId="77777777" w:rsidR="004C12CF" w:rsidRPr="004C539F" w:rsidRDefault="004C12CF" w:rsidP="004C12CF">
                            <w:pPr>
                              <w:rPr>
                                <w:rFonts w:cstheme="minorHAnsi"/>
                                <w:sz w:val="16"/>
                                <w:szCs w:val="16"/>
                              </w:rPr>
                            </w:pPr>
                            <w:r w:rsidRPr="004C539F">
                              <w:rPr>
                                <w:rFonts w:cstheme="minorHAnsi"/>
                                <w:sz w:val="16"/>
                                <w:szCs w:val="16"/>
                              </w:rPr>
                              <w:t xml:space="preserve">Week </w:t>
                            </w:r>
                            <w:r>
                              <w:rPr>
                                <w:rFonts w:cstheme="minorHAnsi"/>
                                <w:sz w:val="16"/>
                                <w:szCs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191A9" id="Text Box 72" o:spid="_x0000_s1031" type="#_x0000_t202" style="position:absolute;margin-left:223.2pt;margin-top:241.6pt;width:42.4pt;height:18.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" fillcolor="white [3201]" stroked="f" strokeweight=".5pt">
                <v:textbox>
                  <w:txbxContent>
                    <w:p w14:paraId="590E8B4A" w14:textId="77777777" w:rsidR="004C12CF" w:rsidRPr="004C539F" w:rsidRDefault="004C12CF" w:rsidP="004C12CF">
                      <w:pPr>
                        <w:rPr>
                          <w:rFonts w:cstheme="minorHAnsi"/>
                          <w:sz w:val="16"/>
                          <w:szCs w:val="16"/>
                        </w:rPr>
                      </w:pPr>
                      <w:r w:rsidRPr="004C539F">
                        <w:rPr>
                          <w:rFonts w:cstheme="minorHAnsi"/>
                          <w:sz w:val="16"/>
                          <w:szCs w:val="16"/>
                        </w:rPr>
                        <w:t xml:space="preserve">Week </w:t>
                      </w:r>
                      <w:r>
                        <w:rPr>
                          <w:rFonts w:cstheme="minorHAnsi"/>
                          <w:sz w:val="16"/>
                          <w:szCs w:val="16"/>
                        </w:rPr>
                        <w:t>3</w:t>
                      </w:r>
                    </w:p>
                  </w:txbxContent>
                </v:textbox>
              </v:shape>
            </w:pict>
          </mc:Fallback>
        </mc:AlternateContent>
      </w:r>
      <w:r w:rsidRPr="00CA4ABC">
        <w:rPr>
          <w:rFonts w:cstheme="minorHAnsi"/>
          <w:noProof/>
          <w:color w:val="000000" w:themeColor="text1"/>
        </w:rPr>
        <w:drawing>
          <wp:inline distT="0" distB="0" distL="0" distR="0" wp14:anchorId="7DB57CB3" wp14:editId="4A54B4D1">
            <wp:extent cx="5727700" cy="4038600"/>
            <wp:effectExtent l="0" t="0" r="12700" b="12700"/>
            <wp:docPr id="77" name="Chart 77">
              <a:extLst xmlns:a="http://schemas.openxmlformats.org/drawingml/2006/main">
                <a:ext uri="{FF2B5EF4-FFF2-40B4-BE49-F238E27FC236}">
                  <a16:creationId xmlns:a16="http://schemas.microsoft.com/office/drawing/2014/main" id="{6B206DE4-AB24-FB9D-E4A8-7F7580F868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14E8FE4" w14:textId="77777777" w:rsidR="004C12CF" w:rsidRPr="00CA4ABC" w:rsidRDefault="004C12CF" w:rsidP="004053D7">
      <w:pPr>
        <w:spacing w:line="360" w:lineRule="auto"/>
        <w:rPr>
          <w:rFonts w:cstheme="minorHAnsi"/>
          <w:color w:val="000000" w:themeColor="text1"/>
        </w:rPr>
      </w:pPr>
    </w:p>
    <w:p w14:paraId="3E5A7028" w14:textId="40B7A1DF" w:rsidR="008A066F" w:rsidRPr="00323872" w:rsidRDefault="004C12CF" w:rsidP="00357DD3">
      <w:pPr>
        <w:pStyle w:val="Caption"/>
        <w:spacing w:line="360" w:lineRule="auto"/>
        <w:rPr>
          <w:rFonts w:cstheme="minorHAnsi"/>
          <w:i w:val="0"/>
          <w:iCs w:val="0"/>
          <w:color w:val="000000" w:themeColor="text1"/>
          <w:sz w:val="24"/>
          <w:szCs w:val="24"/>
        </w:rPr>
        <w:sectPr w:rsidR="008A066F" w:rsidRPr="00323872" w:rsidSect="008A066F">
          <w:pgSz w:w="11900" w:h="16840"/>
          <w:pgMar w:top="1440" w:right="1440" w:bottom="1440" w:left="1440" w:header="708" w:footer="708" w:gutter="0"/>
          <w:cols w:space="708"/>
          <w:docGrid w:linePitch="360"/>
        </w:sectPr>
      </w:pPr>
      <w:bookmarkStart w:id="331" w:name="_Ref122447463"/>
      <w:bookmarkStart w:id="332" w:name="_Toc127044197"/>
      <w:bookmarkStart w:id="333" w:name="_Toc127978481"/>
      <w:r w:rsidRPr="00323872">
        <w:rPr>
          <w:rFonts w:cstheme="minorHAnsi"/>
          <w:i w:val="0"/>
          <w:iCs w:val="0"/>
          <w:color w:val="000000" w:themeColor="text1"/>
          <w:sz w:val="24"/>
          <w:szCs w:val="24"/>
        </w:rPr>
        <w:t xml:space="preserve">Figure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Figure \* ARABIC </w:instrText>
      </w:r>
      <w:r w:rsidRPr="00323872">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21</w:t>
      </w:r>
      <w:r w:rsidRPr="00323872">
        <w:rPr>
          <w:rFonts w:cstheme="minorHAnsi"/>
          <w:i w:val="0"/>
          <w:iCs w:val="0"/>
          <w:color w:val="000000" w:themeColor="text1"/>
          <w:sz w:val="24"/>
          <w:szCs w:val="24"/>
        </w:rPr>
        <w:fldChar w:fldCharType="end"/>
      </w:r>
      <w:bookmarkEnd w:id="331"/>
      <w:r w:rsidR="00323872" w:rsidRPr="00323872">
        <w:rPr>
          <w:rFonts w:cstheme="minorHAnsi"/>
          <w:i w:val="0"/>
          <w:iCs w:val="0"/>
          <w:color w:val="000000" w:themeColor="text1"/>
          <w:sz w:val="24"/>
          <w:szCs w:val="24"/>
        </w:rPr>
        <w:t>.</w:t>
      </w:r>
      <w:r w:rsidRPr="00323872">
        <w:rPr>
          <w:rFonts w:cstheme="minorHAnsi"/>
          <w:i w:val="0"/>
          <w:iCs w:val="0"/>
          <w:color w:val="000000" w:themeColor="text1"/>
          <w:sz w:val="24"/>
          <w:szCs w:val="24"/>
        </w:rPr>
        <w:t xml:space="preserve"> </w:t>
      </w:r>
      <w:r w:rsidR="00323872" w:rsidRPr="00323872">
        <w:rPr>
          <w:rFonts w:cstheme="minorHAnsi"/>
          <w:i w:val="0"/>
          <w:iCs w:val="0"/>
          <w:color w:val="000000" w:themeColor="text1"/>
          <w:sz w:val="24"/>
          <w:szCs w:val="24"/>
        </w:rPr>
        <w:t>P</w:t>
      </w:r>
      <w:r w:rsidRPr="00323872">
        <w:rPr>
          <w:rFonts w:cstheme="minorHAnsi"/>
          <w:i w:val="0"/>
          <w:iCs w:val="0"/>
          <w:color w:val="000000" w:themeColor="text1"/>
          <w:sz w:val="24"/>
          <w:szCs w:val="24"/>
        </w:rPr>
        <w:t>rotein intakes, dependent on condition, for each stage of the tria</w:t>
      </w:r>
      <w:r w:rsidR="008A066F" w:rsidRPr="00323872">
        <w:rPr>
          <w:rFonts w:cstheme="minorHAnsi"/>
          <w:i w:val="0"/>
          <w:iCs w:val="0"/>
          <w:color w:val="000000" w:themeColor="text1"/>
          <w:sz w:val="24"/>
          <w:szCs w:val="24"/>
        </w:rPr>
        <w:t>l.</w:t>
      </w:r>
      <w:bookmarkEnd w:id="332"/>
      <w:bookmarkEnd w:id="333"/>
    </w:p>
    <w:p w14:paraId="1900BA17" w14:textId="088320F7" w:rsidR="004C12CF" w:rsidRPr="00CA4ABC" w:rsidRDefault="007F5B0B" w:rsidP="007F5B0B">
      <w:pPr>
        <w:spacing w:line="360" w:lineRule="auto"/>
        <w:outlineLvl w:val="2"/>
        <w:rPr>
          <w:rFonts w:cstheme="minorHAnsi"/>
          <w:color w:val="000000" w:themeColor="text1"/>
        </w:rPr>
      </w:pPr>
      <w:bookmarkStart w:id="334" w:name="_Toc135384379"/>
      <w:r w:rsidRPr="00CA4ABC">
        <w:rPr>
          <w:rFonts w:cstheme="minorHAnsi"/>
          <w:color w:val="000000" w:themeColor="text1"/>
        </w:rPr>
        <w:lastRenderedPageBreak/>
        <w:t xml:space="preserve">5.3.4.2 </w:t>
      </w:r>
      <w:r w:rsidR="004C12CF" w:rsidRPr="00CA4ABC">
        <w:rPr>
          <w:rFonts w:cstheme="minorHAnsi"/>
          <w:color w:val="000000" w:themeColor="text1"/>
        </w:rPr>
        <w:t>Micronutrient data</w:t>
      </w:r>
      <w:bookmarkEnd w:id="334"/>
    </w:p>
    <w:tbl>
      <w:tblPr>
        <w:tblStyle w:val="TableGrid"/>
        <w:tblpPr w:leftFromText="180" w:rightFromText="180" w:vertAnchor="text" w:horzAnchor="margin" w:tblpXSpec="center" w:tblpY="913"/>
        <w:tblW w:w="14596" w:type="dxa"/>
        <w:tblLook w:val="04A0" w:firstRow="1" w:lastRow="0" w:firstColumn="1" w:lastColumn="0" w:noHBand="0" w:noVBand="1"/>
      </w:tblPr>
      <w:tblGrid>
        <w:gridCol w:w="2790"/>
        <w:gridCol w:w="2790"/>
        <w:gridCol w:w="2790"/>
        <w:gridCol w:w="2790"/>
        <w:gridCol w:w="3436"/>
      </w:tblGrid>
      <w:tr w:rsidR="00523D70" w:rsidRPr="00CA4ABC" w14:paraId="4EABEFDE" w14:textId="77777777" w:rsidTr="00523D70">
        <w:tc>
          <w:tcPr>
            <w:tcW w:w="2790" w:type="dxa"/>
            <w:vMerge w:val="restart"/>
          </w:tcPr>
          <w:p w14:paraId="19820CC9" w14:textId="77777777" w:rsidR="00523D70" w:rsidRPr="00CA4ABC" w:rsidRDefault="00523D70" w:rsidP="00523D70">
            <w:pPr>
              <w:jc w:val="center"/>
              <w:rPr>
                <w:rFonts w:eastAsia="Times New Roman" w:cstheme="minorHAnsi"/>
                <w:b/>
                <w:bCs/>
                <w:color w:val="000000" w:themeColor="text1"/>
                <w:sz w:val="20"/>
                <w:szCs w:val="20"/>
                <w:lang w:eastAsia="en-GB"/>
              </w:rPr>
            </w:pPr>
            <w:r w:rsidRPr="00CA4ABC">
              <w:rPr>
                <w:rFonts w:eastAsia="Times New Roman" w:cstheme="minorHAnsi"/>
                <w:b/>
                <w:bCs/>
                <w:color w:val="000000" w:themeColor="text1"/>
                <w:sz w:val="20"/>
                <w:szCs w:val="20"/>
                <w:lang w:eastAsia="en-GB"/>
              </w:rPr>
              <w:t>Micronutrient</w:t>
            </w:r>
          </w:p>
        </w:tc>
        <w:tc>
          <w:tcPr>
            <w:tcW w:w="8370" w:type="dxa"/>
            <w:gridSpan w:val="3"/>
          </w:tcPr>
          <w:p w14:paraId="2D312774" w14:textId="77777777" w:rsidR="00523D70" w:rsidRPr="00CA4ABC" w:rsidRDefault="00523D70" w:rsidP="00523D70">
            <w:pPr>
              <w:jc w:val="center"/>
              <w:rPr>
                <w:rFonts w:eastAsia="Times New Roman" w:cstheme="minorHAnsi"/>
                <w:b/>
                <w:bCs/>
                <w:color w:val="000000" w:themeColor="text1"/>
                <w:sz w:val="20"/>
                <w:szCs w:val="20"/>
                <w:lang w:eastAsia="en-GB"/>
              </w:rPr>
            </w:pPr>
            <w:r w:rsidRPr="00CA4ABC">
              <w:rPr>
                <w:rFonts w:eastAsia="Times New Roman" w:cstheme="minorHAnsi"/>
                <w:b/>
                <w:bCs/>
                <w:color w:val="000000" w:themeColor="text1"/>
                <w:sz w:val="20"/>
                <w:szCs w:val="20"/>
                <w:lang w:eastAsia="en-GB"/>
              </w:rPr>
              <w:t>Mean (SE)</w:t>
            </w:r>
          </w:p>
        </w:tc>
        <w:tc>
          <w:tcPr>
            <w:tcW w:w="3436" w:type="dxa"/>
            <w:vMerge w:val="restart"/>
          </w:tcPr>
          <w:p w14:paraId="51C35BF7" w14:textId="77777777" w:rsidR="00523D70" w:rsidRPr="00CA4ABC" w:rsidRDefault="00523D70" w:rsidP="00523D70">
            <w:pPr>
              <w:jc w:val="center"/>
              <w:rPr>
                <w:rFonts w:cstheme="minorHAnsi"/>
                <w:b/>
                <w:bCs/>
                <w:color w:val="000000" w:themeColor="text1"/>
                <w:sz w:val="20"/>
                <w:szCs w:val="20"/>
              </w:rPr>
            </w:pPr>
            <w:r w:rsidRPr="00CA4ABC">
              <w:rPr>
                <w:rFonts w:cstheme="minorHAnsi"/>
                <w:b/>
                <w:bCs/>
                <w:color w:val="000000" w:themeColor="text1"/>
                <w:sz w:val="20"/>
                <w:szCs w:val="20"/>
              </w:rPr>
              <w:t>Repeated measures ANOVA* (p value)</w:t>
            </w:r>
          </w:p>
        </w:tc>
      </w:tr>
      <w:tr w:rsidR="00523D70" w:rsidRPr="00CA4ABC" w14:paraId="723EC94C" w14:textId="77777777" w:rsidTr="00523D70">
        <w:tc>
          <w:tcPr>
            <w:tcW w:w="2790" w:type="dxa"/>
            <w:vMerge/>
          </w:tcPr>
          <w:p w14:paraId="351DE906" w14:textId="77777777" w:rsidR="00523D70" w:rsidRPr="00CA4ABC" w:rsidRDefault="00523D70" w:rsidP="00523D70">
            <w:pPr>
              <w:jc w:val="center"/>
              <w:rPr>
                <w:rFonts w:cstheme="minorHAnsi"/>
                <w:b/>
                <w:bCs/>
                <w:sz w:val="20"/>
                <w:szCs w:val="20"/>
              </w:rPr>
            </w:pPr>
          </w:p>
        </w:tc>
        <w:tc>
          <w:tcPr>
            <w:tcW w:w="2790" w:type="dxa"/>
          </w:tcPr>
          <w:p w14:paraId="578148B2" w14:textId="77777777" w:rsidR="00523D70" w:rsidRPr="00CA4ABC" w:rsidRDefault="00523D70" w:rsidP="00523D70">
            <w:pPr>
              <w:jc w:val="center"/>
              <w:rPr>
                <w:rFonts w:cstheme="minorHAnsi"/>
                <w:b/>
                <w:bCs/>
                <w:sz w:val="20"/>
                <w:szCs w:val="20"/>
              </w:rPr>
            </w:pPr>
            <w:r w:rsidRPr="00CA4ABC">
              <w:rPr>
                <w:rFonts w:eastAsia="Times New Roman" w:cstheme="minorHAnsi"/>
                <w:b/>
                <w:bCs/>
                <w:color w:val="000000" w:themeColor="text1"/>
                <w:sz w:val="20"/>
                <w:szCs w:val="20"/>
                <w:lang w:eastAsia="en-GB"/>
              </w:rPr>
              <w:t>Week 0</w:t>
            </w:r>
          </w:p>
        </w:tc>
        <w:tc>
          <w:tcPr>
            <w:tcW w:w="2790" w:type="dxa"/>
          </w:tcPr>
          <w:p w14:paraId="15CEB360" w14:textId="77777777" w:rsidR="00523D70" w:rsidRPr="00CA4ABC" w:rsidRDefault="00523D70" w:rsidP="00523D70">
            <w:pPr>
              <w:jc w:val="center"/>
              <w:rPr>
                <w:rFonts w:cstheme="minorHAnsi"/>
                <w:b/>
                <w:bCs/>
                <w:sz w:val="20"/>
                <w:szCs w:val="20"/>
              </w:rPr>
            </w:pPr>
            <w:r w:rsidRPr="00CA4ABC">
              <w:rPr>
                <w:rFonts w:eastAsia="Times New Roman" w:cstheme="minorHAnsi"/>
                <w:b/>
                <w:bCs/>
                <w:color w:val="000000" w:themeColor="text1"/>
                <w:sz w:val="20"/>
                <w:szCs w:val="20"/>
                <w:lang w:eastAsia="en-GB"/>
              </w:rPr>
              <w:t>Week 3</w:t>
            </w:r>
          </w:p>
        </w:tc>
        <w:tc>
          <w:tcPr>
            <w:tcW w:w="2790" w:type="dxa"/>
          </w:tcPr>
          <w:p w14:paraId="35C43421" w14:textId="77777777" w:rsidR="00523D70" w:rsidRPr="00CA4ABC" w:rsidRDefault="00523D70" w:rsidP="00523D70">
            <w:pPr>
              <w:jc w:val="center"/>
              <w:rPr>
                <w:rFonts w:cstheme="minorHAnsi"/>
                <w:b/>
                <w:bCs/>
                <w:sz w:val="20"/>
                <w:szCs w:val="20"/>
              </w:rPr>
            </w:pPr>
            <w:r w:rsidRPr="00CA4ABC">
              <w:rPr>
                <w:rFonts w:eastAsia="Times New Roman" w:cstheme="minorHAnsi"/>
                <w:b/>
                <w:bCs/>
                <w:color w:val="000000" w:themeColor="text1"/>
                <w:sz w:val="20"/>
                <w:szCs w:val="20"/>
                <w:lang w:eastAsia="en-GB"/>
              </w:rPr>
              <w:t>Week 6</w:t>
            </w:r>
          </w:p>
        </w:tc>
        <w:tc>
          <w:tcPr>
            <w:tcW w:w="3436" w:type="dxa"/>
            <w:vMerge/>
          </w:tcPr>
          <w:p w14:paraId="4310B00D" w14:textId="77777777" w:rsidR="00523D70" w:rsidRPr="00CA4ABC" w:rsidRDefault="00523D70" w:rsidP="00523D70">
            <w:pPr>
              <w:jc w:val="center"/>
              <w:rPr>
                <w:rFonts w:cstheme="minorHAnsi"/>
                <w:b/>
                <w:bCs/>
                <w:sz w:val="20"/>
                <w:szCs w:val="20"/>
              </w:rPr>
            </w:pPr>
          </w:p>
        </w:tc>
      </w:tr>
      <w:tr w:rsidR="00523D70" w:rsidRPr="00CA4ABC" w14:paraId="43121C83" w14:textId="77777777" w:rsidTr="00523D70">
        <w:tc>
          <w:tcPr>
            <w:tcW w:w="2790" w:type="dxa"/>
            <w:vAlign w:val="center"/>
          </w:tcPr>
          <w:p w14:paraId="6DBD5BF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Retinol (µg)</w:t>
            </w:r>
          </w:p>
        </w:tc>
        <w:tc>
          <w:tcPr>
            <w:tcW w:w="2790" w:type="dxa"/>
            <w:shd w:val="clear" w:color="auto" w:fill="92D050"/>
          </w:tcPr>
          <w:p w14:paraId="147F3B5A"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635.7 (204.5)</w:t>
            </w:r>
          </w:p>
        </w:tc>
        <w:tc>
          <w:tcPr>
            <w:tcW w:w="2790" w:type="dxa"/>
            <w:shd w:val="clear" w:color="auto" w:fill="92D050"/>
          </w:tcPr>
          <w:p w14:paraId="7014ACF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801.0 (165.8)</w:t>
            </w:r>
          </w:p>
        </w:tc>
        <w:tc>
          <w:tcPr>
            <w:tcW w:w="2790" w:type="dxa"/>
            <w:shd w:val="clear" w:color="auto" w:fill="92D050"/>
          </w:tcPr>
          <w:p w14:paraId="643C14D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609.1 (244.6)</w:t>
            </w:r>
          </w:p>
        </w:tc>
        <w:tc>
          <w:tcPr>
            <w:tcW w:w="3436" w:type="dxa"/>
          </w:tcPr>
          <w:p w14:paraId="6FF91E73" w14:textId="77777777" w:rsidR="00523D70" w:rsidRPr="00CA4ABC" w:rsidRDefault="00523D70" w:rsidP="00523D70">
            <w:pPr>
              <w:rPr>
                <w:rFonts w:cstheme="minorHAnsi"/>
                <w:sz w:val="20"/>
                <w:szCs w:val="20"/>
              </w:rPr>
            </w:pPr>
            <w:r w:rsidRPr="00CA4ABC">
              <w:rPr>
                <w:rFonts w:cstheme="minorHAnsi"/>
                <w:sz w:val="20"/>
                <w:szCs w:val="20"/>
              </w:rPr>
              <w:t>0.582</w:t>
            </w:r>
          </w:p>
        </w:tc>
      </w:tr>
      <w:tr w:rsidR="00523D70" w:rsidRPr="00CA4ABC" w14:paraId="177D1B4D" w14:textId="77777777" w:rsidTr="00523D70">
        <w:tc>
          <w:tcPr>
            <w:tcW w:w="2790" w:type="dxa"/>
            <w:vAlign w:val="center"/>
          </w:tcPr>
          <w:p w14:paraId="28DC9573"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Thiamine (mg)</w:t>
            </w:r>
          </w:p>
        </w:tc>
        <w:tc>
          <w:tcPr>
            <w:tcW w:w="2790" w:type="dxa"/>
            <w:shd w:val="clear" w:color="auto" w:fill="92D050"/>
          </w:tcPr>
          <w:p w14:paraId="315E17A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1.98 (0.309)</w:t>
            </w:r>
          </w:p>
        </w:tc>
        <w:tc>
          <w:tcPr>
            <w:tcW w:w="2790" w:type="dxa"/>
            <w:shd w:val="clear" w:color="auto" w:fill="92D050"/>
          </w:tcPr>
          <w:p w14:paraId="01BEF27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2.25 (0.47)</w:t>
            </w:r>
          </w:p>
        </w:tc>
        <w:tc>
          <w:tcPr>
            <w:tcW w:w="2790" w:type="dxa"/>
            <w:shd w:val="clear" w:color="auto" w:fill="92D050"/>
          </w:tcPr>
          <w:p w14:paraId="15694016"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1.49 (0.29)</w:t>
            </w:r>
          </w:p>
        </w:tc>
        <w:tc>
          <w:tcPr>
            <w:tcW w:w="3436" w:type="dxa"/>
          </w:tcPr>
          <w:p w14:paraId="01CC58F3" w14:textId="77777777" w:rsidR="00523D70" w:rsidRPr="00CA4ABC" w:rsidRDefault="00523D70" w:rsidP="00523D70">
            <w:pPr>
              <w:rPr>
                <w:rFonts w:cstheme="minorHAnsi"/>
                <w:sz w:val="20"/>
                <w:szCs w:val="20"/>
              </w:rPr>
            </w:pPr>
            <w:r w:rsidRPr="00CA4ABC">
              <w:rPr>
                <w:rFonts w:cstheme="minorHAnsi"/>
                <w:sz w:val="20"/>
                <w:szCs w:val="20"/>
              </w:rPr>
              <w:t>0.202</w:t>
            </w:r>
          </w:p>
        </w:tc>
      </w:tr>
      <w:tr w:rsidR="00523D70" w:rsidRPr="00CA4ABC" w14:paraId="3A9875F7" w14:textId="77777777" w:rsidTr="00523D70">
        <w:tc>
          <w:tcPr>
            <w:tcW w:w="2790" w:type="dxa"/>
            <w:vAlign w:val="center"/>
          </w:tcPr>
          <w:p w14:paraId="358D1538"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Riboflavin (mg)</w:t>
            </w:r>
          </w:p>
        </w:tc>
        <w:tc>
          <w:tcPr>
            <w:tcW w:w="2790" w:type="dxa"/>
            <w:shd w:val="clear" w:color="auto" w:fill="92D050"/>
          </w:tcPr>
          <w:p w14:paraId="0073D153"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2.42 (0.51)</w:t>
            </w:r>
          </w:p>
        </w:tc>
        <w:tc>
          <w:tcPr>
            <w:tcW w:w="2790" w:type="dxa"/>
            <w:shd w:val="clear" w:color="auto" w:fill="92D050"/>
          </w:tcPr>
          <w:p w14:paraId="763217AB"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2.42 (0.61)</w:t>
            </w:r>
          </w:p>
        </w:tc>
        <w:tc>
          <w:tcPr>
            <w:tcW w:w="2790" w:type="dxa"/>
            <w:shd w:val="clear" w:color="auto" w:fill="92D050"/>
          </w:tcPr>
          <w:p w14:paraId="7AC2F600"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1.90 (0.39)</w:t>
            </w:r>
          </w:p>
        </w:tc>
        <w:tc>
          <w:tcPr>
            <w:tcW w:w="3436" w:type="dxa"/>
          </w:tcPr>
          <w:p w14:paraId="2464658C" w14:textId="77777777" w:rsidR="00523D70" w:rsidRPr="00CA4ABC" w:rsidRDefault="00523D70" w:rsidP="00523D70">
            <w:pPr>
              <w:rPr>
                <w:rFonts w:cstheme="minorHAnsi"/>
                <w:sz w:val="20"/>
                <w:szCs w:val="20"/>
              </w:rPr>
            </w:pPr>
            <w:r w:rsidRPr="00CA4ABC">
              <w:rPr>
                <w:rFonts w:cstheme="minorHAnsi"/>
                <w:sz w:val="20"/>
                <w:szCs w:val="20"/>
              </w:rPr>
              <w:t>0.441</w:t>
            </w:r>
          </w:p>
        </w:tc>
      </w:tr>
      <w:tr w:rsidR="00523D70" w:rsidRPr="00CA4ABC" w14:paraId="7452E64A" w14:textId="77777777" w:rsidTr="00523D70">
        <w:tc>
          <w:tcPr>
            <w:tcW w:w="2790" w:type="dxa"/>
            <w:vAlign w:val="center"/>
          </w:tcPr>
          <w:p w14:paraId="05F250D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Vitamin B6 (mg)</w:t>
            </w:r>
          </w:p>
        </w:tc>
        <w:tc>
          <w:tcPr>
            <w:tcW w:w="2790" w:type="dxa"/>
            <w:shd w:val="clear" w:color="auto" w:fill="92D050"/>
          </w:tcPr>
          <w:p w14:paraId="3C14D061"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2.14 (0.46))</w:t>
            </w:r>
          </w:p>
        </w:tc>
        <w:tc>
          <w:tcPr>
            <w:tcW w:w="2790" w:type="dxa"/>
            <w:shd w:val="clear" w:color="auto" w:fill="92D050"/>
          </w:tcPr>
          <w:p w14:paraId="058AE58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2.41 (0.46)</w:t>
            </w:r>
          </w:p>
        </w:tc>
        <w:tc>
          <w:tcPr>
            <w:tcW w:w="2790" w:type="dxa"/>
            <w:shd w:val="clear" w:color="auto" w:fill="92D050"/>
          </w:tcPr>
          <w:p w14:paraId="3C93CF59"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1.60 (0.34)</w:t>
            </w:r>
          </w:p>
        </w:tc>
        <w:tc>
          <w:tcPr>
            <w:tcW w:w="3436" w:type="dxa"/>
          </w:tcPr>
          <w:p w14:paraId="0D864D5F" w14:textId="77777777" w:rsidR="00523D70" w:rsidRPr="00CA4ABC" w:rsidRDefault="00523D70" w:rsidP="00523D70">
            <w:pPr>
              <w:rPr>
                <w:rFonts w:cstheme="minorHAnsi"/>
                <w:sz w:val="20"/>
                <w:szCs w:val="20"/>
              </w:rPr>
            </w:pPr>
            <w:r w:rsidRPr="00CA4ABC">
              <w:rPr>
                <w:rFonts w:cstheme="minorHAnsi"/>
                <w:sz w:val="20"/>
                <w:szCs w:val="20"/>
              </w:rPr>
              <w:t>0.240</w:t>
            </w:r>
          </w:p>
        </w:tc>
      </w:tr>
      <w:tr w:rsidR="00523D70" w:rsidRPr="00CA4ABC" w14:paraId="4B010221" w14:textId="77777777" w:rsidTr="00523D70">
        <w:tc>
          <w:tcPr>
            <w:tcW w:w="2790" w:type="dxa"/>
            <w:vAlign w:val="center"/>
          </w:tcPr>
          <w:p w14:paraId="2B59883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Vitamin B12 (µg)</w:t>
            </w:r>
          </w:p>
        </w:tc>
        <w:tc>
          <w:tcPr>
            <w:tcW w:w="2790" w:type="dxa"/>
            <w:shd w:val="clear" w:color="auto" w:fill="92D050"/>
          </w:tcPr>
          <w:p w14:paraId="24CC609B"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4.14 (1.56)</w:t>
            </w:r>
          </w:p>
        </w:tc>
        <w:tc>
          <w:tcPr>
            <w:tcW w:w="2790" w:type="dxa"/>
            <w:shd w:val="clear" w:color="auto" w:fill="92D050"/>
          </w:tcPr>
          <w:p w14:paraId="4FA2E8F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5.16 (1.44)</w:t>
            </w:r>
          </w:p>
        </w:tc>
        <w:tc>
          <w:tcPr>
            <w:tcW w:w="2790" w:type="dxa"/>
            <w:shd w:val="clear" w:color="auto" w:fill="92D050"/>
          </w:tcPr>
          <w:p w14:paraId="37D0DAB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3.94 (0.38)</w:t>
            </w:r>
          </w:p>
        </w:tc>
        <w:tc>
          <w:tcPr>
            <w:tcW w:w="3436" w:type="dxa"/>
          </w:tcPr>
          <w:p w14:paraId="6264AB00" w14:textId="77777777" w:rsidR="00523D70" w:rsidRPr="00CA4ABC" w:rsidRDefault="00523D70" w:rsidP="00523D70">
            <w:pPr>
              <w:rPr>
                <w:rFonts w:cstheme="minorHAnsi"/>
                <w:sz w:val="20"/>
                <w:szCs w:val="20"/>
              </w:rPr>
            </w:pPr>
            <w:r w:rsidRPr="00CA4ABC">
              <w:rPr>
                <w:rFonts w:cstheme="minorHAnsi"/>
                <w:sz w:val="20"/>
                <w:szCs w:val="20"/>
              </w:rPr>
              <w:t>0.546</w:t>
            </w:r>
          </w:p>
        </w:tc>
      </w:tr>
      <w:tr w:rsidR="00523D70" w:rsidRPr="00CA4ABC" w14:paraId="6AEF61AA" w14:textId="77777777" w:rsidTr="00523D70">
        <w:tc>
          <w:tcPr>
            <w:tcW w:w="2790" w:type="dxa"/>
            <w:vAlign w:val="center"/>
          </w:tcPr>
          <w:p w14:paraId="00BB91B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Folate (µg)</w:t>
            </w:r>
          </w:p>
        </w:tc>
        <w:tc>
          <w:tcPr>
            <w:tcW w:w="2790" w:type="dxa"/>
            <w:shd w:val="clear" w:color="auto" w:fill="92D050"/>
          </w:tcPr>
          <w:p w14:paraId="36D2F320"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304.1 (37.0)</w:t>
            </w:r>
          </w:p>
        </w:tc>
        <w:tc>
          <w:tcPr>
            <w:tcW w:w="2790" w:type="dxa"/>
            <w:shd w:val="clear" w:color="auto" w:fill="92D050"/>
          </w:tcPr>
          <w:p w14:paraId="55C5E8F1"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334.9 (60.0)</w:t>
            </w:r>
          </w:p>
        </w:tc>
        <w:tc>
          <w:tcPr>
            <w:tcW w:w="2790" w:type="dxa"/>
            <w:shd w:val="clear" w:color="auto" w:fill="92D050"/>
          </w:tcPr>
          <w:p w14:paraId="24865472"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279.3 (49.8)</w:t>
            </w:r>
          </w:p>
        </w:tc>
        <w:tc>
          <w:tcPr>
            <w:tcW w:w="3436" w:type="dxa"/>
          </w:tcPr>
          <w:p w14:paraId="50626CA9" w14:textId="77777777" w:rsidR="00523D70" w:rsidRPr="00CA4ABC" w:rsidRDefault="00523D70" w:rsidP="00523D70">
            <w:pPr>
              <w:rPr>
                <w:rFonts w:cstheme="minorHAnsi"/>
                <w:sz w:val="20"/>
                <w:szCs w:val="20"/>
              </w:rPr>
            </w:pPr>
            <w:r w:rsidRPr="00CA4ABC">
              <w:rPr>
                <w:rFonts w:cstheme="minorHAnsi"/>
                <w:sz w:val="20"/>
                <w:szCs w:val="20"/>
              </w:rPr>
              <w:t>0.666</w:t>
            </w:r>
          </w:p>
        </w:tc>
      </w:tr>
      <w:tr w:rsidR="00523D70" w:rsidRPr="00CA4ABC" w14:paraId="199E6727" w14:textId="77777777" w:rsidTr="00523D70">
        <w:tc>
          <w:tcPr>
            <w:tcW w:w="2790" w:type="dxa"/>
            <w:vAlign w:val="center"/>
          </w:tcPr>
          <w:p w14:paraId="7C82A187"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Vitamin C (mg)</w:t>
            </w:r>
          </w:p>
        </w:tc>
        <w:tc>
          <w:tcPr>
            <w:tcW w:w="2790" w:type="dxa"/>
            <w:shd w:val="clear" w:color="auto" w:fill="92D050"/>
          </w:tcPr>
          <w:p w14:paraId="3A7BB21A"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105.5 (23.6)</w:t>
            </w:r>
          </w:p>
        </w:tc>
        <w:tc>
          <w:tcPr>
            <w:tcW w:w="2790" w:type="dxa"/>
            <w:shd w:val="clear" w:color="auto" w:fill="92D050"/>
          </w:tcPr>
          <w:p w14:paraId="366C653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117.3 (34.9)</w:t>
            </w:r>
          </w:p>
        </w:tc>
        <w:tc>
          <w:tcPr>
            <w:tcW w:w="2790" w:type="dxa"/>
            <w:shd w:val="clear" w:color="auto" w:fill="92D050"/>
          </w:tcPr>
          <w:p w14:paraId="7774AE2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118.7 (31.3)</w:t>
            </w:r>
          </w:p>
        </w:tc>
        <w:tc>
          <w:tcPr>
            <w:tcW w:w="3436" w:type="dxa"/>
          </w:tcPr>
          <w:p w14:paraId="524AC618" w14:textId="77777777" w:rsidR="00523D70" w:rsidRPr="00CA4ABC" w:rsidRDefault="00523D70" w:rsidP="00523D70">
            <w:pPr>
              <w:rPr>
                <w:rFonts w:cstheme="minorHAnsi"/>
                <w:sz w:val="20"/>
                <w:szCs w:val="20"/>
              </w:rPr>
            </w:pPr>
            <w:r w:rsidRPr="00CA4ABC">
              <w:rPr>
                <w:rFonts w:cstheme="minorHAnsi"/>
                <w:sz w:val="20"/>
                <w:szCs w:val="20"/>
              </w:rPr>
              <w:t>0.922</w:t>
            </w:r>
          </w:p>
        </w:tc>
      </w:tr>
      <w:tr w:rsidR="00523D70" w:rsidRPr="00CA4ABC" w14:paraId="4B780401" w14:textId="77777777" w:rsidTr="00523D70">
        <w:tc>
          <w:tcPr>
            <w:tcW w:w="2790" w:type="dxa"/>
            <w:vAlign w:val="center"/>
          </w:tcPr>
          <w:p w14:paraId="6CE8143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Vitamin D (µg)</w:t>
            </w:r>
          </w:p>
        </w:tc>
        <w:tc>
          <w:tcPr>
            <w:tcW w:w="2790" w:type="dxa"/>
          </w:tcPr>
          <w:p w14:paraId="1E5D5688"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5.09 (2.04)</w:t>
            </w:r>
          </w:p>
        </w:tc>
        <w:tc>
          <w:tcPr>
            <w:tcW w:w="2790" w:type="dxa"/>
          </w:tcPr>
          <w:p w14:paraId="7DCD684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5.21 (2.02)</w:t>
            </w:r>
          </w:p>
        </w:tc>
        <w:tc>
          <w:tcPr>
            <w:tcW w:w="2790" w:type="dxa"/>
          </w:tcPr>
          <w:p w14:paraId="4C2794C9"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2.76 (0.923)</w:t>
            </w:r>
          </w:p>
        </w:tc>
        <w:tc>
          <w:tcPr>
            <w:tcW w:w="3436" w:type="dxa"/>
          </w:tcPr>
          <w:p w14:paraId="2583C70D" w14:textId="77777777" w:rsidR="00523D70" w:rsidRPr="00CA4ABC" w:rsidRDefault="00523D70" w:rsidP="00523D70">
            <w:pPr>
              <w:rPr>
                <w:rFonts w:cstheme="minorHAnsi"/>
                <w:sz w:val="20"/>
                <w:szCs w:val="20"/>
              </w:rPr>
            </w:pPr>
            <w:r w:rsidRPr="00CA4ABC">
              <w:rPr>
                <w:rFonts w:cstheme="minorHAnsi"/>
                <w:sz w:val="20"/>
                <w:szCs w:val="20"/>
              </w:rPr>
              <w:t>0.153</w:t>
            </w:r>
          </w:p>
        </w:tc>
      </w:tr>
      <w:tr w:rsidR="00523D70" w:rsidRPr="00CA4ABC" w14:paraId="1F602CBD" w14:textId="77777777" w:rsidTr="00523D70">
        <w:tc>
          <w:tcPr>
            <w:tcW w:w="2790" w:type="dxa"/>
            <w:vAlign w:val="center"/>
          </w:tcPr>
          <w:p w14:paraId="563E82B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Vitamin E (mg)</w:t>
            </w:r>
          </w:p>
        </w:tc>
        <w:tc>
          <w:tcPr>
            <w:tcW w:w="2790" w:type="dxa"/>
            <w:shd w:val="clear" w:color="auto" w:fill="92D050"/>
          </w:tcPr>
          <w:p w14:paraId="372A6779"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12.06 (2.87)</w:t>
            </w:r>
          </w:p>
        </w:tc>
        <w:tc>
          <w:tcPr>
            <w:tcW w:w="2790" w:type="dxa"/>
            <w:shd w:val="clear" w:color="auto" w:fill="92D050"/>
          </w:tcPr>
          <w:p w14:paraId="70D06C7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11.20 (2.82)</w:t>
            </w:r>
          </w:p>
        </w:tc>
        <w:tc>
          <w:tcPr>
            <w:tcW w:w="2790" w:type="dxa"/>
            <w:shd w:val="clear" w:color="auto" w:fill="92D050"/>
          </w:tcPr>
          <w:p w14:paraId="06DEE7F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10.101 (1.51)</w:t>
            </w:r>
          </w:p>
        </w:tc>
        <w:tc>
          <w:tcPr>
            <w:tcW w:w="3436" w:type="dxa"/>
          </w:tcPr>
          <w:p w14:paraId="30754EE3" w14:textId="77777777" w:rsidR="00523D70" w:rsidRPr="00CA4ABC" w:rsidRDefault="00523D70" w:rsidP="00523D70">
            <w:pPr>
              <w:rPr>
                <w:rFonts w:cstheme="minorHAnsi"/>
                <w:sz w:val="20"/>
                <w:szCs w:val="20"/>
              </w:rPr>
            </w:pPr>
            <w:r w:rsidRPr="00CA4ABC">
              <w:rPr>
                <w:rFonts w:cstheme="minorHAnsi"/>
                <w:sz w:val="20"/>
                <w:szCs w:val="20"/>
              </w:rPr>
              <w:t>0.705</w:t>
            </w:r>
          </w:p>
        </w:tc>
      </w:tr>
      <w:tr w:rsidR="00523D70" w:rsidRPr="00CA4ABC" w14:paraId="2C0DB444" w14:textId="77777777" w:rsidTr="00523D70">
        <w:tc>
          <w:tcPr>
            <w:tcW w:w="2790" w:type="dxa"/>
            <w:vAlign w:val="center"/>
          </w:tcPr>
          <w:p w14:paraId="47A11312"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Sodium (mg)</w:t>
            </w:r>
          </w:p>
        </w:tc>
        <w:tc>
          <w:tcPr>
            <w:tcW w:w="2790" w:type="dxa"/>
          </w:tcPr>
          <w:p w14:paraId="09656D2A"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1901.0 (223.4)</w:t>
            </w:r>
          </w:p>
        </w:tc>
        <w:tc>
          <w:tcPr>
            <w:tcW w:w="2790" w:type="dxa"/>
          </w:tcPr>
          <w:p w14:paraId="13198CA6"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2279.7 (476.1)</w:t>
            </w:r>
          </w:p>
        </w:tc>
        <w:tc>
          <w:tcPr>
            <w:tcW w:w="2790" w:type="dxa"/>
          </w:tcPr>
          <w:p w14:paraId="56356C1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1823.3 (350.2)</w:t>
            </w:r>
          </w:p>
        </w:tc>
        <w:tc>
          <w:tcPr>
            <w:tcW w:w="3436" w:type="dxa"/>
          </w:tcPr>
          <w:p w14:paraId="5A8143AA" w14:textId="77777777" w:rsidR="00523D70" w:rsidRPr="00CA4ABC" w:rsidRDefault="00523D70" w:rsidP="00523D70">
            <w:pPr>
              <w:rPr>
                <w:rFonts w:cstheme="minorHAnsi"/>
                <w:sz w:val="20"/>
                <w:szCs w:val="20"/>
              </w:rPr>
            </w:pPr>
            <w:r w:rsidRPr="00CA4ABC">
              <w:rPr>
                <w:rFonts w:cstheme="minorHAnsi"/>
                <w:sz w:val="20"/>
                <w:szCs w:val="20"/>
              </w:rPr>
              <w:t>0.645</w:t>
            </w:r>
          </w:p>
        </w:tc>
      </w:tr>
      <w:tr w:rsidR="00523D70" w:rsidRPr="00CA4ABC" w14:paraId="26B6D51D" w14:textId="77777777" w:rsidTr="00523D70">
        <w:tc>
          <w:tcPr>
            <w:tcW w:w="2790" w:type="dxa"/>
            <w:vAlign w:val="center"/>
          </w:tcPr>
          <w:p w14:paraId="24C95093"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Potassium (mg)</w:t>
            </w:r>
          </w:p>
        </w:tc>
        <w:tc>
          <w:tcPr>
            <w:tcW w:w="2790" w:type="dxa"/>
            <w:shd w:val="clear" w:color="auto" w:fill="FFC000"/>
          </w:tcPr>
          <w:p w14:paraId="5A24CFE6"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3405.2 (294.3)</w:t>
            </w:r>
          </w:p>
        </w:tc>
        <w:tc>
          <w:tcPr>
            <w:tcW w:w="2790" w:type="dxa"/>
            <w:shd w:val="clear" w:color="auto" w:fill="92D050"/>
          </w:tcPr>
          <w:p w14:paraId="514882BF" w14:textId="77777777" w:rsidR="00523D70" w:rsidRPr="00CA4ABC" w:rsidRDefault="00523D70" w:rsidP="00523D70">
            <w:pPr>
              <w:rPr>
                <w:rFonts w:cstheme="minorHAnsi"/>
                <w:sz w:val="20"/>
                <w:szCs w:val="20"/>
              </w:rPr>
            </w:pPr>
            <w:r w:rsidRPr="00CA4ABC">
              <w:rPr>
                <w:rFonts w:cstheme="minorHAnsi"/>
                <w:sz w:val="20"/>
                <w:szCs w:val="20"/>
              </w:rPr>
              <w:t>3634.0 (462.4)</w:t>
            </w:r>
          </w:p>
        </w:tc>
        <w:tc>
          <w:tcPr>
            <w:tcW w:w="2790" w:type="dxa"/>
            <w:shd w:val="clear" w:color="auto" w:fill="FFC000"/>
          </w:tcPr>
          <w:p w14:paraId="65CCAB3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3055.6 (246.0)</w:t>
            </w:r>
          </w:p>
        </w:tc>
        <w:tc>
          <w:tcPr>
            <w:tcW w:w="3436" w:type="dxa"/>
          </w:tcPr>
          <w:p w14:paraId="77D0F794" w14:textId="77777777" w:rsidR="00523D70" w:rsidRPr="00CA4ABC" w:rsidRDefault="00523D70" w:rsidP="00523D70">
            <w:pPr>
              <w:rPr>
                <w:rFonts w:cstheme="minorHAnsi"/>
                <w:sz w:val="20"/>
                <w:szCs w:val="20"/>
              </w:rPr>
            </w:pPr>
            <w:r w:rsidRPr="00CA4ABC">
              <w:rPr>
                <w:rFonts w:cstheme="minorHAnsi"/>
                <w:sz w:val="20"/>
                <w:szCs w:val="20"/>
              </w:rPr>
              <w:t>0.592</w:t>
            </w:r>
          </w:p>
        </w:tc>
      </w:tr>
      <w:tr w:rsidR="00523D70" w:rsidRPr="00CA4ABC" w14:paraId="6222E558" w14:textId="77777777" w:rsidTr="00523D70">
        <w:tc>
          <w:tcPr>
            <w:tcW w:w="2790" w:type="dxa"/>
            <w:vAlign w:val="center"/>
          </w:tcPr>
          <w:p w14:paraId="4F1A8630"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Calcium (mg)</w:t>
            </w:r>
          </w:p>
        </w:tc>
        <w:tc>
          <w:tcPr>
            <w:tcW w:w="2790" w:type="dxa"/>
            <w:shd w:val="clear" w:color="auto" w:fill="92D050"/>
          </w:tcPr>
          <w:p w14:paraId="479AB24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1111.9 (164.4)</w:t>
            </w:r>
          </w:p>
        </w:tc>
        <w:tc>
          <w:tcPr>
            <w:tcW w:w="2790" w:type="dxa"/>
            <w:shd w:val="clear" w:color="auto" w:fill="92D050"/>
          </w:tcPr>
          <w:p w14:paraId="14B7567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970.6 (188.2)</w:t>
            </w:r>
          </w:p>
        </w:tc>
        <w:tc>
          <w:tcPr>
            <w:tcW w:w="2790" w:type="dxa"/>
            <w:shd w:val="clear" w:color="auto" w:fill="92D050"/>
          </w:tcPr>
          <w:p w14:paraId="587DF8C9"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947.6 (152.1)</w:t>
            </w:r>
          </w:p>
        </w:tc>
        <w:tc>
          <w:tcPr>
            <w:tcW w:w="3436" w:type="dxa"/>
          </w:tcPr>
          <w:p w14:paraId="73BE2F20" w14:textId="77777777" w:rsidR="00523D70" w:rsidRPr="00CA4ABC" w:rsidRDefault="00523D70" w:rsidP="00523D70">
            <w:pPr>
              <w:rPr>
                <w:rFonts w:cstheme="minorHAnsi"/>
                <w:sz w:val="20"/>
                <w:szCs w:val="20"/>
              </w:rPr>
            </w:pPr>
            <w:r w:rsidRPr="00CA4ABC">
              <w:rPr>
                <w:rFonts w:cstheme="minorHAnsi"/>
                <w:sz w:val="20"/>
                <w:szCs w:val="20"/>
              </w:rPr>
              <w:t>0.449</w:t>
            </w:r>
          </w:p>
        </w:tc>
      </w:tr>
      <w:tr w:rsidR="00523D70" w:rsidRPr="00CA4ABC" w14:paraId="2423E87F" w14:textId="77777777" w:rsidTr="00523D70">
        <w:tc>
          <w:tcPr>
            <w:tcW w:w="2790" w:type="dxa"/>
            <w:vAlign w:val="center"/>
          </w:tcPr>
          <w:p w14:paraId="6FC5519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Magnesium (mg)</w:t>
            </w:r>
          </w:p>
        </w:tc>
        <w:tc>
          <w:tcPr>
            <w:tcW w:w="2790" w:type="dxa"/>
            <w:shd w:val="clear" w:color="auto" w:fill="92D050"/>
          </w:tcPr>
          <w:p w14:paraId="7FD7C18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384.9 (60.0)</w:t>
            </w:r>
          </w:p>
        </w:tc>
        <w:tc>
          <w:tcPr>
            <w:tcW w:w="2790" w:type="dxa"/>
            <w:shd w:val="clear" w:color="auto" w:fill="92D050"/>
          </w:tcPr>
          <w:p w14:paraId="13294B51"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370.9 (57.0)</w:t>
            </w:r>
          </w:p>
        </w:tc>
        <w:tc>
          <w:tcPr>
            <w:tcW w:w="2790" w:type="dxa"/>
            <w:shd w:val="clear" w:color="auto" w:fill="92D050"/>
          </w:tcPr>
          <w:p w14:paraId="323B171A"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328.6 (38.7)</w:t>
            </w:r>
          </w:p>
        </w:tc>
        <w:tc>
          <w:tcPr>
            <w:tcW w:w="3436" w:type="dxa"/>
          </w:tcPr>
          <w:p w14:paraId="1FF20E86" w14:textId="77777777" w:rsidR="00523D70" w:rsidRPr="00CA4ABC" w:rsidRDefault="00523D70" w:rsidP="00523D70">
            <w:pPr>
              <w:rPr>
                <w:rFonts w:cstheme="minorHAnsi"/>
                <w:sz w:val="20"/>
                <w:szCs w:val="20"/>
              </w:rPr>
            </w:pPr>
            <w:r w:rsidRPr="00CA4ABC">
              <w:rPr>
                <w:rFonts w:cstheme="minorHAnsi"/>
                <w:sz w:val="20"/>
                <w:szCs w:val="20"/>
              </w:rPr>
              <w:t>0.693</w:t>
            </w:r>
          </w:p>
        </w:tc>
      </w:tr>
      <w:tr w:rsidR="00523D70" w:rsidRPr="00CA4ABC" w14:paraId="7BCBCF77" w14:textId="77777777" w:rsidTr="00523D70">
        <w:tc>
          <w:tcPr>
            <w:tcW w:w="2790" w:type="dxa"/>
            <w:vAlign w:val="center"/>
          </w:tcPr>
          <w:p w14:paraId="109B245C"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Phosphorous (mg)</w:t>
            </w:r>
          </w:p>
        </w:tc>
        <w:tc>
          <w:tcPr>
            <w:tcW w:w="2790" w:type="dxa"/>
            <w:shd w:val="clear" w:color="auto" w:fill="92D050"/>
          </w:tcPr>
          <w:p w14:paraId="2ACE9731"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1513.1 (238.5)</w:t>
            </w:r>
          </w:p>
        </w:tc>
        <w:tc>
          <w:tcPr>
            <w:tcW w:w="2790" w:type="dxa"/>
            <w:shd w:val="clear" w:color="auto" w:fill="92D050"/>
          </w:tcPr>
          <w:p w14:paraId="528B0E5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1475.7 (212.8)</w:t>
            </w:r>
          </w:p>
        </w:tc>
        <w:tc>
          <w:tcPr>
            <w:tcW w:w="2790" w:type="dxa"/>
            <w:shd w:val="clear" w:color="auto" w:fill="92D050"/>
          </w:tcPr>
          <w:p w14:paraId="3BB2DE47"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1313.7 (90.3)</w:t>
            </w:r>
          </w:p>
        </w:tc>
        <w:tc>
          <w:tcPr>
            <w:tcW w:w="3436" w:type="dxa"/>
          </w:tcPr>
          <w:p w14:paraId="58061120" w14:textId="77777777" w:rsidR="00523D70" w:rsidRPr="00CA4ABC" w:rsidRDefault="00523D70" w:rsidP="00523D70">
            <w:pPr>
              <w:rPr>
                <w:rFonts w:cstheme="minorHAnsi"/>
                <w:sz w:val="20"/>
                <w:szCs w:val="20"/>
              </w:rPr>
            </w:pPr>
            <w:r w:rsidRPr="00CA4ABC">
              <w:rPr>
                <w:rFonts w:cstheme="minorHAnsi"/>
                <w:sz w:val="20"/>
                <w:szCs w:val="20"/>
              </w:rPr>
              <w:t>0.579</w:t>
            </w:r>
          </w:p>
        </w:tc>
      </w:tr>
      <w:tr w:rsidR="00523D70" w:rsidRPr="00CA4ABC" w14:paraId="5B91EE6D" w14:textId="77777777" w:rsidTr="00523D70">
        <w:tc>
          <w:tcPr>
            <w:tcW w:w="2790" w:type="dxa"/>
            <w:vAlign w:val="center"/>
          </w:tcPr>
          <w:p w14:paraId="54E2F613" w14:textId="77777777" w:rsidR="00523D70" w:rsidRPr="00CA4ABC" w:rsidRDefault="00523D70" w:rsidP="00523D70">
            <w:pPr>
              <w:rPr>
                <w:rFonts w:eastAsia="Times New Roman" w:cstheme="minorHAnsi"/>
                <w:color w:val="000000" w:themeColor="text1"/>
                <w:sz w:val="20"/>
                <w:szCs w:val="20"/>
                <w:lang w:eastAsia="en-GB"/>
              </w:rPr>
            </w:pPr>
            <w:r w:rsidRPr="00CA4ABC">
              <w:rPr>
                <w:rFonts w:eastAsia="Times New Roman" w:cstheme="minorHAnsi"/>
                <w:color w:val="000000" w:themeColor="text1"/>
                <w:sz w:val="20"/>
                <w:szCs w:val="20"/>
                <w:lang w:eastAsia="en-GB"/>
              </w:rPr>
              <w:t>Iron (mg)</w:t>
            </w:r>
          </w:p>
        </w:tc>
        <w:tc>
          <w:tcPr>
            <w:tcW w:w="2790" w:type="dxa"/>
            <w:shd w:val="clear" w:color="auto" w:fill="FFC000"/>
          </w:tcPr>
          <w:p w14:paraId="22071BD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13.47 (2.7)#</w:t>
            </w:r>
          </w:p>
        </w:tc>
        <w:tc>
          <w:tcPr>
            <w:tcW w:w="2790" w:type="dxa"/>
            <w:shd w:val="clear" w:color="auto" w:fill="92D050"/>
          </w:tcPr>
          <w:p w14:paraId="05C3878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16.29 (2.8)</w:t>
            </w:r>
          </w:p>
        </w:tc>
        <w:tc>
          <w:tcPr>
            <w:tcW w:w="2790" w:type="dxa"/>
            <w:shd w:val="clear" w:color="auto" w:fill="FFC000"/>
          </w:tcPr>
          <w:p w14:paraId="39342FD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12.04 (1.84)#</w:t>
            </w:r>
          </w:p>
        </w:tc>
        <w:tc>
          <w:tcPr>
            <w:tcW w:w="3436" w:type="dxa"/>
          </w:tcPr>
          <w:p w14:paraId="221D5D53" w14:textId="77777777" w:rsidR="00523D70" w:rsidRPr="00CA4ABC" w:rsidRDefault="00523D70" w:rsidP="00523D70">
            <w:pPr>
              <w:rPr>
                <w:rFonts w:cstheme="minorHAnsi"/>
                <w:sz w:val="20"/>
                <w:szCs w:val="20"/>
              </w:rPr>
            </w:pPr>
            <w:r w:rsidRPr="00CA4ABC">
              <w:rPr>
                <w:rFonts w:cstheme="minorHAnsi"/>
                <w:sz w:val="20"/>
                <w:szCs w:val="20"/>
              </w:rPr>
              <w:t>0.337</w:t>
            </w:r>
          </w:p>
        </w:tc>
      </w:tr>
      <w:tr w:rsidR="00523D70" w:rsidRPr="00CA4ABC" w14:paraId="72ECF7AC" w14:textId="77777777" w:rsidTr="00523D70">
        <w:tc>
          <w:tcPr>
            <w:tcW w:w="2790" w:type="dxa"/>
            <w:vAlign w:val="center"/>
          </w:tcPr>
          <w:p w14:paraId="0874AB0F" w14:textId="77777777" w:rsidR="00523D70" w:rsidRPr="00CA4ABC" w:rsidRDefault="00523D70" w:rsidP="00523D70">
            <w:pPr>
              <w:rPr>
                <w:rFonts w:eastAsia="Times New Roman" w:cstheme="minorHAnsi"/>
                <w:color w:val="000000" w:themeColor="text1"/>
                <w:sz w:val="20"/>
                <w:szCs w:val="20"/>
                <w:lang w:eastAsia="en-GB"/>
              </w:rPr>
            </w:pPr>
            <w:r w:rsidRPr="00CA4ABC">
              <w:rPr>
                <w:rFonts w:eastAsia="Times New Roman" w:cstheme="minorHAnsi"/>
                <w:color w:val="000000" w:themeColor="text1"/>
                <w:sz w:val="20"/>
                <w:szCs w:val="20"/>
                <w:lang w:eastAsia="en-GB"/>
              </w:rPr>
              <w:t>Copper (mg)</w:t>
            </w:r>
          </w:p>
        </w:tc>
        <w:tc>
          <w:tcPr>
            <w:tcW w:w="2790" w:type="dxa"/>
            <w:shd w:val="clear" w:color="auto" w:fill="92D050"/>
          </w:tcPr>
          <w:p w14:paraId="7ED321A8"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2.49 (0.99)</w:t>
            </w:r>
          </w:p>
        </w:tc>
        <w:tc>
          <w:tcPr>
            <w:tcW w:w="2790" w:type="dxa"/>
            <w:shd w:val="clear" w:color="auto" w:fill="92D050"/>
          </w:tcPr>
          <w:p w14:paraId="04BF279D"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2.73 (0.94)</w:t>
            </w:r>
          </w:p>
        </w:tc>
        <w:tc>
          <w:tcPr>
            <w:tcW w:w="2790" w:type="dxa"/>
            <w:shd w:val="clear" w:color="auto" w:fill="92D050"/>
          </w:tcPr>
          <w:p w14:paraId="345F75FF"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1.94 (0.61)</w:t>
            </w:r>
          </w:p>
        </w:tc>
        <w:tc>
          <w:tcPr>
            <w:tcW w:w="3436" w:type="dxa"/>
          </w:tcPr>
          <w:p w14:paraId="4D3E87CF" w14:textId="77777777" w:rsidR="00523D70" w:rsidRPr="00CA4ABC" w:rsidRDefault="00523D70" w:rsidP="00523D70">
            <w:pPr>
              <w:rPr>
                <w:rFonts w:cstheme="minorHAnsi"/>
                <w:sz w:val="20"/>
                <w:szCs w:val="20"/>
              </w:rPr>
            </w:pPr>
            <w:r w:rsidRPr="00CA4ABC">
              <w:rPr>
                <w:rFonts w:cstheme="minorHAnsi"/>
                <w:sz w:val="20"/>
                <w:szCs w:val="20"/>
              </w:rPr>
              <w:t>0.601</w:t>
            </w:r>
          </w:p>
        </w:tc>
      </w:tr>
      <w:tr w:rsidR="00523D70" w:rsidRPr="00CA4ABC" w14:paraId="73109F55" w14:textId="77777777" w:rsidTr="00523D70">
        <w:tc>
          <w:tcPr>
            <w:tcW w:w="2790" w:type="dxa"/>
            <w:vAlign w:val="center"/>
          </w:tcPr>
          <w:p w14:paraId="07E67BC5" w14:textId="77777777" w:rsidR="00523D70" w:rsidRPr="00CA4ABC" w:rsidRDefault="00523D70" w:rsidP="00523D70">
            <w:pPr>
              <w:rPr>
                <w:rFonts w:eastAsia="Times New Roman" w:cstheme="minorHAnsi"/>
                <w:color w:val="000000" w:themeColor="text1"/>
                <w:sz w:val="20"/>
                <w:szCs w:val="20"/>
                <w:lang w:eastAsia="en-GB"/>
              </w:rPr>
            </w:pPr>
            <w:r w:rsidRPr="00CA4ABC">
              <w:rPr>
                <w:rFonts w:eastAsia="Times New Roman" w:cstheme="minorHAnsi"/>
                <w:color w:val="000000" w:themeColor="text1"/>
                <w:sz w:val="20"/>
                <w:szCs w:val="20"/>
                <w:lang w:eastAsia="en-GB"/>
              </w:rPr>
              <w:t>Zinc (mg)</w:t>
            </w:r>
          </w:p>
        </w:tc>
        <w:tc>
          <w:tcPr>
            <w:tcW w:w="2790" w:type="dxa"/>
            <w:shd w:val="clear" w:color="auto" w:fill="92D050"/>
          </w:tcPr>
          <w:p w14:paraId="3026F8D4"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13.43 (2.97)</w:t>
            </w:r>
          </w:p>
        </w:tc>
        <w:tc>
          <w:tcPr>
            <w:tcW w:w="2790" w:type="dxa"/>
            <w:shd w:val="clear" w:color="auto" w:fill="92D050"/>
          </w:tcPr>
          <w:p w14:paraId="6224A2B2"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13.27 (2.81)</w:t>
            </w:r>
          </w:p>
        </w:tc>
        <w:tc>
          <w:tcPr>
            <w:tcW w:w="2790" w:type="dxa"/>
            <w:shd w:val="clear" w:color="auto" w:fill="92D050"/>
          </w:tcPr>
          <w:p w14:paraId="32828405" w14:textId="77777777" w:rsidR="00523D70" w:rsidRPr="00CA4ABC" w:rsidRDefault="00523D70" w:rsidP="00523D70">
            <w:pPr>
              <w:rPr>
                <w:rFonts w:cstheme="minorHAnsi"/>
                <w:sz w:val="20"/>
                <w:szCs w:val="20"/>
              </w:rPr>
            </w:pPr>
            <w:r w:rsidRPr="00CA4ABC">
              <w:rPr>
                <w:rFonts w:eastAsia="Times New Roman" w:cstheme="minorHAnsi"/>
                <w:color w:val="000000" w:themeColor="text1"/>
                <w:sz w:val="20"/>
                <w:szCs w:val="20"/>
                <w:lang w:eastAsia="en-GB"/>
              </w:rPr>
              <w:t>11.10 (2.04)</w:t>
            </w:r>
          </w:p>
        </w:tc>
        <w:tc>
          <w:tcPr>
            <w:tcW w:w="3436" w:type="dxa"/>
          </w:tcPr>
          <w:p w14:paraId="540F893C" w14:textId="77777777" w:rsidR="00523D70" w:rsidRPr="00CA4ABC" w:rsidRDefault="00523D70" w:rsidP="00523D70">
            <w:pPr>
              <w:rPr>
                <w:rFonts w:cstheme="minorHAnsi"/>
                <w:sz w:val="20"/>
                <w:szCs w:val="20"/>
              </w:rPr>
            </w:pPr>
            <w:r w:rsidRPr="00CA4ABC">
              <w:rPr>
                <w:rFonts w:cstheme="minorHAnsi"/>
                <w:sz w:val="20"/>
                <w:szCs w:val="20"/>
              </w:rPr>
              <w:t>0.656</w:t>
            </w:r>
          </w:p>
        </w:tc>
      </w:tr>
      <w:tr w:rsidR="00523D70" w:rsidRPr="00CA4ABC" w14:paraId="0A9DA0EE" w14:textId="77777777" w:rsidTr="00523D70">
        <w:tc>
          <w:tcPr>
            <w:tcW w:w="2790" w:type="dxa"/>
            <w:vAlign w:val="center"/>
          </w:tcPr>
          <w:p w14:paraId="5FBD663B" w14:textId="77777777" w:rsidR="00523D70" w:rsidRPr="00CA4ABC" w:rsidRDefault="00523D70" w:rsidP="00523D70">
            <w:pPr>
              <w:rPr>
                <w:rFonts w:eastAsia="Times New Roman" w:cstheme="minorHAnsi"/>
                <w:color w:val="000000" w:themeColor="text1"/>
                <w:sz w:val="20"/>
                <w:szCs w:val="20"/>
                <w:lang w:eastAsia="en-GB"/>
              </w:rPr>
            </w:pPr>
            <w:r w:rsidRPr="00CA4ABC">
              <w:rPr>
                <w:rFonts w:eastAsia="Times New Roman" w:cstheme="minorHAnsi"/>
                <w:color w:val="000000" w:themeColor="text1"/>
                <w:sz w:val="20"/>
                <w:szCs w:val="20"/>
                <w:lang w:eastAsia="en-GB"/>
              </w:rPr>
              <w:t xml:space="preserve">Selenium </w:t>
            </w:r>
          </w:p>
        </w:tc>
        <w:tc>
          <w:tcPr>
            <w:tcW w:w="2790" w:type="dxa"/>
            <w:shd w:val="clear" w:color="auto" w:fill="FFC000"/>
          </w:tcPr>
          <w:p w14:paraId="0007C412" w14:textId="77777777" w:rsidR="00523D70" w:rsidRPr="00CA4ABC" w:rsidRDefault="00523D70" w:rsidP="00523D70">
            <w:pPr>
              <w:rPr>
                <w:rFonts w:cstheme="minorHAnsi"/>
                <w:sz w:val="20"/>
                <w:szCs w:val="20"/>
              </w:rPr>
            </w:pPr>
            <w:r w:rsidRPr="00CA4ABC">
              <w:rPr>
                <w:rFonts w:cstheme="minorHAnsi"/>
                <w:sz w:val="20"/>
                <w:szCs w:val="20"/>
              </w:rPr>
              <w:t>50 .98 (8.33)</w:t>
            </w:r>
          </w:p>
        </w:tc>
        <w:tc>
          <w:tcPr>
            <w:tcW w:w="2790" w:type="dxa"/>
            <w:shd w:val="clear" w:color="auto" w:fill="92D050"/>
          </w:tcPr>
          <w:p w14:paraId="44F9A9D3" w14:textId="77777777" w:rsidR="00523D70" w:rsidRPr="00CA4ABC" w:rsidRDefault="00523D70" w:rsidP="00523D70">
            <w:pPr>
              <w:rPr>
                <w:rFonts w:cstheme="minorHAnsi"/>
                <w:sz w:val="20"/>
                <w:szCs w:val="20"/>
              </w:rPr>
            </w:pPr>
            <w:r w:rsidRPr="00CA4ABC">
              <w:rPr>
                <w:rFonts w:cstheme="minorHAnsi"/>
                <w:sz w:val="20"/>
                <w:szCs w:val="20"/>
              </w:rPr>
              <w:t>59.17 (11.18)</w:t>
            </w:r>
          </w:p>
        </w:tc>
        <w:tc>
          <w:tcPr>
            <w:tcW w:w="2790" w:type="dxa"/>
            <w:shd w:val="clear" w:color="auto" w:fill="FFC000"/>
          </w:tcPr>
          <w:p w14:paraId="38F4E1D7" w14:textId="77777777" w:rsidR="00523D70" w:rsidRPr="00CA4ABC" w:rsidRDefault="00523D70" w:rsidP="00523D70">
            <w:pPr>
              <w:rPr>
                <w:rFonts w:cstheme="minorHAnsi"/>
                <w:sz w:val="20"/>
                <w:szCs w:val="20"/>
              </w:rPr>
            </w:pPr>
            <w:r w:rsidRPr="00CA4ABC">
              <w:rPr>
                <w:rFonts w:cstheme="minorHAnsi"/>
                <w:sz w:val="20"/>
                <w:szCs w:val="20"/>
              </w:rPr>
              <w:t>42.37 (6.90)</w:t>
            </w:r>
          </w:p>
        </w:tc>
        <w:tc>
          <w:tcPr>
            <w:tcW w:w="3436" w:type="dxa"/>
          </w:tcPr>
          <w:p w14:paraId="2588C295" w14:textId="77777777" w:rsidR="00523D70" w:rsidRPr="00CA4ABC" w:rsidRDefault="00523D70" w:rsidP="00523D70">
            <w:pPr>
              <w:rPr>
                <w:rFonts w:cstheme="minorHAnsi"/>
                <w:sz w:val="20"/>
                <w:szCs w:val="20"/>
              </w:rPr>
            </w:pPr>
            <w:r w:rsidRPr="00CA4ABC">
              <w:rPr>
                <w:rFonts w:cstheme="minorHAnsi"/>
                <w:sz w:val="20"/>
                <w:szCs w:val="20"/>
              </w:rPr>
              <w:t>0.301</w:t>
            </w:r>
          </w:p>
        </w:tc>
      </w:tr>
    </w:tbl>
    <w:p w14:paraId="7AF5A08A" w14:textId="772A9B2E" w:rsidR="004C12CF" w:rsidRPr="00CA4ABC" w:rsidRDefault="004C12CF" w:rsidP="00E52F31">
      <w:pPr>
        <w:spacing w:line="360" w:lineRule="auto"/>
        <w:ind w:left="360" w:firstLine="360"/>
        <w:rPr>
          <w:rFonts w:cstheme="minorHAnsi"/>
          <w:color w:val="000000" w:themeColor="text1"/>
          <w:sz w:val="20"/>
          <w:szCs w:val="20"/>
        </w:rPr>
      </w:pPr>
      <w:r w:rsidRPr="00CA4ABC">
        <w:rPr>
          <w:rFonts w:cstheme="minorHAnsi"/>
          <w:color w:val="000000" w:themeColor="text1"/>
        </w:rPr>
        <w:t>Mean(SD)) micronutrient intakes for all participants</w:t>
      </w:r>
      <w:r w:rsidR="00552487" w:rsidRPr="00CA4ABC">
        <w:rPr>
          <w:rFonts w:cstheme="minorHAnsi"/>
          <w:color w:val="000000" w:themeColor="text1"/>
        </w:rPr>
        <w:t xml:space="preserve"> (n=8)</w:t>
      </w:r>
      <w:r w:rsidR="003C6B61" w:rsidRPr="00CA4ABC">
        <w:rPr>
          <w:rFonts w:cstheme="minorHAnsi"/>
          <w:color w:val="000000" w:themeColor="text1"/>
        </w:rPr>
        <w:t xml:space="preserve"> were not significant</w:t>
      </w:r>
      <w:r w:rsidR="008809FE" w:rsidRPr="00CA4ABC">
        <w:rPr>
          <w:rFonts w:cstheme="minorHAnsi"/>
          <w:color w:val="000000" w:themeColor="text1"/>
        </w:rPr>
        <w:t>ly</w:t>
      </w:r>
      <w:r w:rsidR="003C6B61" w:rsidRPr="00CA4ABC">
        <w:rPr>
          <w:rFonts w:cstheme="minorHAnsi"/>
          <w:color w:val="000000" w:themeColor="text1"/>
        </w:rPr>
        <w:t xml:space="preserve"> different</w:t>
      </w:r>
      <w:r w:rsidRPr="00CA4ABC">
        <w:rPr>
          <w:rFonts w:cstheme="minorHAnsi"/>
          <w:color w:val="000000" w:themeColor="text1"/>
        </w:rPr>
        <w:t xml:space="preserve"> </w:t>
      </w:r>
      <w:r w:rsidR="008809FE" w:rsidRPr="00CA4ABC">
        <w:rPr>
          <w:rFonts w:cstheme="minorHAnsi"/>
          <w:color w:val="000000" w:themeColor="text1"/>
        </w:rPr>
        <w:t>during the intervention</w:t>
      </w:r>
      <w:r w:rsidR="003C6B61" w:rsidRPr="00CA4ABC">
        <w:rPr>
          <w:rFonts w:cstheme="minorHAnsi"/>
          <w:color w:val="000000" w:themeColor="text1"/>
        </w:rPr>
        <w:t xml:space="preserve"> </w:t>
      </w:r>
      <w:r w:rsidR="008809FE" w:rsidRPr="00CA4ABC">
        <w:rPr>
          <w:rFonts w:cstheme="minorHAnsi"/>
          <w:color w:val="000000" w:themeColor="text1"/>
        </w:rPr>
        <w:t>(</w:t>
      </w:r>
      <w:r w:rsidR="003C6B61" w:rsidRPr="00CA4ABC">
        <w:rPr>
          <w:rFonts w:cstheme="minorHAnsi"/>
          <w:color w:val="000000" w:themeColor="text1"/>
        </w:rPr>
        <w:fldChar w:fldCharType="begin"/>
      </w:r>
      <w:r w:rsidR="003C6B61" w:rsidRPr="00CA4ABC">
        <w:rPr>
          <w:rFonts w:cstheme="minorHAnsi"/>
          <w:color w:val="000000" w:themeColor="text1"/>
        </w:rPr>
        <w:instrText xml:space="preserve"> REF _Ref123907844 \h </w:instrText>
      </w:r>
      <w:r w:rsidR="00CA4ABC">
        <w:rPr>
          <w:rFonts w:cstheme="minorHAnsi"/>
          <w:color w:val="000000" w:themeColor="text1"/>
        </w:rPr>
        <w:instrText xml:space="preserve"> \* MERGEFORMAT </w:instrText>
      </w:r>
      <w:r w:rsidR="003C6B61" w:rsidRPr="00CA4ABC">
        <w:rPr>
          <w:rFonts w:cstheme="minorHAnsi"/>
          <w:color w:val="000000" w:themeColor="text1"/>
        </w:rPr>
      </w:r>
      <w:r w:rsidR="003C6B61" w:rsidRPr="00CA4ABC">
        <w:rPr>
          <w:rFonts w:cstheme="minorHAnsi"/>
          <w:color w:val="000000" w:themeColor="text1"/>
        </w:rPr>
        <w:fldChar w:fldCharType="separate"/>
      </w:r>
      <w:r w:rsidR="003C6B61" w:rsidRPr="00CA4ABC">
        <w:rPr>
          <w:rFonts w:cstheme="minorHAnsi"/>
          <w:color w:val="000000" w:themeColor="text1"/>
        </w:rPr>
        <w:t xml:space="preserve">Table </w:t>
      </w:r>
      <w:r w:rsidR="003C6B61" w:rsidRPr="00CA4ABC">
        <w:rPr>
          <w:rFonts w:cstheme="minorHAnsi"/>
          <w:noProof/>
          <w:color w:val="000000" w:themeColor="text1"/>
        </w:rPr>
        <w:t>26</w:t>
      </w:r>
      <w:r w:rsidR="003C6B61" w:rsidRPr="00CA4ABC">
        <w:rPr>
          <w:rFonts w:cstheme="minorHAnsi"/>
          <w:color w:val="000000" w:themeColor="text1"/>
        </w:rPr>
        <w:fldChar w:fldCharType="end"/>
      </w:r>
      <w:r w:rsidR="003C6B61" w:rsidRPr="00CA4ABC">
        <w:rPr>
          <w:rFonts w:cstheme="minorHAnsi"/>
          <w:color w:val="000000" w:themeColor="text1"/>
        </w:rPr>
        <w:t>). The</w:t>
      </w:r>
      <w:r w:rsidRPr="00CA4ABC">
        <w:rPr>
          <w:rFonts w:cstheme="minorHAnsi"/>
          <w:color w:val="000000" w:themeColor="text1"/>
        </w:rPr>
        <w:t xml:space="preserve"> UK recommendations were met, apart from for potassium</w:t>
      </w:r>
      <w:r w:rsidR="00523D70" w:rsidRPr="00CA4ABC">
        <w:rPr>
          <w:rFonts w:cstheme="minorHAnsi"/>
          <w:color w:val="000000" w:themeColor="text1"/>
        </w:rPr>
        <w:t xml:space="preserve">, </w:t>
      </w:r>
      <w:r w:rsidR="00734956" w:rsidRPr="00CA4ABC">
        <w:rPr>
          <w:rFonts w:cstheme="minorHAnsi"/>
          <w:color w:val="000000" w:themeColor="text1"/>
        </w:rPr>
        <w:t>vitamin D</w:t>
      </w:r>
      <w:r w:rsidR="00523D70" w:rsidRPr="00CA4ABC">
        <w:rPr>
          <w:rFonts w:cstheme="minorHAnsi"/>
          <w:color w:val="000000" w:themeColor="text1"/>
        </w:rPr>
        <w:t xml:space="preserve"> and selenium</w:t>
      </w:r>
      <w:r w:rsidRPr="00CA4ABC">
        <w:rPr>
          <w:rFonts w:cstheme="minorHAnsi"/>
          <w:color w:val="000000" w:themeColor="text1"/>
        </w:rPr>
        <w:t>.</w:t>
      </w:r>
    </w:p>
    <w:p w14:paraId="3C1CCD10" w14:textId="4FA25F12" w:rsidR="004C12CF" w:rsidRPr="00323872" w:rsidRDefault="004C12CF" w:rsidP="004053D7">
      <w:pPr>
        <w:pStyle w:val="Caption"/>
        <w:spacing w:line="360" w:lineRule="auto"/>
        <w:rPr>
          <w:rFonts w:cstheme="minorHAnsi"/>
          <w:i w:val="0"/>
          <w:iCs w:val="0"/>
          <w:color w:val="000000" w:themeColor="text1"/>
          <w:sz w:val="24"/>
          <w:szCs w:val="24"/>
        </w:rPr>
      </w:pPr>
      <w:bookmarkStart w:id="335" w:name="_Ref123907844"/>
      <w:bookmarkStart w:id="336" w:name="_Toc122956591"/>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27</w:t>
      </w:r>
      <w:r w:rsidRPr="00323872">
        <w:rPr>
          <w:rFonts w:cstheme="minorHAnsi"/>
          <w:i w:val="0"/>
          <w:iCs w:val="0"/>
          <w:color w:val="000000" w:themeColor="text1"/>
          <w:sz w:val="24"/>
          <w:szCs w:val="24"/>
        </w:rPr>
        <w:fldChar w:fldCharType="end"/>
      </w:r>
      <w:bookmarkEnd w:id="335"/>
      <w:r w:rsidR="00323872" w:rsidRPr="00323872">
        <w:rPr>
          <w:rFonts w:cstheme="minorHAnsi"/>
          <w:i w:val="0"/>
          <w:iCs w:val="0"/>
          <w:color w:val="000000" w:themeColor="text1"/>
          <w:sz w:val="24"/>
          <w:szCs w:val="24"/>
        </w:rPr>
        <w:t xml:space="preserve">. </w:t>
      </w:r>
      <w:r w:rsidRPr="00323872">
        <w:rPr>
          <w:rFonts w:cstheme="minorHAnsi"/>
          <w:i w:val="0"/>
          <w:iCs w:val="0"/>
          <w:color w:val="000000" w:themeColor="text1"/>
          <w:sz w:val="24"/>
          <w:szCs w:val="24"/>
        </w:rPr>
        <w:t>Micronutrient intakes for all participants who completed their food diaries (n=8), across the stages of the REMEND trial.</w:t>
      </w:r>
      <w:bookmarkEnd w:id="336"/>
      <w:r w:rsidRPr="00323872">
        <w:rPr>
          <w:rFonts w:cstheme="minorHAnsi"/>
          <w:i w:val="0"/>
          <w:iCs w:val="0"/>
          <w:color w:val="000000" w:themeColor="text1"/>
          <w:sz w:val="24"/>
          <w:szCs w:val="24"/>
        </w:rPr>
        <w:t xml:space="preserve"> </w:t>
      </w:r>
    </w:p>
    <w:p w14:paraId="6619E357" w14:textId="77777777" w:rsidR="007A5ADA" w:rsidRPr="00CA4ABC" w:rsidRDefault="003C6B61" w:rsidP="004053D7">
      <w:pPr>
        <w:spacing w:line="360" w:lineRule="auto"/>
        <w:rPr>
          <w:rFonts w:cstheme="minorHAnsi"/>
          <w:color w:val="000000" w:themeColor="text1"/>
        </w:rPr>
      </w:pPr>
      <w:r w:rsidRPr="00CA4ABC">
        <w:rPr>
          <w:rFonts w:cstheme="minorHAnsi"/>
          <w:color w:val="000000" w:themeColor="text1"/>
        </w:rPr>
        <w:t xml:space="preserve">Sphericity </w:t>
      </w:r>
      <w:r w:rsidR="00035764" w:rsidRPr="00CA4ABC">
        <w:rPr>
          <w:rFonts w:cstheme="minorHAnsi"/>
          <w:color w:val="000000" w:themeColor="text1"/>
        </w:rPr>
        <w:t xml:space="preserve">was </w:t>
      </w:r>
      <w:r w:rsidRPr="00CA4ABC">
        <w:rPr>
          <w:rFonts w:cstheme="minorHAnsi"/>
          <w:color w:val="000000" w:themeColor="text1"/>
        </w:rPr>
        <w:t xml:space="preserve">assumed for ANOVA. </w:t>
      </w:r>
      <w:r w:rsidR="004C12CF" w:rsidRPr="00CA4ABC">
        <w:rPr>
          <w:rFonts w:cstheme="minorHAnsi"/>
          <w:color w:val="000000" w:themeColor="text1"/>
        </w:rPr>
        <w:t>Green represents achieving RNI recommendations. Amber is below recommendations. These were based on guidelines for women as all participants were female.</w:t>
      </w:r>
    </w:p>
    <w:p w14:paraId="37F3AD43" w14:textId="0A336DB4" w:rsidR="004C12CF" w:rsidRPr="00CA4ABC" w:rsidRDefault="008A066F" w:rsidP="004053D7">
      <w:pPr>
        <w:spacing w:line="360" w:lineRule="auto"/>
        <w:rPr>
          <w:rFonts w:cstheme="minorHAnsi"/>
          <w:color w:val="000000" w:themeColor="text1"/>
        </w:rPr>
        <w:sectPr w:rsidR="004C12CF" w:rsidRPr="00CA4ABC" w:rsidSect="008A066F">
          <w:pgSz w:w="16840" w:h="11900" w:orient="landscape"/>
          <w:pgMar w:top="1440" w:right="1440" w:bottom="1440" w:left="1440" w:header="708" w:footer="708" w:gutter="0"/>
          <w:cols w:space="708"/>
          <w:docGrid w:linePitch="360"/>
        </w:sectPr>
      </w:pPr>
      <w:r w:rsidRPr="00CA4ABC">
        <w:rPr>
          <w:rFonts w:cstheme="minorHAnsi"/>
          <w:color w:val="000000" w:themeColor="text1"/>
        </w:rPr>
        <w:t>#</w:t>
      </w:r>
      <w:r w:rsidR="007A5ADA" w:rsidRPr="00CA4ABC">
        <w:rPr>
          <w:rFonts w:cstheme="minorHAnsi"/>
          <w:color w:val="000000" w:themeColor="text1"/>
        </w:rPr>
        <w:t xml:space="preserve"> </w:t>
      </w:r>
      <w:r w:rsidR="004C12CF" w:rsidRPr="00CA4ABC">
        <w:rPr>
          <w:rFonts w:cstheme="minorHAnsi"/>
          <w:color w:val="000000" w:themeColor="text1"/>
        </w:rPr>
        <w:t>Below intakes from women up to 50 but above from women over 50 years old.</w:t>
      </w:r>
      <w:r w:rsidR="003C6B61" w:rsidRPr="00CA4ABC">
        <w:rPr>
          <w:rFonts w:cstheme="minorHAnsi"/>
          <w:color w:val="000000" w:themeColor="text1"/>
        </w:rPr>
        <w:t xml:space="preserve"> </w:t>
      </w:r>
    </w:p>
    <w:p w14:paraId="1A4AC400" w14:textId="393140F7" w:rsidR="004C12CF" w:rsidRPr="00CA4ABC" w:rsidRDefault="004C12CF" w:rsidP="004053D7">
      <w:pPr>
        <w:pStyle w:val="Heading3"/>
        <w:spacing w:line="360" w:lineRule="auto"/>
        <w:rPr>
          <w:rFonts w:asciiTheme="minorHAnsi" w:hAnsiTheme="minorHAnsi" w:cstheme="minorHAnsi"/>
          <w:color w:val="000000" w:themeColor="text1"/>
        </w:rPr>
      </w:pPr>
      <w:bookmarkStart w:id="337" w:name="_Toc135384380"/>
      <w:r w:rsidRPr="00CA4ABC">
        <w:rPr>
          <w:rFonts w:asciiTheme="minorHAnsi" w:hAnsiTheme="minorHAnsi" w:cstheme="minorHAnsi"/>
          <w:color w:val="000000" w:themeColor="text1"/>
        </w:rPr>
        <w:lastRenderedPageBreak/>
        <w:t>5.3.</w:t>
      </w:r>
      <w:r w:rsidR="007F5B0B"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.3 VAS appetite questionnaires</w:t>
      </w:r>
      <w:bookmarkEnd w:id="337"/>
    </w:p>
    <w:p w14:paraId="6687B00A" w14:textId="68AC3064" w:rsidR="004C12CF" w:rsidRPr="00CA4ABC" w:rsidRDefault="004C12CF" w:rsidP="00357DD3">
      <w:pPr>
        <w:spacing w:line="360" w:lineRule="auto"/>
        <w:ind w:firstLine="720"/>
        <w:rPr>
          <w:rFonts w:cstheme="minorHAnsi"/>
          <w:color w:val="000000" w:themeColor="text1"/>
        </w:rPr>
      </w:pPr>
      <w:r w:rsidRPr="00CA4ABC">
        <w:rPr>
          <w:rFonts w:cstheme="minorHAnsi"/>
          <w:color w:val="000000" w:themeColor="text1"/>
        </w:rPr>
        <w:t xml:space="preserve">No significant differences were seen to the responses to any question in the appetite questionnaire </w:t>
      </w:r>
      <w:r w:rsidR="00552487" w:rsidRPr="00CA4ABC">
        <w:rPr>
          <w:rFonts w:cstheme="minorHAnsi"/>
          <w:color w:val="000000" w:themeColor="text1"/>
        </w:rPr>
        <w:t>(</w:t>
      </w:r>
      <w:r w:rsidRPr="00CA4ABC">
        <w:rPr>
          <w:rFonts w:cstheme="minorHAnsi"/>
          <w:color w:val="000000" w:themeColor="text1"/>
        </w:rPr>
        <w:fldChar w:fldCharType="begin"/>
      </w:r>
      <w:r w:rsidRPr="00CA4ABC">
        <w:rPr>
          <w:rFonts w:cstheme="minorHAnsi"/>
          <w:color w:val="000000" w:themeColor="text1"/>
        </w:rPr>
        <w:instrText xml:space="preserve"> REF _Ref122447671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27</w:t>
      </w:r>
      <w:r w:rsidRPr="00CA4ABC">
        <w:rPr>
          <w:rFonts w:cstheme="minorHAnsi"/>
          <w:color w:val="000000" w:themeColor="text1"/>
        </w:rPr>
        <w:fldChar w:fldCharType="end"/>
      </w:r>
      <w:r w:rsidR="00552487" w:rsidRPr="00CA4ABC">
        <w:rPr>
          <w:rFonts w:cstheme="minorHAnsi"/>
          <w:color w:val="000000" w:themeColor="text1"/>
        </w:rPr>
        <w:t>.)</w:t>
      </w:r>
      <w:r w:rsidRPr="00CA4ABC">
        <w:rPr>
          <w:rFonts w:cstheme="minorHAnsi"/>
          <w:color w:val="000000" w:themeColor="text1"/>
        </w:rPr>
        <w:t xml:space="preserve"> </w:t>
      </w:r>
    </w:p>
    <w:p w14:paraId="7E795FF2" w14:textId="77777777" w:rsidR="004C12CF" w:rsidRPr="00CA4ABC" w:rsidRDefault="004C12CF" w:rsidP="004053D7">
      <w:pPr>
        <w:spacing w:line="360" w:lineRule="auto"/>
        <w:rPr>
          <w:rFonts w:cstheme="minorHAnsi"/>
          <w:color w:val="000000" w:themeColor="text1"/>
        </w:rPr>
      </w:pPr>
    </w:p>
    <w:tbl>
      <w:tblPr>
        <w:tblStyle w:val="TableGrid"/>
        <w:tblW w:w="10880" w:type="dxa"/>
        <w:tblInd w:w="-989" w:type="dxa"/>
        <w:tblLook w:val="04A0" w:firstRow="1" w:lastRow="0" w:firstColumn="1" w:lastColumn="0" w:noHBand="0" w:noVBand="1"/>
      </w:tblPr>
      <w:tblGrid>
        <w:gridCol w:w="2279"/>
        <w:gridCol w:w="2193"/>
        <w:gridCol w:w="2194"/>
        <w:gridCol w:w="2194"/>
        <w:gridCol w:w="2020"/>
      </w:tblGrid>
      <w:tr w:rsidR="004053D7" w:rsidRPr="00CA4ABC" w14:paraId="72CD6222" w14:textId="77777777" w:rsidTr="009E173A">
        <w:trPr>
          <w:trHeight w:val="616"/>
        </w:trPr>
        <w:tc>
          <w:tcPr>
            <w:tcW w:w="2279" w:type="dxa"/>
          </w:tcPr>
          <w:p w14:paraId="1162D1D6" w14:textId="77777777" w:rsidR="004C12CF" w:rsidRPr="00CA4ABC" w:rsidRDefault="004C12CF" w:rsidP="00357DD3">
            <w:pPr>
              <w:rPr>
                <w:rFonts w:cstheme="minorHAnsi"/>
                <w:color w:val="000000" w:themeColor="text1"/>
              </w:rPr>
            </w:pPr>
            <w:r w:rsidRPr="00CA4ABC">
              <w:rPr>
                <w:rFonts w:cstheme="minorHAnsi"/>
                <w:color w:val="000000" w:themeColor="text1"/>
              </w:rPr>
              <w:t>VAS question number</w:t>
            </w:r>
          </w:p>
        </w:tc>
        <w:tc>
          <w:tcPr>
            <w:tcW w:w="2193" w:type="dxa"/>
          </w:tcPr>
          <w:p w14:paraId="1718A93B" w14:textId="77777777" w:rsidR="004C12CF" w:rsidRPr="00CA4ABC" w:rsidRDefault="004C12CF" w:rsidP="00357DD3">
            <w:pPr>
              <w:rPr>
                <w:rFonts w:cstheme="minorHAnsi"/>
                <w:color w:val="000000" w:themeColor="text1"/>
              </w:rPr>
            </w:pPr>
            <w:r w:rsidRPr="00CA4ABC">
              <w:rPr>
                <w:rFonts w:cstheme="minorHAnsi"/>
                <w:color w:val="000000" w:themeColor="text1"/>
              </w:rPr>
              <w:t>Week 0 (Mean(SD))</w:t>
            </w:r>
          </w:p>
        </w:tc>
        <w:tc>
          <w:tcPr>
            <w:tcW w:w="2194" w:type="dxa"/>
          </w:tcPr>
          <w:p w14:paraId="2820EF89" w14:textId="77777777" w:rsidR="004C12CF" w:rsidRPr="00CA4ABC" w:rsidRDefault="004C12CF" w:rsidP="00357DD3">
            <w:pPr>
              <w:rPr>
                <w:rFonts w:cstheme="minorHAnsi"/>
                <w:color w:val="000000" w:themeColor="text1"/>
              </w:rPr>
            </w:pPr>
            <w:r w:rsidRPr="00CA4ABC">
              <w:rPr>
                <w:rFonts w:cstheme="minorHAnsi"/>
                <w:color w:val="000000" w:themeColor="text1"/>
              </w:rPr>
              <w:t>Week 3 (Mean(SD))</w:t>
            </w:r>
          </w:p>
        </w:tc>
        <w:tc>
          <w:tcPr>
            <w:tcW w:w="2194" w:type="dxa"/>
          </w:tcPr>
          <w:p w14:paraId="12922FF7" w14:textId="77777777" w:rsidR="004C12CF" w:rsidRPr="00CA4ABC" w:rsidRDefault="004C12CF" w:rsidP="00357DD3">
            <w:pPr>
              <w:rPr>
                <w:rFonts w:cstheme="minorHAnsi"/>
                <w:color w:val="000000" w:themeColor="text1"/>
              </w:rPr>
            </w:pPr>
            <w:r w:rsidRPr="00CA4ABC">
              <w:rPr>
                <w:rFonts w:cstheme="minorHAnsi"/>
                <w:color w:val="000000" w:themeColor="text1"/>
              </w:rPr>
              <w:t>Week 6 (Mean(SD))</w:t>
            </w:r>
          </w:p>
        </w:tc>
        <w:tc>
          <w:tcPr>
            <w:tcW w:w="2020" w:type="dxa"/>
          </w:tcPr>
          <w:p w14:paraId="0D46DE5E" w14:textId="77777777" w:rsidR="004C12CF" w:rsidRPr="00CA4ABC" w:rsidRDefault="004C12CF" w:rsidP="00357DD3">
            <w:pPr>
              <w:rPr>
                <w:rFonts w:cstheme="minorHAnsi"/>
                <w:color w:val="000000" w:themeColor="text1"/>
              </w:rPr>
            </w:pPr>
            <w:r w:rsidRPr="00CA4ABC">
              <w:rPr>
                <w:rFonts w:cstheme="minorHAnsi"/>
                <w:color w:val="000000" w:themeColor="text1"/>
              </w:rPr>
              <w:t>Repeated measures ANOVA* (p value)</w:t>
            </w:r>
          </w:p>
        </w:tc>
      </w:tr>
      <w:tr w:rsidR="004053D7" w:rsidRPr="00CA4ABC" w14:paraId="4D5F81CE" w14:textId="77777777" w:rsidTr="009E173A">
        <w:trPr>
          <w:trHeight w:val="308"/>
        </w:trPr>
        <w:tc>
          <w:tcPr>
            <w:tcW w:w="2279" w:type="dxa"/>
          </w:tcPr>
          <w:p w14:paraId="4C3AB613" w14:textId="425B518A" w:rsidR="004C12CF" w:rsidRPr="00CA4ABC" w:rsidRDefault="004C12CF" w:rsidP="00357DD3">
            <w:pPr>
              <w:rPr>
                <w:rFonts w:cstheme="minorHAnsi"/>
                <w:color w:val="000000" w:themeColor="text1"/>
              </w:rPr>
            </w:pPr>
            <w:r w:rsidRPr="00CA4ABC">
              <w:rPr>
                <w:rFonts w:cstheme="minorHAnsi"/>
                <w:color w:val="000000" w:themeColor="text1"/>
              </w:rPr>
              <w:t>1</w:t>
            </w:r>
            <w:r w:rsidR="00926D6B" w:rsidRPr="00CA4ABC">
              <w:rPr>
                <w:rFonts w:cstheme="minorHAnsi"/>
                <w:color w:val="000000" w:themeColor="text1"/>
              </w:rPr>
              <w:t xml:space="preserve"> (hungry)</w:t>
            </w:r>
            <w:r w:rsidR="007A5ADA" w:rsidRPr="00CA4ABC">
              <w:rPr>
                <w:rFonts w:cstheme="minorHAnsi"/>
                <w:color w:val="000000"/>
                <w:sz w:val="22"/>
                <w:szCs w:val="22"/>
              </w:rPr>
              <w:t xml:space="preserve"> Ɨ</w:t>
            </w:r>
          </w:p>
        </w:tc>
        <w:tc>
          <w:tcPr>
            <w:tcW w:w="2193" w:type="dxa"/>
          </w:tcPr>
          <w:p w14:paraId="0367DD55" w14:textId="77777777" w:rsidR="004C12CF" w:rsidRPr="00CA4ABC" w:rsidRDefault="004C12CF" w:rsidP="00357DD3">
            <w:pPr>
              <w:rPr>
                <w:rFonts w:cstheme="minorHAnsi"/>
                <w:color w:val="000000" w:themeColor="text1"/>
              </w:rPr>
            </w:pPr>
            <w:r w:rsidRPr="00CA4ABC">
              <w:rPr>
                <w:rFonts w:cstheme="minorHAnsi"/>
                <w:color w:val="000000" w:themeColor="text1"/>
              </w:rPr>
              <w:t>27.0 (21.8)</w:t>
            </w:r>
          </w:p>
        </w:tc>
        <w:tc>
          <w:tcPr>
            <w:tcW w:w="2194" w:type="dxa"/>
          </w:tcPr>
          <w:p w14:paraId="42A2C4F8" w14:textId="77777777" w:rsidR="004C12CF" w:rsidRPr="00CA4ABC" w:rsidRDefault="004C12CF" w:rsidP="00357DD3">
            <w:pPr>
              <w:rPr>
                <w:rFonts w:cstheme="minorHAnsi"/>
                <w:color w:val="000000" w:themeColor="text1"/>
              </w:rPr>
            </w:pPr>
            <w:r w:rsidRPr="00CA4ABC">
              <w:rPr>
                <w:rFonts w:cstheme="minorHAnsi"/>
                <w:color w:val="000000" w:themeColor="text1"/>
              </w:rPr>
              <w:t>29.2 (21.8)</w:t>
            </w:r>
          </w:p>
        </w:tc>
        <w:tc>
          <w:tcPr>
            <w:tcW w:w="2194" w:type="dxa"/>
          </w:tcPr>
          <w:p w14:paraId="796B35AF" w14:textId="77777777" w:rsidR="004C12CF" w:rsidRPr="00CA4ABC" w:rsidRDefault="004C12CF" w:rsidP="00357DD3">
            <w:pPr>
              <w:rPr>
                <w:rFonts w:cstheme="minorHAnsi"/>
                <w:color w:val="000000" w:themeColor="text1"/>
              </w:rPr>
            </w:pPr>
            <w:r w:rsidRPr="00CA4ABC">
              <w:rPr>
                <w:rFonts w:cstheme="minorHAnsi"/>
                <w:color w:val="000000" w:themeColor="text1"/>
              </w:rPr>
              <w:t>27.4 (12.9)</w:t>
            </w:r>
          </w:p>
        </w:tc>
        <w:tc>
          <w:tcPr>
            <w:tcW w:w="2020" w:type="dxa"/>
          </w:tcPr>
          <w:p w14:paraId="20F76161" w14:textId="77777777" w:rsidR="004C12CF" w:rsidRPr="00CA4ABC" w:rsidRDefault="004C12CF" w:rsidP="00357DD3">
            <w:pPr>
              <w:rPr>
                <w:rFonts w:cstheme="minorHAnsi"/>
                <w:color w:val="000000" w:themeColor="text1"/>
              </w:rPr>
            </w:pPr>
            <w:r w:rsidRPr="00CA4ABC">
              <w:rPr>
                <w:rFonts w:cstheme="minorHAnsi"/>
                <w:color w:val="000000" w:themeColor="text1"/>
              </w:rPr>
              <w:t>0.991 (0.970)</w:t>
            </w:r>
          </w:p>
        </w:tc>
      </w:tr>
      <w:tr w:rsidR="004053D7" w:rsidRPr="00CA4ABC" w14:paraId="49DEABCC" w14:textId="77777777" w:rsidTr="009E173A">
        <w:trPr>
          <w:trHeight w:val="308"/>
        </w:trPr>
        <w:tc>
          <w:tcPr>
            <w:tcW w:w="2279" w:type="dxa"/>
          </w:tcPr>
          <w:p w14:paraId="6403A52F" w14:textId="1F439E9C" w:rsidR="004C12CF" w:rsidRPr="00CA4ABC" w:rsidRDefault="004C12CF" w:rsidP="00357DD3">
            <w:pPr>
              <w:rPr>
                <w:rFonts w:cstheme="minorHAnsi"/>
                <w:color w:val="000000" w:themeColor="text1"/>
              </w:rPr>
            </w:pPr>
            <w:r w:rsidRPr="00CA4ABC">
              <w:rPr>
                <w:rFonts w:cstheme="minorHAnsi"/>
                <w:color w:val="000000" w:themeColor="text1"/>
              </w:rPr>
              <w:t>2</w:t>
            </w:r>
            <w:r w:rsidR="00926D6B" w:rsidRPr="00CA4ABC">
              <w:rPr>
                <w:rFonts w:cstheme="minorHAnsi"/>
                <w:color w:val="000000" w:themeColor="text1"/>
              </w:rPr>
              <w:t xml:space="preserve"> (satisfied)</w:t>
            </w:r>
            <w:r w:rsidR="007A5ADA" w:rsidRPr="00CA4ABC">
              <w:rPr>
                <w:rFonts w:cstheme="minorHAnsi"/>
                <w:color w:val="000000"/>
                <w:sz w:val="22"/>
                <w:szCs w:val="22"/>
              </w:rPr>
              <w:t xml:space="preserve"> Ɨ</w:t>
            </w:r>
          </w:p>
        </w:tc>
        <w:tc>
          <w:tcPr>
            <w:tcW w:w="2193" w:type="dxa"/>
          </w:tcPr>
          <w:p w14:paraId="7AE4E4BF" w14:textId="77777777" w:rsidR="004C12CF" w:rsidRPr="00CA4ABC" w:rsidRDefault="004C12CF" w:rsidP="00357DD3">
            <w:pPr>
              <w:rPr>
                <w:rFonts w:cstheme="minorHAnsi"/>
                <w:color w:val="000000" w:themeColor="text1"/>
              </w:rPr>
            </w:pPr>
            <w:r w:rsidRPr="00CA4ABC">
              <w:rPr>
                <w:rFonts w:cstheme="minorHAnsi"/>
                <w:color w:val="000000" w:themeColor="text1"/>
              </w:rPr>
              <w:t>50.33 (21.1)</w:t>
            </w:r>
          </w:p>
        </w:tc>
        <w:tc>
          <w:tcPr>
            <w:tcW w:w="2194" w:type="dxa"/>
          </w:tcPr>
          <w:p w14:paraId="3A286A13" w14:textId="77777777" w:rsidR="004C12CF" w:rsidRPr="00CA4ABC" w:rsidRDefault="004C12CF" w:rsidP="00357DD3">
            <w:pPr>
              <w:rPr>
                <w:rFonts w:cstheme="minorHAnsi"/>
                <w:color w:val="000000" w:themeColor="text1"/>
              </w:rPr>
            </w:pPr>
            <w:r w:rsidRPr="00CA4ABC">
              <w:rPr>
                <w:rFonts w:cstheme="minorHAnsi"/>
                <w:color w:val="000000" w:themeColor="text1"/>
              </w:rPr>
              <w:t>60.4 (18.0)</w:t>
            </w:r>
          </w:p>
        </w:tc>
        <w:tc>
          <w:tcPr>
            <w:tcW w:w="2194" w:type="dxa"/>
          </w:tcPr>
          <w:p w14:paraId="3B7A29F4" w14:textId="77777777" w:rsidR="004C12CF" w:rsidRPr="00CA4ABC" w:rsidRDefault="004C12CF" w:rsidP="00357DD3">
            <w:pPr>
              <w:rPr>
                <w:rFonts w:cstheme="minorHAnsi"/>
                <w:color w:val="000000" w:themeColor="text1"/>
              </w:rPr>
            </w:pPr>
            <w:r w:rsidRPr="00CA4ABC">
              <w:rPr>
                <w:rFonts w:cstheme="minorHAnsi"/>
                <w:color w:val="000000" w:themeColor="text1"/>
              </w:rPr>
              <w:t>44.2 (17.4)</w:t>
            </w:r>
          </w:p>
        </w:tc>
        <w:tc>
          <w:tcPr>
            <w:tcW w:w="2020" w:type="dxa"/>
          </w:tcPr>
          <w:p w14:paraId="58A84151" w14:textId="77777777" w:rsidR="004C12CF" w:rsidRPr="00CA4ABC" w:rsidRDefault="004C12CF" w:rsidP="00357DD3">
            <w:pPr>
              <w:rPr>
                <w:rFonts w:cstheme="minorHAnsi"/>
                <w:color w:val="000000" w:themeColor="text1"/>
              </w:rPr>
            </w:pPr>
            <w:r w:rsidRPr="00CA4ABC">
              <w:rPr>
                <w:rFonts w:cstheme="minorHAnsi"/>
                <w:color w:val="000000" w:themeColor="text1"/>
              </w:rPr>
              <w:t>0.450 (0.061)</w:t>
            </w:r>
          </w:p>
        </w:tc>
      </w:tr>
      <w:tr w:rsidR="004053D7" w:rsidRPr="00CA4ABC" w14:paraId="197F4D3C" w14:textId="77777777" w:rsidTr="009E173A">
        <w:trPr>
          <w:trHeight w:val="308"/>
        </w:trPr>
        <w:tc>
          <w:tcPr>
            <w:tcW w:w="2279" w:type="dxa"/>
          </w:tcPr>
          <w:p w14:paraId="7E71961C" w14:textId="1A81D67D" w:rsidR="004C12CF" w:rsidRPr="00CA4ABC" w:rsidRDefault="004C12CF" w:rsidP="00357DD3">
            <w:pPr>
              <w:rPr>
                <w:rFonts w:cstheme="minorHAnsi"/>
                <w:color w:val="000000" w:themeColor="text1"/>
              </w:rPr>
            </w:pPr>
            <w:r w:rsidRPr="00CA4ABC">
              <w:rPr>
                <w:rFonts w:cstheme="minorHAnsi"/>
                <w:color w:val="000000" w:themeColor="text1"/>
              </w:rPr>
              <w:t>3</w:t>
            </w:r>
            <w:r w:rsidR="00926D6B" w:rsidRPr="00CA4ABC">
              <w:rPr>
                <w:rFonts w:cstheme="minorHAnsi"/>
                <w:color w:val="000000" w:themeColor="text1"/>
              </w:rPr>
              <w:t xml:space="preserve"> (full)</w:t>
            </w:r>
            <w:r w:rsidR="007A5ADA" w:rsidRPr="00CA4ABC">
              <w:rPr>
                <w:rFonts w:cstheme="minorHAnsi"/>
                <w:color w:val="000000"/>
                <w:sz w:val="22"/>
                <w:szCs w:val="22"/>
              </w:rPr>
              <w:t xml:space="preserve"> Ɨ</w:t>
            </w:r>
          </w:p>
        </w:tc>
        <w:tc>
          <w:tcPr>
            <w:tcW w:w="2193" w:type="dxa"/>
          </w:tcPr>
          <w:p w14:paraId="6698AAAD" w14:textId="77777777" w:rsidR="004C12CF" w:rsidRPr="00CA4ABC" w:rsidRDefault="004C12CF" w:rsidP="00357DD3">
            <w:pPr>
              <w:rPr>
                <w:rFonts w:cstheme="minorHAnsi"/>
                <w:color w:val="000000" w:themeColor="text1"/>
              </w:rPr>
            </w:pPr>
            <w:r w:rsidRPr="00CA4ABC">
              <w:rPr>
                <w:rFonts w:cstheme="minorHAnsi"/>
                <w:color w:val="000000" w:themeColor="text1"/>
              </w:rPr>
              <w:t>49.2 (27.6)</w:t>
            </w:r>
          </w:p>
        </w:tc>
        <w:tc>
          <w:tcPr>
            <w:tcW w:w="2194" w:type="dxa"/>
          </w:tcPr>
          <w:p w14:paraId="09D8AE74" w14:textId="77777777" w:rsidR="004C12CF" w:rsidRPr="00CA4ABC" w:rsidRDefault="004C12CF" w:rsidP="00357DD3">
            <w:pPr>
              <w:rPr>
                <w:rFonts w:cstheme="minorHAnsi"/>
                <w:color w:val="000000" w:themeColor="text1"/>
              </w:rPr>
            </w:pPr>
            <w:r w:rsidRPr="00CA4ABC">
              <w:rPr>
                <w:rFonts w:cstheme="minorHAnsi"/>
                <w:color w:val="000000" w:themeColor="text1"/>
              </w:rPr>
              <w:t>54.2 (29.9)</w:t>
            </w:r>
          </w:p>
        </w:tc>
        <w:tc>
          <w:tcPr>
            <w:tcW w:w="2194" w:type="dxa"/>
          </w:tcPr>
          <w:p w14:paraId="58A9586E" w14:textId="77777777" w:rsidR="004C12CF" w:rsidRPr="00CA4ABC" w:rsidRDefault="004C12CF" w:rsidP="00357DD3">
            <w:pPr>
              <w:rPr>
                <w:rFonts w:cstheme="minorHAnsi"/>
                <w:color w:val="000000" w:themeColor="text1"/>
              </w:rPr>
            </w:pPr>
            <w:r w:rsidRPr="00CA4ABC">
              <w:rPr>
                <w:rFonts w:cstheme="minorHAnsi"/>
                <w:color w:val="000000" w:themeColor="text1"/>
              </w:rPr>
              <w:t>43.8 (17.3)</w:t>
            </w:r>
          </w:p>
        </w:tc>
        <w:tc>
          <w:tcPr>
            <w:tcW w:w="2020" w:type="dxa"/>
          </w:tcPr>
          <w:p w14:paraId="73B247F4" w14:textId="77777777" w:rsidR="004C12CF" w:rsidRPr="00CA4ABC" w:rsidRDefault="004C12CF" w:rsidP="00357DD3">
            <w:pPr>
              <w:rPr>
                <w:rFonts w:cstheme="minorHAnsi"/>
                <w:color w:val="000000" w:themeColor="text1"/>
              </w:rPr>
            </w:pPr>
            <w:r w:rsidRPr="00CA4ABC">
              <w:rPr>
                <w:rFonts w:cstheme="minorHAnsi"/>
                <w:color w:val="000000" w:themeColor="text1"/>
              </w:rPr>
              <w:t>0.896 (0.680)</w:t>
            </w:r>
          </w:p>
        </w:tc>
      </w:tr>
      <w:tr w:rsidR="004053D7" w:rsidRPr="00CA4ABC" w14:paraId="3A4C2239" w14:textId="77777777" w:rsidTr="009E173A">
        <w:trPr>
          <w:trHeight w:val="308"/>
        </w:trPr>
        <w:tc>
          <w:tcPr>
            <w:tcW w:w="2279" w:type="dxa"/>
          </w:tcPr>
          <w:p w14:paraId="43C2B85C" w14:textId="1DF5909A" w:rsidR="004C12CF" w:rsidRPr="00CA4ABC" w:rsidRDefault="004C12CF" w:rsidP="00357DD3">
            <w:pPr>
              <w:rPr>
                <w:rFonts w:cstheme="minorHAnsi"/>
                <w:color w:val="000000" w:themeColor="text1"/>
              </w:rPr>
            </w:pPr>
            <w:r w:rsidRPr="00CA4ABC">
              <w:rPr>
                <w:rFonts w:cstheme="minorHAnsi"/>
                <w:color w:val="000000" w:themeColor="text1"/>
              </w:rPr>
              <w:t>4</w:t>
            </w:r>
            <w:r w:rsidR="00926D6B" w:rsidRPr="00CA4ABC">
              <w:rPr>
                <w:rFonts w:cstheme="minorHAnsi"/>
                <w:color w:val="000000" w:themeColor="text1"/>
              </w:rPr>
              <w:t xml:space="preserve"> (eating amount)</w:t>
            </w:r>
            <w:r w:rsidR="007A5ADA" w:rsidRPr="00CA4ABC">
              <w:rPr>
                <w:rFonts w:cstheme="minorHAnsi"/>
                <w:color w:val="000000"/>
                <w:sz w:val="22"/>
                <w:szCs w:val="22"/>
              </w:rPr>
              <w:t xml:space="preserve"> Ɨ</w:t>
            </w:r>
          </w:p>
        </w:tc>
        <w:tc>
          <w:tcPr>
            <w:tcW w:w="2193" w:type="dxa"/>
          </w:tcPr>
          <w:p w14:paraId="202778CA" w14:textId="77777777" w:rsidR="004C12CF" w:rsidRPr="00CA4ABC" w:rsidRDefault="004C12CF" w:rsidP="00357DD3">
            <w:pPr>
              <w:rPr>
                <w:rFonts w:cstheme="minorHAnsi"/>
                <w:color w:val="000000" w:themeColor="text1"/>
              </w:rPr>
            </w:pPr>
            <w:r w:rsidRPr="00CA4ABC">
              <w:rPr>
                <w:rFonts w:cstheme="minorHAnsi"/>
                <w:color w:val="000000" w:themeColor="text1"/>
              </w:rPr>
              <w:t>42.3 (25.9)</w:t>
            </w:r>
          </w:p>
        </w:tc>
        <w:tc>
          <w:tcPr>
            <w:tcW w:w="2194" w:type="dxa"/>
          </w:tcPr>
          <w:p w14:paraId="2551AF48" w14:textId="77777777" w:rsidR="004C12CF" w:rsidRPr="00CA4ABC" w:rsidRDefault="004C12CF" w:rsidP="00357DD3">
            <w:pPr>
              <w:rPr>
                <w:rFonts w:cstheme="minorHAnsi"/>
                <w:color w:val="000000" w:themeColor="text1"/>
              </w:rPr>
            </w:pPr>
            <w:r w:rsidRPr="00CA4ABC">
              <w:rPr>
                <w:rFonts w:cstheme="minorHAnsi"/>
                <w:color w:val="000000" w:themeColor="text1"/>
              </w:rPr>
              <w:t>34.0 (20.0)</w:t>
            </w:r>
          </w:p>
        </w:tc>
        <w:tc>
          <w:tcPr>
            <w:tcW w:w="2194" w:type="dxa"/>
          </w:tcPr>
          <w:p w14:paraId="49BE2516" w14:textId="77777777" w:rsidR="004C12CF" w:rsidRPr="00CA4ABC" w:rsidRDefault="004C12CF" w:rsidP="00357DD3">
            <w:pPr>
              <w:rPr>
                <w:rFonts w:cstheme="minorHAnsi"/>
                <w:color w:val="000000" w:themeColor="text1"/>
              </w:rPr>
            </w:pPr>
            <w:r w:rsidRPr="00CA4ABC">
              <w:rPr>
                <w:rFonts w:cstheme="minorHAnsi"/>
                <w:color w:val="000000" w:themeColor="text1"/>
              </w:rPr>
              <w:t>42.22 (23.0)</w:t>
            </w:r>
          </w:p>
        </w:tc>
        <w:tc>
          <w:tcPr>
            <w:tcW w:w="2020" w:type="dxa"/>
          </w:tcPr>
          <w:p w14:paraId="1EA1A538" w14:textId="77777777" w:rsidR="004C12CF" w:rsidRPr="00CA4ABC" w:rsidRDefault="004C12CF" w:rsidP="00357DD3">
            <w:pPr>
              <w:rPr>
                <w:rFonts w:cstheme="minorHAnsi"/>
                <w:color w:val="000000" w:themeColor="text1"/>
              </w:rPr>
            </w:pPr>
            <w:r w:rsidRPr="00CA4ABC">
              <w:rPr>
                <w:rFonts w:cstheme="minorHAnsi"/>
                <w:color w:val="000000" w:themeColor="text1"/>
              </w:rPr>
              <w:t>0.859 (0.588)</w:t>
            </w:r>
          </w:p>
        </w:tc>
      </w:tr>
      <w:tr w:rsidR="004053D7" w:rsidRPr="00CA4ABC" w14:paraId="7C456300" w14:textId="77777777" w:rsidTr="009E173A">
        <w:trPr>
          <w:trHeight w:val="308"/>
        </w:trPr>
        <w:tc>
          <w:tcPr>
            <w:tcW w:w="2279" w:type="dxa"/>
          </w:tcPr>
          <w:p w14:paraId="15C9A61F" w14:textId="59CDE813" w:rsidR="004C12CF" w:rsidRPr="00CA4ABC" w:rsidRDefault="004C12CF" w:rsidP="00357DD3">
            <w:pPr>
              <w:rPr>
                <w:rFonts w:cstheme="minorHAnsi"/>
                <w:color w:val="000000" w:themeColor="text1"/>
              </w:rPr>
            </w:pPr>
            <w:r w:rsidRPr="00CA4ABC">
              <w:rPr>
                <w:rFonts w:cstheme="minorHAnsi"/>
                <w:color w:val="000000" w:themeColor="text1"/>
              </w:rPr>
              <w:t>5</w:t>
            </w:r>
            <w:r w:rsidR="00926D6B" w:rsidRPr="00CA4ABC">
              <w:rPr>
                <w:rFonts w:cstheme="minorHAnsi"/>
                <w:color w:val="000000" w:themeColor="text1"/>
              </w:rPr>
              <w:t xml:space="preserve"> (eating desire)</w:t>
            </w:r>
            <w:r w:rsidR="007A5ADA" w:rsidRPr="00CA4ABC">
              <w:rPr>
                <w:rFonts w:cstheme="minorHAnsi"/>
                <w:color w:val="000000"/>
                <w:sz w:val="22"/>
                <w:szCs w:val="22"/>
              </w:rPr>
              <w:t xml:space="preserve"> Ɨ</w:t>
            </w:r>
          </w:p>
        </w:tc>
        <w:tc>
          <w:tcPr>
            <w:tcW w:w="2193" w:type="dxa"/>
          </w:tcPr>
          <w:p w14:paraId="73F6BCB0" w14:textId="77777777" w:rsidR="004C12CF" w:rsidRPr="00CA4ABC" w:rsidRDefault="004C12CF" w:rsidP="00357DD3">
            <w:pPr>
              <w:rPr>
                <w:rFonts w:cstheme="minorHAnsi"/>
                <w:color w:val="000000" w:themeColor="text1"/>
              </w:rPr>
            </w:pPr>
            <w:r w:rsidRPr="00CA4ABC">
              <w:rPr>
                <w:rFonts w:cstheme="minorHAnsi"/>
                <w:color w:val="000000" w:themeColor="text1"/>
              </w:rPr>
              <w:t>32.2 (19.0)</w:t>
            </w:r>
          </w:p>
        </w:tc>
        <w:tc>
          <w:tcPr>
            <w:tcW w:w="2194" w:type="dxa"/>
          </w:tcPr>
          <w:p w14:paraId="5BB1AC70" w14:textId="77777777" w:rsidR="004C12CF" w:rsidRPr="00CA4ABC" w:rsidRDefault="004C12CF" w:rsidP="00357DD3">
            <w:pPr>
              <w:rPr>
                <w:rFonts w:cstheme="minorHAnsi"/>
                <w:color w:val="000000" w:themeColor="text1"/>
              </w:rPr>
            </w:pPr>
            <w:r w:rsidRPr="00CA4ABC">
              <w:rPr>
                <w:rFonts w:cstheme="minorHAnsi"/>
                <w:color w:val="000000" w:themeColor="text1"/>
              </w:rPr>
              <w:t>30.1 (16.2)</w:t>
            </w:r>
          </w:p>
        </w:tc>
        <w:tc>
          <w:tcPr>
            <w:tcW w:w="2194" w:type="dxa"/>
          </w:tcPr>
          <w:p w14:paraId="4A31324F" w14:textId="77777777" w:rsidR="004C12CF" w:rsidRPr="00CA4ABC" w:rsidRDefault="004C12CF" w:rsidP="00357DD3">
            <w:pPr>
              <w:rPr>
                <w:rFonts w:cstheme="minorHAnsi"/>
                <w:color w:val="000000" w:themeColor="text1"/>
              </w:rPr>
            </w:pPr>
            <w:r w:rsidRPr="00CA4ABC">
              <w:rPr>
                <w:rFonts w:cstheme="minorHAnsi"/>
                <w:color w:val="000000" w:themeColor="text1"/>
              </w:rPr>
              <w:t>32.7 (20.7)</w:t>
            </w:r>
          </w:p>
        </w:tc>
        <w:tc>
          <w:tcPr>
            <w:tcW w:w="2020" w:type="dxa"/>
          </w:tcPr>
          <w:p w14:paraId="5C63D092" w14:textId="77777777" w:rsidR="004C12CF" w:rsidRPr="00CA4ABC" w:rsidRDefault="004C12CF" w:rsidP="00357DD3">
            <w:pPr>
              <w:rPr>
                <w:rFonts w:cstheme="minorHAnsi"/>
                <w:color w:val="000000" w:themeColor="text1"/>
              </w:rPr>
            </w:pPr>
            <w:r w:rsidRPr="00CA4ABC">
              <w:rPr>
                <w:rFonts w:cstheme="minorHAnsi"/>
                <w:color w:val="000000" w:themeColor="text1"/>
              </w:rPr>
              <w:t>0.981 (0.935)</w:t>
            </w:r>
          </w:p>
        </w:tc>
      </w:tr>
      <w:tr w:rsidR="004053D7" w:rsidRPr="00CA4ABC" w14:paraId="1E6CD9F5" w14:textId="77777777" w:rsidTr="009E173A">
        <w:trPr>
          <w:trHeight w:val="308"/>
        </w:trPr>
        <w:tc>
          <w:tcPr>
            <w:tcW w:w="2279" w:type="dxa"/>
          </w:tcPr>
          <w:p w14:paraId="0CF401C5" w14:textId="40FC357C" w:rsidR="004C12CF" w:rsidRPr="00CA4ABC" w:rsidRDefault="004C12CF" w:rsidP="00357DD3">
            <w:pPr>
              <w:rPr>
                <w:rFonts w:cstheme="minorHAnsi"/>
                <w:color w:val="000000" w:themeColor="text1"/>
              </w:rPr>
            </w:pPr>
            <w:r w:rsidRPr="00CA4ABC">
              <w:rPr>
                <w:rFonts w:cstheme="minorHAnsi"/>
                <w:color w:val="000000" w:themeColor="text1"/>
              </w:rPr>
              <w:t>6</w:t>
            </w:r>
            <w:r w:rsidR="00926D6B" w:rsidRPr="00CA4ABC">
              <w:rPr>
                <w:rFonts w:cstheme="minorHAnsi"/>
                <w:color w:val="000000" w:themeColor="text1"/>
              </w:rPr>
              <w:t xml:space="preserve"> (sweet)</w:t>
            </w:r>
            <w:r w:rsidR="007A5ADA" w:rsidRPr="00CA4ABC">
              <w:rPr>
                <w:rFonts w:cstheme="minorHAnsi"/>
                <w:color w:val="000000"/>
                <w:sz w:val="22"/>
                <w:szCs w:val="22"/>
              </w:rPr>
              <w:t xml:space="preserve"> Ɨ</w:t>
            </w:r>
          </w:p>
        </w:tc>
        <w:tc>
          <w:tcPr>
            <w:tcW w:w="2193" w:type="dxa"/>
          </w:tcPr>
          <w:p w14:paraId="07F4A555" w14:textId="77777777" w:rsidR="004C12CF" w:rsidRPr="00CA4ABC" w:rsidRDefault="004C12CF" w:rsidP="00357DD3">
            <w:pPr>
              <w:rPr>
                <w:rFonts w:cstheme="minorHAnsi"/>
                <w:color w:val="000000" w:themeColor="text1"/>
              </w:rPr>
            </w:pPr>
            <w:r w:rsidRPr="00CA4ABC">
              <w:rPr>
                <w:rFonts w:cstheme="minorHAnsi"/>
                <w:color w:val="000000" w:themeColor="text1"/>
              </w:rPr>
              <w:t>60.3 (27.8)</w:t>
            </w:r>
          </w:p>
        </w:tc>
        <w:tc>
          <w:tcPr>
            <w:tcW w:w="2194" w:type="dxa"/>
          </w:tcPr>
          <w:p w14:paraId="4F775B49" w14:textId="77777777" w:rsidR="004C12CF" w:rsidRPr="00CA4ABC" w:rsidRDefault="004C12CF" w:rsidP="00357DD3">
            <w:pPr>
              <w:rPr>
                <w:rFonts w:cstheme="minorHAnsi"/>
                <w:color w:val="000000" w:themeColor="text1"/>
              </w:rPr>
            </w:pPr>
            <w:r w:rsidRPr="00CA4ABC">
              <w:rPr>
                <w:rFonts w:cstheme="minorHAnsi"/>
                <w:color w:val="000000" w:themeColor="text1"/>
              </w:rPr>
              <w:t>75.0 (11.4)</w:t>
            </w:r>
          </w:p>
        </w:tc>
        <w:tc>
          <w:tcPr>
            <w:tcW w:w="2194" w:type="dxa"/>
          </w:tcPr>
          <w:p w14:paraId="30F5DC35" w14:textId="77777777" w:rsidR="004C12CF" w:rsidRPr="00CA4ABC" w:rsidRDefault="004C12CF" w:rsidP="00357DD3">
            <w:pPr>
              <w:rPr>
                <w:rFonts w:cstheme="minorHAnsi"/>
                <w:color w:val="000000" w:themeColor="text1"/>
              </w:rPr>
            </w:pPr>
            <w:r w:rsidRPr="00CA4ABC">
              <w:rPr>
                <w:rFonts w:cstheme="minorHAnsi"/>
                <w:color w:val="000000" w:themeColor="text1"/>
              </w:rPr>
              <w:t>59.2 (25.8)</w:t>
            </w:r>
          </w:p>
        </w:tc>
        <w:tc>
          <w:tcPr>
            <w:tcW w:w="2020" w:type="dxa"/>
          </w:tcPr>
          <w:p w14:paraId="630DAB2D" w14:textId="77777777" w:rsidR="004C12CF" w:rsidRPr="00CA4ABC" w:rsidRDefault="004C12CF" w:rsidP="00357DD3">
            <w:pPr>
              <w:rPr>
                <w:rFonts w:cstheme="minorHAnsi"/>
                <w:color w:val="000000" w:themeColor="text1"/>
              </w:rPr>
            </w:pPr>
            <w:r w:rsidRPr="00CA4ABC">
              <w:rPr>
                <w:rFonts w:cstheme="minorHAnsi"/>
                <w:color w:val="000000" w:themeColor="text1"/>
              </w:rPr>
              <w:t>0.573 (0.142)</w:t>
            </w:r>
          </w:p>
        </w:tc>
      </w:tr>
      <w:tr w:rsidR="004053D7" w:rsidRPr="00CA4ABC" w14:paraId="7AD43399" w14:textId="77777777" w:rsidTr="009E173A">
        <w:trPr>
          <w:trHeight w:val="308"/>
        </w:trPr>
        <w:tc>
          <w:tcPr>
            <w:tcW w:w="2279" w:type="dxa"/>
          </w:tcPr>
          <w:p w14:paraId="50F2421A" w14:textId="7FF9212A" w:rsidR="004C12CF" w:rsidRPr="00CA4ABC" w:rsidRDefault="004C12CF" w:rsidP="00357DD3">
            <w:pPr>
              <w:rPr>
                <w:rFonts w:cstheme="minorHAnsi"/>
                <w:color w:val="000000" w:themeColor="text1"/>
              </w:rPr>
            </w:pPr>
            <w:r w:rsidRPr="00CA4ABC">
              <w:rPr>
                <w:rFonts w:cstheme="minorHAnsi"/>
                <w:color w:val="000000" w:themeColor="text1"/>
              </w:rPr>
              <w:t>7</w:t>
            </w:r>
            <w:r w:rsidR="00926D6B" w:rsidRPr="00CA4ABC">
              <w:rPr>
                <w:rFonts w:cstheme="minorHAnsi"/>
                <w:color w:val="000000" w:themeColor="text1"/>
              </w:rPr>
              <w:t xml:space="preserve"> (salty)</w:t>
            </w:r>
            <w:r w:rsidR="007A5ADA" w:rsidRPr="00CA4ABC">
              <w:rPr>
                <w:rFonts w:cstheme="minorHAnsi"/>
                <w:color w:val="000000"/>
                <w:sz w:val="22"/>
                <w:szCs w:val="22"/>
              </w:rPr>
              <w:t xml:space="preserve"> Ɨ</w:t>
            </w:r>
          </w:p>
        </w:tc>
        <w:tc>
          <w:tcPr>
            <w:tcW w:w="2193" w:type="dxa"/>
          </w:tcPr>
          <w:p w14:paraId="78DEBED3" w14:textId="77777777" w:rsidR="004C12CF" w:rsidRPr="00CA4ABC" w:rsidRDefault="004C12CF" w:rsidP="00357DD3">
            <w:pPr>
              <w:rPr>
                <w:rFonts w:cstheme="minorHAnsi"/>
                <w:color w:val="000000" w:themeColor="text1"/>
              </w:rPr>
            </w:pPr>
            <w:r w:rsidRPr="00CA4ABC">
              <w:rPr>
                <w:rFonts w:cstheme="minorHAnsi"/>
                <w:color w:val="000000" w:themeColor="text1"/>
              </w:rPr>
              <w:t>60.3 (32.3)</w:t>
            </w:r>
          </w:p>
        </w:tc>
        <w:tc>
          <w:tcPr>
            <w:tcW w:w="2194" w:type="dxa"/>
          </w:tcPr>
          <w:p w14:paraId="144BADA0" w14:textId="77777777" w:rsidR="004C12CF" w:rsidRPr="00CA4ABC" w:rsidRDefault="004C12CF" w:rsidP="00357DD3">
            <w:pPr>
              <w:rPr>
                <w:rFonts w:cstheme="minorHAnsi"/>
                <w:color w:val="000000" w:themeColor="text1"/>
              </w:rPr>
            </w:pPr>
            <w:r w:rsidRPr="00CA4ABC">
              <w:rPr>
                <w:rFonts w:cstheme="minorHAnsi"/>
                <w:color w:val="000000" w:themeColor="text1"/>
              </w:rPr>
              <w:t>68.2 (21.2)</w:t>
            </w:r>
          </w:p>
        </w:tc>
        <w:tc>
          <w:tcPr>
            <w:tcW w:w="2194" w:type="dxa"/>
          </w:tcPr>
          <w:p w14:paraId="3650881A" w14:textId="77777777" w:rsidR="004C12CF" w:rsidRPr="00CA4ABC" w:rsidRDefault="004C12CF" w:rsidP="00357DD3">
            <w:pPr>
              <w:rPr>
                <w:rFonts w:cstheme="minorHAnsi"/>
                <w:color w:val="000000" w:themeColor="text1"/>
              </w:rPr>
            </w:pPr>
            <w:r w:rsidRPr="00CA4ABC">
              <w:rPr>
                <w:rFonts w:cstheme="minorHAnsi"/>
                <w:color w:val="000000" w:themeColor="text1"/>
              </w:rPr>
              <w:t>54.3 (24.6)</w:t>
            </w:r>
          </w:p>
        </w:tc>
        <w:tc>
          <w:tcPr>
            <w:tcW w:w="2020" w:type="dxa"/>
          </w:tcPr>
          <w:p w14:paraId="4A821108" w14:textId="77777777" w:rsidR="004C12CF" w:rsidRPr="00CA4ABC" w:rsidRDefault="004C12CF" w:rsidP="00357DD3">
            <w:pPr>
              <w:rPr>
                <w:rFonts w:cstheme="minorHAnsi"/>
                <w:color w:val="000000" w:themeColor="text1"/>
              </w:rPr>
            </w:pPr>
            <w:r w:rsidRPr="00CA4ABC">
              <w:rPr>
                <w:rFonts w:cstheme="minorHAnsi"/>
                <w:color w:val="000000" w:themeColor="text1"/>
              </w:rPr>
              <w:t>0.720 (0.317)</w:t>
            </w:r>
          </w:p>
        </w:tc>
      </w:tr>
      <w:tr w:rsidR="004053D7" w:rsidRPr="00CA4ABC" w14:paraId="3D9A2304" w14:textId="77777777" w:rsidTr="009E173A">
        <w:trPr>
          <w:trHeight w:val="308"/>
        </w:trPr>
        <w:tc>
          <w:tcPr>
            <w:tcW w:w="2279" w:type="dxa"/>
          </w:tcPr>
          <w:p w14:paraId="39CC70AA" w14:textId="1FF8BFA2" w:rsidR="004C12CF" w:rsidRPr="00CA4ABC" w:rsidRDefault="004C12CF" w:rsidP="00357DD3">
            <w:pPr>
              <w:rPr>
                <w:rFonts w:cstheme="minorHAnsi"/>
                <w:color w:val="000000" w:themeColor="text1"/>
              </w:rPr>
            </w:pPr>
            <w:r w:rsidRPr="00CA4ABC">
              <w:rPr>
                <w:rFonts w:cstheme="minorHAnsi"/>
                <w:color w:val="000000" w:themeColor="text1"/>
              </w:rPr>
              <w:t>8</w:t>
            </w:r>
            <w:r w:rsidR="00926D6B" w:rsidRPr="00CA4ABC">
              <w:rPr>
                <w:rFonts w:cstheme="minorHAnsi"/>
                <w:color w:val="000000" w:themeColor="text1"/>
              </w:rPr>
              <w:t xml:space="preserve"> (savoury)</w:t>
            </w:r>
            <w:r w:rsidR="007A5ADA" w:rsidRPr="00CA4ABC">
              <w:rPr>
                <w:rFonts w:cstheme="minorHAnsi"/>
                <w:color w:val="000000"/>
                <w:sz w:val="22"/>
                <w:szCs w:val="22"/>
              </w:rPr>
              <w:t xml:space="preserve"> Ɨ</w:t>
            </w:r>
          </w:p>
        </w:tc>
        <w:tc>
          <w:tcPr>
            <w:tcW w:w="2193" w:type="dxa"/>
          </w:tcPr>
          <w:p w14:paraId="730AFBCD" w14:textId="77777777" w:rsidR="004C12CF" w:rsidRPr="00CA4ABC" w:rsidRDefault="004C12CF" w:rsidP="00357DD3">
            <w:pPr>
              <w:rPr>
                <w:rFonts w:cstheme="minorHAnsi"/>
                <w:color w:val="000000" w:themeColor="text1"/>
              </w:rPr>
            </w:pPr>
            <w:r w:rsidRPr="00CA4ABC">
              <w:rPr>
                <w:rFonts w:cstheme="minorHAnsi"/>
                <w:color w:val="000000" w:themeColor="text1"/>
              </w:rPr>
              <w:t>48.8 (30.4)</w:t>
            </w:r>
          </w:p>
        </w:tc>
        <w:tc>
          <w:tcPr>
            <w:tcW w:w="2194" w:type="dxa"/>
          </w:tcPr>
          <w:p w14:paraId="076AE3B5" w14:textId="77777777" w:rsidR="004C12CF" w:rsidRPr="00CA4ABC" w:rsidRDefault="004C12CF" w:rsidP="00357DD3">
            <w:pPr>
              <w:rPr>
                <w:rFonts w:cstheme="minorHAnsi"/>
                <w:color w:val="000000" w:themeColor="text1"/>
              </w:rPr>
            </w:pPr>
            <w:r w:rsidRPr="00CA4ABC">
              <w:rPr>
                <w:rFonts w:cstheme="minorHAnsi"/>
                <w:color w:val="000000" w:themeColor="text1"/>
              </w:rPr>
              <w:t>61.7 (29.2)</w:t>
            </w:r>
          </w:p>
        </w:tc>
        <w:tc>
          <w:tcPr>
            <w:tcW w:w="2194" w:type="dxa"/>
          </w:tcPr>
          <w:p w14:paraId="2AAE5086" w14:textId="77777777" w:rsidR="004C12CF" w:rsidRPr="00CA4ABC" w:rsidRDefault="004C12CF" w:rsidP="00357DD3">
            <w:pPr>
              <w:rPr>
                <w:rFonts w:cstheme="minorHAnsi"/>
                <w:color w:val="000000" w:themeColor="text1"/>
              </w:rPr>
            </w:pPr>
            <w:r w:rsidRPr="00CA4ABC">
              <w:rPr>
                <w:rFonts w:cstheme="minorHAnsi"/>
                <w:color w:val="000000" w:themeColor="text1"/>
              </w:rPr>
              <w:t>45.0 (27.7)</w:t>
            </w:r>
          </w:p>
        </w:tc>
        <w:tc>
          <w:tcPr>
            <w:tcW w:w="2020" w:type="dxa"/>
          </w:tcPr>
          <w:p w14:paraId="7C54003D" w14:textId="77777777" w:rsidR="004C12CF" w:rsidRPr="00CA4ABC" w:rsidRDefault="004C12CF" w:rsidP="00357DD3">
            <w:pPr>
              <w:rPr>
                <w:rFonts w:cstheme="minorHAnsi"/>
                <w:color w:val="000000" w:themeColor="text1"/>
              </w:rPr>
            </w:pPr>
            <w:r w:rsidRPr="00CA4ABC">
              <w:rPr>
                <w:rFonts w:cstheme="minorHAnsi"/>
                <w:color w:val="000000" w:themeColor="text1"/>
              </w:rPr>
              <w:t>0.568 (0.138)</w:t>
            </w:r>
          </w:p>
        </w:tc>
      </w:tr>
      <w:tr w:rsidR="004053D7" w:rsidRPr="00CA4ABC" w14:paraId="0EB3A546" w14:textId="77777777" w:rsidTr="009E173A">
        <w:trPr>
          <w:trHeight w:val="308"/>
        </w:trPr>
        <w:tc>
          <w:tcPr>
            <w:tcW w:w="2279" w:type="dxa"/>
          </w:tcPr>
          <w:p w14:paraId="5D3E17DC" w14:textId="53E2AAF9" w:rsidR="004C12CF" w:rsidRPr="00CA4ABC" w:rsidRDefault="004C12CF" w:rsidP="00357DD3">
            <w:pPr>
              <w:rPr>
                <w:rFonts w:cstheme="minorHAnsi"/>
                <w:color w:val="000000" w:themeColor="text1"/>
              </w:rPr>
            </w:pPr>
            <w:r w:rsidRPr="00CA4ABC">
              <w:rPr>
                <w:rFonts w:cstheme="minorHAnsi"/>
                <w:color w:val="000000" w:themeColor="text1"/>
              </w:rPr>
              <w:t>9</w:t>
            </w:r>
            <w:r w:rsidR="00926D6B" w:rsidRPr="00CA4ABC">
              <w:rPr>
                <w:rFonts w:cstheme="minorHAnsi"/>
                <w:color w:val="000000" w:themeColor="text1"/>
              </w:rPr>
              <w:t xml:space="preserve"> (fatty)</w:t>
            </w:r>
            <w:r w:rsidR="007A5ADA" w:rsidRPr="00CA4ABC">
              <w:rPr>
                <w:rFonts w:cstheme="minorHAnsi"/>
                <w:color w:val="000000"/>
                <w:sz w:val="22"/>
                <w:szCs w:val="22"/>
              </w:rPr>
              <w:t xml:space="preserve"> Ɨ</w:t>
            </w:r>
          </w:p>
        </w:tc>
        <w:tc>
          <w:tcPr>
            <w:tcW w:w="2193" w:type="dxa"/>
          </w:tcPr>
          <w:p w14:paraId="322630BC" w14:textId="77777777" w:rsidR="004C12CF" w:rsidRPr="00CA4ABC" w:rsidRDefault="004C12CF" w:rsidP="00357DD3">
            <w:pPr>
              <w:rPr>
                <w:rFonts w:cstheme="minorHAnsi"/>
                <w:color w:val="000000" w:themeColor="text1"/>
              </w:rPr>
            </w:pPr>
            <w:r w:rsidRPr="00CA4ABC">
              <w:rPr>
                <w:rFonts w:cstheme="minorHAnsi"/>
                <w:color w:val="000000" w:themeColor="text1"/>
              </w:rPr>
              <w:t>66.1 (27.4)</w:t>
            </w:r>
          </w:p>
        </w:tc>
        <w:tc>
          <w:tcPr>
            <w:tcW w:w="2194" w:type="dxa"/>
          </w:tcPr>
          <w:p w14:paraId="7E285FA7" w14:textId="77777777" w:rsidR="004C12CF" w:rsidRPr="00CA4ABC" w:rsidRDefault="004C12CF" w:rsidP="00357DD3">
            <w:pPr>
              <w:rPr>
                <w:rFonts w:cstheme="minorHAnsi"/>
                <w:color w:val="000000" w:themeColor="text1"/>
              </w:rPr>
            </w:pPr>
            <w:r w:rsidRPr="00CA4ABC">
              <w:rPr>
                <w:rFonts w:cstheme="minorHAnsi"/>
                <w:color w:val="000000" w:themeColor="text1"/>
              </w:rPr>
              <w:t>73.3 (20.2)</w:t>
            </w:r>
          </w:p>
        </w:tc>
        <w:tc>
          <w:tcPr>
            <w:tcW w:w="2194" w:type="dxa"/>
          </w:tcPr>
          <w:p w14:paraId="6DEA952F" w14:textId="77777777" w:rsidR="004C12CF" w:rsidRPr="00CA4ABC" w:rsidRDefault="004C12CF" w:rsidP="00357DD3">
            <w:pPr>
              <w:rPr>
                <w:rFonts w:cstheme="minorHAnsi"/>
                <w:color w:val="000000" w:themeColor="text1"/>
              </w:rPr>
            </w:pPr>
            <w:r w:rsidRPr="00CA4ABC">
              <w:rPr>
                <w:rFonts w:cstheme="minorHAnsi"/>
                <w:color w:val="000000" w:themeColor="text1"/>
              </w:rPr>
              <w:t>58.7 (31.8)</w:t>
            </w:r>
          </w:p>
        </w:tc>
        <w:tc>
          <w:tcPr>
            <w:tcW w:w="2020" w:type="dxa"/>
          </w:tcPr>
          <w:p w14:paraId="5B6A0E4E" w14:textId="77777777" w:rsidR="004C12CF" w:rsidRPr="00CA4ABC" w:rsidRDefault="004C12CF" w:rsidP="00357DD3">
            <w:pPr>
              <w:rPr>
                <w:rFonts w:cstheme="minorHAnsi"/>
                <w:color w:val="000000" w:themeColor="text1"/>
              </w:rPr>
            </w:pPr>
            <w:r w:rsidRPr="00CA4ABC">
              <w:rPr>
                <w:rFonts w:cstheme="minorHAnsi"/>
                <w:color w:val="000000" w:themeColor="text1"/>
              </w:rPr>
              <w:t>0.788 (0.424)</w:t>
            </w:r>
          </w:p>
        </w:tc>
      </w:tr>
    </w:tbl>
    <w:p w14:paraId="1CD8273A" w14:textId="3A57B4EB" w:rsidR="004C12CF" w:rsidRPr="00323872" w:rsidRDefault="004C12CF" w:rsidP="004053D7">
      <w:pPr>
        <w:pStyle w:val="Caption"/>
        <w:spacing w:line="360" w:lineRule="auto"/>
        <w:rPr>
          <w:rFonts w:cstheme="minorHAnsi"/>
          <w:i w:val="0"/>
          <w:iCs w:val="0"/>
          <w:color w:val="000000" w:themeColor="text1"/>
          <w:sz w:val="24"/>
          <w:szCs w:val="24"/>
        </w:rPr>
      </w:pPr>
      <w:bookmarkStart w:id="338" w:name="_Ref122447671"/>
      <w:bookmarkStart w:id="339" w:name="_Toc122956592"/>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28</w:t>
      </w:r>
      <w:r w:rsidRPr="00323872">
        <w:rPr>
          <w:rFonts w:cstheme="minorHAnsi"/>
          <w:i w:val="0"/>
          <w:iCs w:val="0"/>
          <w:color w:val="000000" w:themeColor="text1"/>
          <w:sz w:val="24"/>
          <w:szCs w:val="24"/>
        </w:rPr>
        <w:fldChar w:fldCharType="end"/>
      </w:r>
      <w:bookmarkEnd w:id="338"/>
      <w:r w:rsidR="00323872" w:rsidRPr="00323872">
        <w:rPr>
          <w:rFonts w:cstheme="minorHAnsi"/>
          <w:i w:val="0"/>
          <w:iCs w:val="0"/>
          <w:color w:val="000000" w:themeColor="text1"/>
          <w:sz w:val="24"/>
          <w:szCs w:val="24"/>
        </w:rPr>
        <w:t>. R</w:t>
      </w:r>
      <w:r w:rsidRPr="00323872">
        <w:rPr>
          <w:rFonts w:cstheme="minorHAnsi"/>
          <w:i w:val="0"/>
          <w:iCs w:val="0"/>
          <w:color w:val="000000" w:themeColor="text1"/>
          <w:sz w:val="24"/>
          <w:szCs w:val="24"/>
        </w:rPr>
        <w:t>esponses to each question on the appetite VAS questionnaire, for all participants (n=11) across each stage</w:t>
      </w:r>
      <w:r w:rsidR="00552487" w:rsidRPr="00323872">
        <w:rPr>
          <w:rFonts w:cstheme="minorHAnsi"/>
          <w:i w:val="0"/>
          <w:iCs w:val="0"/>
          <w:color w:val="000000" w:themeColor="text1"/>
          <w:sz w:val="24"/>
          <w:szCs w:val="24"/>
        </w:rPr>
        <w:t xml:space="preserve"> (week 0, 3 and 6)</w:t>
      </w:r>
      <w:r w:rsidRPr="00323872">
        <w:rPr>
          <w:rFonts w:cstheme="minorHAnsi"/>
          <w:i w:val="0"/>
          <w:iCs w:val="0"/>
          <w:color w:val="000000" w:themeColor="text1"/>
          <w:sz w:val="24"/>
          <w:szCs w:val="24"/>
        </w:rPr>
        <w:t xml:space="preserve"> of the REMEND trial.</w:t>
      </w:r>
      <w:bookmarkEnd w:id="339"/>
      <w:r w:rsidR="00E61C6A" w:rsidRPr="00323872">
        <w:rPr>
          <w:rFonts w:cstheme="minorHAnsi"/>
          <w:i w:val="0"/>
          <w:iCs w:val="0"/>
          <w:color w:val="000000" w:themeColor="text1"/>
          <w:sz w:val="24"/>
          <w:szCs w:val="24"/>
        </w:rPr>
        <w:t xml:space="preserve"> </w:t>
      </w:r>
    </w:p>
    <w:p w14:paraId="2B65A9C6" w14:textId="2890B213" w:rsidR="004C12CF" w:rsidRPr="00CA4ABC" w:rsidRDefault="004C12CF" w:rsidP="004053D7">
      <w:pPr>
        <w:spacing w:line="360" w:lineRule="auto"/>
        <w:rPr>
          <w:rFonts w:cstheme="minorHAnsi"/>
          <w:color w:val="000000" w:themeColor="text1"/>
        </w:rPr>
      </w:pPr>
      <w:r w:rsidRPr="00CA4ABC">
        <w:rPr>
          <w:rFonts w:cstheme="minorHAnsi"/>
          <w:color w:val="000000" w:themeColor="text1"/>
        </w:rPr>
        <w:t>*Wilks’ Lambda</w:t>
      </w:r>
    </w:p>
    <w:p w14:paraId="3D3AEE9F" w14:textId="2F195D75" w:rsidR="00926D6B" w:rsidRPr="00CA4ABC" w:rsidRDefault="007A5ADA" w:rsidP="00926D6B">
      <w:pPr>
        <w:rPr>
          <w:rFonts w:cstheme="minorHAnsi"/>
        </w:rPr>
      </w:pPr>
      <w:r w:rsidRPr="00CA4ABC">
        <w:rPr>
          <w:rFonts w:cstheme="minorHAnsi"/>
          <w:color w:val="000000"/>
          <w:sz w:val="22"/>
          <w:szCs w:val="22"/>
        </w:rPr>
        <w:t>Ɨ</w:t>
      </w:r>
      <w:r w:rsidRPr="00CA4ABC">
        <w:rPr>
          <w:rFonts w:cstheme="minorHAnsi"/>
        </w:rPr>
        <w:t xml:space="preserve"> </w:t>
      </w:r>
      <w:r w:rsidR="00926D6B" w:rsidRPr="00CA4ABC">
        <w:rPr>
          <w:rFonts w:cstheme="minorHAnsi"/>
        </w:rPr>
        <w:t>Full question wording available in appendix 14 (participant log book)</w:t>
      </w:r>
    </w:p>
    <w:p w14:paraId="7D456386" w14:textId="77777777" w:rsidR="004C12CF" w:rsidRPr="00CA4ABC" w:rsidRDefault="004C12CF" w:rsidP="007F5B0B">
      <w:pPr>
        <w:pStyle w:val="Heading3"/>
        <w:rPr>
          <w:rFonts w:asciiTheme="minorHAnsi" w:hAnsiTheme="minorHAnsi" w:cstheme="minorHAnsi"/>
          <w:color w:val="000000" w:themeColor="text1"/>
        </w:rPr>
      </w:pPr>
    </w:p>
    <w:p w14:paraId="6A081060" w14:textId="6FD3FC9D" w:rsidR="004C12CF" w:rsidRPr="00CA4ABC" w:rsidRDefault="007F5B0B" w:rsidP="007F5B0B">
      <w:pPr>
        <w:pStyle w:val="Heading3"/>
        <w:rPr>
          <w:rFonts w:asciiTheme="minorHAnsi" w:hAnsiTheme="minorHAnsi" w:cstheme="minorHAnsi"/>
          <w:color w:val="000000" w:themeColor="text1"/>
        </w:rPr>
      </w:pPr>
      <w:bookmarkStart w:id="340" w:name="_Toc135384381"/>
      <w:r w:rsidRPr="00CA4ABC">
        <w:rPr>
          <w:rFonts w:asciiTheme="minorHAnsi" w:hAnsiTheme="minorHAnsi" w:cstheme="minorHAnsi"/>
          <w:color w:val="000000" w:themeColor="text1"/>
        </w:rPr>
        <w:t xml:space="preserve">5.3.4.4 </w:t>
      </w:r>
      <w:r w:rsidR="004C12CF" w:rsidRPr="00CA4ABC">
        <w:rPr>
          <w:rFonts w:asciiTheme="minorHAnsi" w:hAnsiTheme="minorHAnsi" w:cstheme="minorHAnsi"/>
          <w:color w:val="000000" w:themeColor="text1"/>
        </w:rPr>
        <w:t>Muscle parameters</w:t>
      </w:r>
      <w:bookmarkEnd w:id="340"/>
      <w:r w:rsidR="004C12CF" w:rsidRPr="00CA4ABC">
        <w:rPr>
          <w:rFonts w:asciiTheme="minorHAnsi" w:hAnsiTheme="minorHAnsi" w:cstheme="minorHAnsi"/>
          <w:color w:val="000000" w:themeColor="text1"/>
        </w:rPr>
        <w:t xml:space="preserve"> </w:t>
      </w:r>
    </w:p>
    <w:p w14:paraId="52692717" w14:textId="19FB2770" w:rsidR="004C12CF" w:rsidRPr="00C57D8D" w:rsidRDefault="004C12CF" w:rsidP="00357DD3">
      <w:pPr>
        <w:spacing w:line="360" w:lineRule="auto"/>
        <w:ind w:left="360" w:firstLine="360"/>
        <w:rPr>
          <w:rFonts w:cstheme="minorHAnsi"/>
          <w:color w:val="000000" w:themeColor="text1"/>
        </w:rPr>
      </w:pPr>
      <w:r w:rsidRPr="00CA4ABC">
        <w:rPr>
          <w:rFonts w:cstheme="minorHAnsi"/>
          <w:color w:val="000000" w:themeColor="text1"/>
        </w:rPr>
        <w:t>Significant differences were not displayed for the majority</w:t>
      </w:r>
      <w:r w:rsidR="003750A8" w:rsidRPr="00CA4ABC">
        <w:rPr>
          <w:rFonts w:cstheme="minorHAnsi"/>
          <w:color w:val="000000" w:themeColor="text1"/>
        </w:rPr>
        <w:t xml:space="preserve"> of</w:t>
      </w:r>
      <w:r w:rsidRPr="00CA4ABC">
        <w:rPr>
          <w:rFonts w:cstheme="minorHAnsi"/>
          <w:color w:val="000000" w:themeColor="text1"/>
        </w:rPr>
        <w:t xml:space="preserve"> muscle parameter measurements taken during the course of the trial, apart from upper arm circumference measurements </w:t>
      </w:r>
      <w:r w:rsidR="003750A8" w:rsidRPr="00CA4ABC">
        <w:rPr>
          <w:rFonts w:cstheme="minorHAnsi"/>
          <w:color w:val="000000" w:themeColor="text1"/>
        </w:rPr>
        <w:t>(</w:t>
      </w:r>
      <w:r w:rsidRPr="00CA4ABC">
        <w:rPr>
          <w:rFonts w:cstheme="minorHAnsi"/>
          <w:color w:val="000000" w:themeColor="text1"/>
        </w:rPr>
        <w:fldChar w:fldCharType="begin"/>
      </w:r>
      <w:r w:rsidRPr="00CA4ABC">
        <w:rPr>
          <w:rFonts w:cstheme="minorHAnsi"/>
          <w:color w:val="000000" w:themeColor="text1"/>
        </w:rPr>
        <w:instrText xml:space="preserve"> REF _Ref122447713 \h  \* MERGEFORMAT </w:instrText>
      </w:r>
      <w:r w:rsidRPr="00CA4ABC">
        <w:rPr>
          <w:rFonts w:cstheme="minorHAnsi"/>
          <w:color w:val="000000" w:themeColor="text1"/>
        </w:rPr>
      </w:r>
      <w:r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28</w:t>
      </w:r>
      <w:r w:rsidRPr="00CA4ABC">
        <w:rPr>
          <w:rFonts w:cstheme="minorHAnsi"/>
          <w:color w:val="000000" w:themeColor="text1"/>
        </w:rPr>
        <w:fldChar w:fldCharType="end"/>
      </w:r>
      <w:r w:rsidR="003750A8" w:rsidRPr="00CA4ABC">
        <w:rPr>
          <w:rFonts w:cstheme="minorHAnsi"/>
          <w:color w:val="000000" w:themeColor="text1"/>
        </w:rPr>
        <w:t>.)</w:t>
      </w:r>
      <w:r w:rsidRPr="00CA4ABC">
        <w:rPr>
          <w:rFonts w:cstheme="minorHAnsi"/>
          <w:color w:val="000000" w:themeColor="text1"/>
        </w:rPr>
        <w:t xml:space="preserve"> Circumference measures reported included those taken by </w:t>
      </w:r>
      <w:r w:rsidRPr="00C57D8D">
        <w:rPr>
          <w:rFonts w:cstheme="minorHAnsi"/>
          <w:color w:val="000000" w:themeColor="text1"/>
        </w:rPr>
        <w:t xml:space="preserve">the researcher and those taken by the participant, themselves. </w:t>
      </w:r>
    </w:p>
    <w:p w14:paraId="270D6CA2" w14:textId="77777777" w:rsidR="004C12CF" w:rsidRPr="00342E1D" w:rsidRDefault="004C12CF" w:rsidP="004053D7">
      <w:pPr>
        <w:spacing w:line="360" w:lineRule="auto"/>
        <w:rPr>
          <w:rFonts w:cstheme="minorHAnsi"/>
          <w:color w:val="000000" w:themeColor="text1"/>
          <w:sz w:val="20"/>
          <w:szCs w:val="20"/>
        </w:rPr>
        <w:sectPr w:rsidR="004C12CF" w:rsidRPr="00342E1D" w:rsidSect="009E173A">
          <w:pgSz w:w="11900" w:h="16840"/>
          <w:pgMar w:top="1440" w:right="1440" w:bottom="1440" w:left="1440" w:header="708" w:footer="708" w:gutter="0"/>
          <w:cols w:space="708"/>
          <w:docGrid w:linePitch="360"/>
        </w:sectPr>
      </w:pPr>
    </w:p>
    <w:p w14:paraId="490D3D12" w14:textId="77777777" w:rsidR="004C12CF" w:rsidRPr="00342E1D" w:rsidRDefault="004C12CF" w:rsidP="004053D7">
      <w:pPr>
        <w:spacing w:line="360" w:lineRule="auto"/>
        <w:rPr>
          <w:rFonts w:cstheme="minorHAnsi"/>
          <w:color w:val="000000" w:themeColor="text1"/>
          <w:sz w:val="20"/>
          <w:szCs w:val="20"/>
        </w:rPr>
      </w:pPr>
    </w:p>
    <w:tbl>
      <w:tblPr>
        <w:tblStyle w:val="TableGrid"/>
        <w:tblW w:w="10562" w:type="dxa"/>
        <w:tblInd w:w="-775" w:type="dxa"/>
        <w:tblLook w:val="04A0" w:firstRow="1" w:lastRow="0" w:firstColumn="1" w:lastColumn="0" w:noHBand="0" w:noVBand="1"/>
      </w:tblPr>
      <w:tblGrid>
        <w:gridCol w:w="2342"/>
        <w:gridCol w:w="1566"/>
        <w:gridCol w:w="1254"/>
        <w:gridCol w:w="1465"/>
        <w:gridCol w:w="1261"/>
        <w:gridCol w:w="1465"/>
        <w:gridCol w:w="1209"/>
      </w:tblGrid>
      <w:tr w:rsidR="004053D7" w:rsidRPr="00342E1D" w14:paraId="6788766C" w14:textId="77777777" w:rsidTr="009E173A">
        <w:tc>
          <w:tcPr>
            <w:tcW w:w="2342" w:type="dxa"/>
          </w:tcPr>
          <w:p w14:paraId="1BECBA8D" w14:textId="77777777" w:rsidR="004C12CF" w:rsidRPr="00342E1D" w:rsidRDefault="004C12CF" w:rsidP="0051704E">
            <w:pPr>
              <w:jc w:val="center"/>
              <w:rPr>
                <w:rFonts w:cstheme="minorHAnsi"/>
                <w:b/>
                <w:bCs/>
                <w:color w:val="000000" w:themeColor="text1"/>
                <w:sz w:val="20"/>
                <w:szCs w:val="20"/>
              </w:rPr>
            </w:pPr>
            <w:r w:rsidRPr="00342E1D">
              <w:rPr>
                <w:rFonts w:cstheme="minorHAnsi"/>
                <w:b/>
                <w:bCs/>
                <w:color w:val="000000" w:themeColor="text1"/>
                <w:sz w:val="20"/>
                <w:szCs w:val="20"/>
              </w:rPr>
              <w:t>Measure</w:t>
            </w:r>
          </w:p>
        </w:tc>
        <w:tc>
          <w:tcPr>
            <w:tcW w:w="2820" w:type="dxa"/>
            <w:gridSpan w:val="2"/>
          </w:tcPr>
          <w:p w14:paraId="63BD72FC" w14:textId="77777777" w:rsidR="004C12CF" w:rsidRPr="00342E1D" w:rsidRDefault="004C12CF" w:rsidP="0051704E">
            <w:pPr>
              <w:jc w:val="center"/>
              <w:rPr>
                <w:rFonts w:cstheme="minorHAnsi"/>
                <w:b/>
                <w:bCs/>
                <w:color w:val="000000" w:themeColor="text1"/>
                <w:sz w:val="20"/>
                <w:szCs w:val="20"/>
              </w:rPr>
            </w:pPr>
            <w:r w:rsidRPr="00342E1D">
              <w:rPr>
                <w:rFonts w:cstheme="minorHAnsi"/>
                <w:b/>
                <w:bCs/>
                <w:color w:val="000000" w:themeColor="text1"/>
                <w:sz w:val="20"/>
                <w:szCs w:val="20"/>
              </w:rPr>
              <w:t>Average Baseline (SD)</w:t>
            </w:r>
          </w:p>
        </w:tc>
        <w:tc>
          <w:tcPr>
            <w:tcW w:w="2726" w:type="dxa"/>
            <w:gridSpan w:val="2"/>
          </w:tcPr>
          <w:p w14:paraId="75F11D7D" w14:textId="77777777" w:rsidR="004C12CF" w:rsidRPr="00342E1D" w:rsidRDefault="004C12CF" w:rsidP="0051704E">
            <w:pPr>
              <w:jc w:val="center"/>
              <w:rPr>
                <w:rFonts w:cstheme="minorHAnsi"/>
                <w:b/>
                <w:bCs/>
                <w:color w:val="000000" w:themeColor="text1"/>
                <w:sz w:val="20"/>
                <w:szCs w:val="20"/>
              </w:rPr>
            </w:pPr>
            <w:r w:rsidRPr="00342E1D">
              <w:rPr>
                <w:rFonts w:cstheme="minorHAnsi"/>
                <w:b/>
                <w:bCs/>
                <w:color w:val="000000" w:themeColor="text1"/>
                <w:sz w:val="20"/>
                <w:szCs w:val="20"/>
              </w:rPr>
              <w:t>Average Post-intervention (SD)</w:t>
            </w:r>
          </w:p>
        </w:tc>
        <w:tc>
          <w:tcPr>
            <w:tcW w:w="2674" w:type="dxa"/>
            <w:gridSpan w:val="2"/>
          </w:tcPr>
          <w:p w14:paraId="3E052C7C" w14:textId="77777777" w:rsidR="004C12CF" w:rsidRPr="00342E1D" w:rsidRDefault="004C12CF" w:rsidP="0051704E">
            <w:pPr>
              <w:jc w:val="center"/>
              <w:rPr>
                <w:rFonts w:cstheme="minorHAnsi"/>
                <w:b/>
                <w:bCs/>
                <w:color w:val="000000" w:themeColor="text1"/>
                <w:sz w:val="20"/>
                <w:szCs w:val="20"/>
              </w:rPr>
            </w:pPr>
            <w:r w:rsidRPr="00342E1D">
              <w:rPr>
                <w:rFonts w:cstheme="minorHAnsi"/>
                <w:b/>
                <w:bCs/>
                <w:color w:val="000000" w:themeColor="text1"/>
                <w:sz w:val="20"/>
                <w:szCs w:val="20"/>
              </w:rPr>
              <w:t>Paired t test (p value)</w:t>
            </w:r>
          </w:p>
        </w:tc>
      </w:tr>
      <w:tr w:rsidR="004053D7" w:rsidRPr="00342E1D" w14:paraId="2A3A46A4" w14:textId="77777777" w:rsidTr="009E173A">
        <w:tc>
          <w:tcPr>
            <w:tcW w:w="2342" w:type="dxa"/>
          </w:tcPr>
          <w:p w14:paraId="7934043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Weight (kg)</w:t>
            </w:r>
          </w:p>
        </w:tc>
        <w:tc>
          <w:tcPr>
            <w:tcW w:w="2820" w:type="dxa"/>
            <w:gridSpan w:val="2"/>
          </w:tcPr>
          <w:p w14:paraId="5B92C344"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73.4 (9.3)</w:t>
            </w:r>
          </w:p>
        </w:tc>
        <w:tc>
          <w:tcPr>
            <w:tcW w:w="2726" w:type="dxa"/>
            <w:gridSpan w:val="2"/>
          </w:tcPr>
          <w:p w14:paraId="2859E956"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72.9 (10.5)</w:t>
            </w:r>
          </w:p>
        </w:tc>
        <w:tc>
          <w:tcPr>
            <w:tcW w:w="2674" w:type="dxa"/>
            <w:gridSpan w:val="2"/>
          </w:tcPr>
          <w:p w14:paraId="1C5955B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0.510 (0.621)</w:t>
            </w:r>
          </w:p>
        </w:tc>
      </w:tr>
      <w:tr w:rsidR="004053D7" w:rsidRPr="00342E1D" w14:paraId="6CCD928D" w14:textId="77777777" w:rsidTr="009E173A">
        <w:tc>
          <w:tcPr>
            <w:tcW w:w="2342" w:type="dxa"/>
          </w:tcPr>
          <w:p w14:paraId="18B4D06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BIA fat (%)</w:t>
            </w:r>
          </w:p>
        </w:tc>
        <w:tc>
          <w:tcPr>
            <w:tcW w:w="2820" w:type="dxa"/>
            <w:gridSpan w:val="2"/>
          </w:tcPr>
          <w:p w14:paraId="6BABDC8D"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37.2 (3.4)</w:t>
            </w:r>
          </w:p>
        </w:tc>
        <w:tc>
          <w:tcPr>
            <w:tcW w:w="2726" w:type="dxa"/>
            <w:gridSpan w:val="2"/>
          </w:tcPr>
          <w:p w14:paraId="3B3904F5"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35.9 (7.0)</w:t>
            </w:r>
          </w:p>
        </w:tc>
        <w:tc>
          <w:tcPr>
            <w:tcW w:w="2674" w:type="dxa"/>
            <w:gridSpan w:val="2"/>
          </w:tcPr>
          <w:p w14:paraId="15800F09"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0.860 (0.410)</w:t>
            </w:r>
          </w:p>
        </w:tc>
      </w:tr>
      <w:tr w:rsidR="004053D7" w:rsidRPr="00342E1D" w14:paraId="53CD669F" w14:textId="77777777" w:rsidTr="009E173A">
        <w:tc>
          <w:tcPr>
            <w:tcW w:w="2342" w:type="dxa"/>
          </w:tcPr>
          <w:p w14:paraId="257C139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BIA lean (kg)</w:t>
            </w:r>
          </w:p>
        </w:tc>
        <w:tc>
          <w:tcPr>
            <w:tcW w:w="2820" w:type="dxa"/>
            <w:gridSpan w:val="2"/>
          </w:tcPr>
          <w:p w14:paraId="2408AF79"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46.2 (5.7)</w:t>
            </w:r>
          </w:p>
        </w:tc>
        <w:tc>
          <w:tcPr>
            <w:tcW w:w="2726" w:type="dxa"/>
            <w:gridSpan w:val="2"/>
          </w:tcPr>
          <w:p w14:paraId="7C40751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44.8 (10.9)</w:t>
            </w:r>
          </w:p>
        </w:tc>
        <w:tc>
          <w:tcPr>
            <w:tcW w:w="2674" w:type="dxa"/>
            <w:gridSpan w:val="2"/>
          </w:tcPr>
          <w:p w14:paraId="4FD90624"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0.592 (0.567)</w:t>
            </w:r>
          </w:p>
        </w:tc>
      </w:tr>
      <w:tr w:rsidR="004053D7" w:rsidRPr="00342E1D" w14:paraId="76C2D191" w14:textId="77777777" w:rsidTr="009E173A">
        <w:tc>
          <w:tcPr>
            <w:tcW w:w="10562" w:type="dxa"/>
            <w:gridSpan w:val="7"/>
          </w:tcPr>
          <w:p w14:paraId="09E6CFE9" w14:textId="1EA7F980"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Circumference measurements</w:t>
            </w:r>
            <w:r w:rsidR="008C2CAD" w:rsidRPr="00342E1D">
              <w:rPr>
                <w:rFonts w:cstheme="minorHAnsi"/>
                <w:b/>
                <w:bCs/>
                <w:color w:val="000000" w:themeColor="text1"/>
                <w:sz w:val="20"/>
                <w:szCs w:val="20"/>
              </w:rPr>
              <w:t xml:space="preserve"> (cm)</w:t>
            </w:r>
          </w:p>
        </w:tc>
      </w:tr>
      <w:tr w:rsidR="004053D7" w:rsidRPr="00342E1D" w14:paraId="05F6D3B6" w14:textId="77777777" w:rsidTr="009E173A">
        <w:tc>
          <w:tcPr>
            <w:tcW w:w="2342" w:type="dxa"/>
          </w:tcPr>
          <w:p w14:paraId="2AEEA329" w14:textId="77777777" w:rsidR="004C12CF" w:rsidRPr="00342E1D" w:rsidRDefault="004C12CF" w:rsidP="00357DD3">
            <w:pPr>
              <w:rPr>
                <w:rFonts w:cstheme="minorHAnsi"/>
                <w:color w:val="000000" w:themeColor="text1"/>
                <w:sz w:val="20"/>
                <w:szCs w:val="20"/>
              </w:rPr>
            </w:pPr>
          </w:p>
        </w:tc>
        <w:tc>
          <w:tcPr>
            <w:tcW w:w="1566" w:type="dxa"/>
          </w:tcPr>
          <w:p w14:paraId="1FF61C8F"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Researcher</w:t>
            </w:r>
          </w:p>
        </w:tc>
        <w:tc>
          <w:tcPr>
            <w:tcW w:w="1254" w:type="dxa"/>
          </w:tcPr>
          <w:p w14:paraId="3FB26A6C"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Self-reported (n=10)</w:t>
            </w:r>
          </w:p>
        </w:tc>
        <w:tc>
          <w:tcPr>
            <w:tcW w:w="1465" w:type="dxa"/>
          </w:tcPr>
          <w:p w14:paraId="3AA98E39"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Researcher</w:t>
            </w:r>
          </w:p>
        </w:tc>
        <w:tc>
          <w:tcPr>
            <w:tcW w:w="1261" w:type="dxa"/>
          </w:tcPr>
          <w:p w14:paraId="15C1E425"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Self-reported (n=8)</w:t>
            </w:r>
          </w:p>
        </w:tc>
        <w:tc>
          <w:tcPr>
            <w:tcW w:w="1465" w:type="dxa"/>
          </w:tcPr>
          <w:p w14:paraId="4A5A2533"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Researcher</w:t>
            </w:r>
          </w:p>
        </w:tc>
        <w:tc>
          <w:tcPr>
            <w:tcW w:w="1209" w:type="dxa"/>
          </w:tcPr>
          <w:p w14:paraId="7F51F37C" w14:textId="77777777" w:rsidR="004C12CF" w:rsidRPr="00342E1D" w:rsidRDefault="004C12CF" w:rsidP="00342E1D">
            <w:pPr>
              <w:jc w:val="center"/>
              <w:rPr>
                <w:rFonts w:cstheme="minorHAnsi"/>
                <w:b/>
                <w:bCs/>
                <w:color w:val="000000" w:themeColor="text1"/>
                <w:sz w:val="20"/>
                <w:szCs w:val="20"/>
              </w:rPr>
            </w:pPr>
            <w:r w:rsidRPr="00342E1D">
              <w:rPr>
                <w:rFonts w:cstheme="minorHAnsi"/>
                <w:b/>
                <w:bCs/>
                <w:color w:val="000000" w:themeColor="text1"/>
                <w:sz w:val="20"/>
                <w:szCs w:val="20"/>
              </w:rPr>
              <w:t>Self-reported</w:t>
            </w:r>
          </w:p>
        </w:tc>
      </w:tr>
      <w:tr w:rsidR="004053D7" w:rsidRPr="00342E1D" w14:paraId="3C12A0A5" w14:textId="77777777" w:rsidTr="009E173A">
        <w:tc>
          <w:tcPr>
            <w:tcW w:w="2342" w:type="dxa"/>
          </w:tcPr>
          <w:p w14:paraId="6924A3BD"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Upper arm</w:t>
            </w:r>
          </w:p>
        </w:tc>
        <w:tc>
          <w:tcPr>
            <w:tcW w:w="1566" w:type="dxa"/>
          </w:tcPr>
          <w:p w14:paraId="3DAA7376"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31.3 (2.7)</w:t>
            </w:r>
          </w:p>
        </w:tc>
        <w:tc>
          <w:tcPr>
            <w:tcW w:w="1254" w:type="dxa"/>
          </w:tcPr>
          <w:p w14:paraId="4F1C3BA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30.3 (2.2)</w:t>
            </w:r>
          </w:p>
        </w:tc>
        <w:tc>
          <w:tcPr>
            <w:tcW w:w="1465" w:type="dxa"/>
          </w:tcPr>
          <w:p w14:paraId="09284717"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32.1 (2.4)</w:t>
            </w:r>
          </w:p>
        </w:tc>
        <w:tc>
          <w:tcPr>
            <w:tcW w:w="1261" w:type="dxa"/>
          </w:tcPr>
          <w:p w14:paraId="693BE84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30.7 (2.4)</w:t>
            </w:r>
          </w:p>
        </w:tc>
        <w:tc>
          <w:tcPr>
            <w:tcW w:w="1465" w:type="dxa"/>
          </w:tcPr>
          <w:p w14:paraId="3A4B3BCB"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-2.730 (0.021*)</w:t>
            </w:r>
          </w:p>
        </w:tc>
        <w:tc>
          <w:tcPr>
            <w:tcW w:w="1209" w:type="dxa"/>
          </w:tcPr>
          <w:p w14:paraId="7341BD93"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0.083</w:t>
            </w:r>
          </w:p>
        </w:tc>
      </w:tr>
      <w:tr w:rsidR="004053D7" w:rsidRPr="00342E1D" w14:paraId="7685C4CF" w14:textId="77777777" w:rsidTr="009E173A">
        <w:tc>
          <w:tcPr>
            <w:tcW w:w="2342" w:type="dxa"/>
          </w:tcPr>
          <w:p w14:paraId="31A9B7A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Chest</w:t>
            </w:r>
          </w:p>
        </w:tc>
        <w:tc>
          <w:tcPr>
            <w:tcW w:w="1566" w:type="dxa"/>
          </w:tcPr>
          <w:p w14:paraId="56F84A9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96.7 (5.8)</w:t>
            </w:r>
          </w:p>
        </w:tc>
        <w:tc>
          <w:tcPr>
            <w:tcW w:w="1254" w:type="dxa"/>
          </w:tcPr>
          <w:p w14:paraId="0E52DF39"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95.3 (6.2)</w:t>
            </w:r>
          </w:p>
        </w:tc>
        <w:tc>
          <w:tcPr>
            <w:tcW w:w="1465" w:type="dxa"/>
          </w:tcPr>
          <w:p w14:paraId="1C4A490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96.0 (5.8)</w:t>
            </w:r>
          </w:p>
        </w:tc>
        <w:tc>
          <w:tcPr>
            <w:tcW w:w="1261" w:type="dxa"/>
          </w:tcPr>
          <w:p w14:paraId="68E14C2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95.7 (8.3)</w:t>
            </w:r>
          </w:p>
        </w:tc>
        <w:tc>
          <w:tcPr>
            <w:tcW w:w="1465" w:type="dxa"/>
          </w:tcPr>
          <w:p w14:paraId="2633DC4C"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2.109 (0.061)</w:t>
            </w:r>
          </w:p>
        </w:tc>
        <w:tc>
          <w:tcPr>
            <w:tcW w:w="1209" w:type="dxa"/>
          </w:tcPr>
          <w:p w14:paraId="2E971ECF"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0.314</w:t>
            </w:r>
          </w:p>
        </w:tc>
      </w:tr>
      <w:tr w:rsidR="004053D7" w:rsidRPr="00342E1D" w14:paraId="42307EAD" w14:textId="77777777" w:rsidTr="009E173A">
        <w:tc>
          <w:tcPr>
            <w:tcW w:w="2342" w:type="dxa"/>
          </w:tcPr>
          <w:p w14:paraId="04DC42B2"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Waist</w:t>
            </w:r>
          </w:p>
        </w:tc>
        <w:tc>
          <w:tcPr>
            <w:tcW w:w="1566" w:type="dxa"/>
          </w:tcPr>
          <w:p w14:paraId="10F76622"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85.9 (6.1)</w:t>
            </w:r>
          </w:p>
        </w:tc>
        <w:tc>
          <w:tcPr>
            <w:tcW w:w="1254" w:type="dxa"/>
          </w:tcPr>
          <w:p w14:paraId="7E15D40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85.4 (6.8)</w:t>
            </w:r>
          </w:p>
        </w:tc>
        <w:tc>
          <w:tcPr>
            <w:tcW w:w="1465" w:type="dxa"/>
          </w:tcPr>
          <w:p w14:paraId="267515A6"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86.5 (7.0)</w:t>
            </w:r>
          </w:p>
        </w:tc>
        <w:tc>
          <w:tcPr>
            <w:tcW w:w="1261" w:type="dxa"/>
          </w:tcPr>
          <w:p w14:paraId="74CC3ED1"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83.8 (6.27)</w:t>
            </w:r>
          </w:p>
        </w:tc>
        <w:tc>
          <w:tcPr>
            <w:tcW w:w="1465" w:type="dxa"/>
          </w:tcPr>
          <w:p w14:paraId="5A92DCFF"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-1.323 (0.215)</w:t>
            </w:r>
          </w:p>
        </w:tc>
        <w:tc>
          <w:tcPr>
            <w:tcW w:w="1209" w:type="dxa"/>
          </w:tcPr>
          <w:p w14:paraId="4F351341"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0.314</w:t>
            </w:r>
          </w:p>
        </w:tc>
      </w:tr>
      <w:tr w:rsidR="004053D7" w:rsidRPr="00342E1D" w14:paraId="392B1686" w14:textId="77777777" w:rsidTr="009E173A">
        <w:tc>
          <w:tcPr>
            <w:tcW w:w="2342" w:type="dxa"/>
          </w:tcPr>
          <w:p w14:paraId="5978996C"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Hip</w:t>
            </w:r>
          </w:p>
        </w:tc>
        <w:tc>
          <w:tcPr>
            <w:tcW w:w="1566" w:type="dxa"/>
          </w:tcPr>
          <w:p w14:paraId="02A2B7A1"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117.0 (30.9)</w:t>
            </w:r>
          </w:p>
        </w:tc>
        <w:tc>
          <w:tcPr>
            <w:tcW w:w="1254" w:type="dxa"/>
          </w:tcPr>
          <w:p w14:paraId="376B447A"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102.9 (6.8)</w:t>
            </w:r>
          </w:p>
        </w:tc>
        <w:tc>
          <w:tcPr>
            <w:tcW w:w="1465" w:type="dxa"/>
          </w:tcPr>
          <w:p w14:paraId="292EBD83"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107.2 (7.14)</w:t>
            </w:r>
          </w:p>
        </w:tc>
        <w:tc>
          <w:tcPr>
            <w:tcW w:w="1261" w:type="dxa"/>
          </w:tcPr>
          <w:p w14:paraId="0129161F"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101.1 (6.4)</w:t>
            </w:r>
          </w:p>
        </w:tc>
        <w:tc>
          <w:tcPr>
            <w:tcW w:w="1465" w:type="dxa"/>
          </w:tcPr>
          <w:p w14:paraId="20425A56"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1.088 (0.302)</w:t>
            </w:r>
          </w:p>
        </w:tc>
        <w:tc>
          <w:tcPr>
            <w:tcW w:w="1209" w:type="dxa"/>
          </w:tcPr>
          <w:p w14:paraId="2C905C21"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0.747</w:t>
            </w:r>
          </w:p>
        </w:tc>
      </w:tr>
      <w:tr w:rsidR="004053D7" w:rsidRPr="00342E1D" w14:paraId="69D136E8" w14:textId="77777777" w:rsidTr="009E173A">
        <w:tc>
          <w:tcPr>
            <w:tcW w:w="2342" w:type="dxa"/>
          </w:tcPr>
          <w:p w14:paraId="450BDB2C"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Mid-thigh</w:t>
            </w:r>
          </w:p>
        </w:tc>
        <w:tc>
          <w:tcPr>
            <w:tcW w:w="1566" w:type="dxa"/>
          </w:tcPr>
          <w:p w14:paraId="72E409E3"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51.7 (4.2)</w:t>
            </w:r>
          </w:p>
        </w:tc>
        <w:tc>
          <w:tcPr>
            <w:tcW w:w="1254" w:type="dxa"/>
          </w:tcPr>
          <w:p w14:paraId="315C40AD"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54.9 (2.5)</w:t>
            </w:r>
          </w:p>
        </w:tc>
        <w:tc>
          <w:tcPr>
            <w:tcW w:w="1465" w:type="dxa"/>
          </w:tcPr>
          <w:p w14:paraId="3B2A0663"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51.1 (3.5)</w:t>
            </w:r>
          </w:p>
        </w:tc>
        <w:tc>
          <w:tcPr>
            <w:tcW w:w="1261" w:type="dxa"/>
          </w:tcPr>
          <w:p w14:paraId="5643E02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55.3 (3.2)</w:t>
            </w:r>
          </w:p>
        </w:tc>
        <w:tc>
          <w:tcPr>
            <w:tcW w:w="1465" w:type="dxa"/>
          </w:tcPr>
          <w:p w14:paraId="04FA1581"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0.784 (0.451)</w:t>
            </w:r>
          </w:p>
        </w:tc>
        <w:tc>
          <w:tcPr>
            <w:tcW w:w="1209" w:type="dxa"/>
          </w:tcPr>
          <w:p w14:paraId="09179C3B"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0.052</w:t>
            </w:r>
          </w:p>
        </w:tc>
      </w:tr>
      <w:tr w:rsidR="004053D7" w:rsidRPr="00342E1D" w14:paraId="4EF6C4D4" w14:textId="77777777" w:rsidTr="009E173A">
        <w:tc>
          <w:tcPr>
            <w:tcW w:w="2342" w:type="dxa"/>
          </w:tcPr>
          <w:p w14:paraId="1A345A52"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Calf</w:t>
            </w:r>
          </w:p>
        </w:tc>
        <w:tc>
          <w:tcPr>
            <w:tcW w:w="1566" w:type="dxa"/>
          </w:tcPr>
          <w:p w14:paraId="6579AED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39.0 (2.8)</w:t>
            </w:r>
          </w:p>
        </w:tc>
        <w:tc>
          <w:tcPr>
            <w:tcW w:w="1254" w:type="dxa"/>
          </w:tcPr>
          <w:p w14:paraId="0834562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37.6 (2.9)</w:t>
            </w:r>
          </w:p>
        </w:tc>
        <w:tc>
          <w:tcPr>
            <w:tcW w:w="1465" w:type="dxa"/>
          </w:tcPr>
          <w:p w14:paraId="5AD9E1EB"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40.6 (5.3)</w:t>
            </w:r>
          </w:p>
        </w:tc>
        <w:tc>
          <w:tcPr>
            <w:tcW w:w="1261" w:type="dxa"/>
          </w:tcPr>
          <w:p w14:paraId="73BCE6B5"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37.9 (3.6)</w:t>
            </w:r>
          </w:p>
        </w:tc>
        <w:tc>
          <w:tcPr>
            <w:tcW w:w="1465" w:type="dxa"/>
          </w:tcPr>
          <w:p w14:paraId="30EBB50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-0.913 (0.383)</w:t>
            </w:r>
          </w:p>
        </w:tc>
        <w:tc>
          <w:tcPr>
            <w:tcW w:w="1209" w:type="dxa"/>
          </w:tcPr>
          <w:p w14:paraId="5D8B959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0.102</w:t>
            </w:r>
          </w:p>
        </w:tc>
      </w:tr>
      <w:tr w:rsidR="004053D7" w:rsidRPr="00342E1D" w14:paraId="07364B9C" w14:textId="77777777" w:rsidTr="009E173A">
        <w:tc>
          <w:tcPr>
            <w:tcW w:w="10562" w:type="dxa"/>
            <w:gridSpan w:val="7"/>
          </w:tcPr>
          <w:p w14:paraId="6BE9E655" w14:textId="77777777" w:rsidR="004C12CF" w:rsidRPr="00342E1D" w:rsidRDefault="004C12CF" w:rsidP="0051704E">
            <w:pPr>
              <w:tabs>
                <w:tab w:val="left" w:pos="1568"/>
              </w:tabs>
              <w:jc w:val="center"/>
              <w:rPr>
                <w:rFonts w:cstheme="minorHAnsi"/>
                <w:b/>
                <w:bCs/>
                <w:color w:val="000000" w:themeColor="text1"/>
                <w:sz w:val="20"/>
                <w:szCs w:val="20"/>
              </w:rPr>
            </w:pPr>
            <w:r w:rsidRPr="00342E1D">
              <w:rPr>
                <w:rFonts w:cstheme="minorHAnsi"/>
                <w:b/>
                <w:bCs/>
                <w:color w:val="000000" w:themeColor="text1"/>
                <w:sz w:val="20"/>
                <w:szCs w:val="20"/>
              </w:rPr>
              <w:t>Muscle strength and function measurements</w:t>
            </w:r>
          </w:p>
        </w:tc>
      </w:tr>
      <w:tr w:rsidR="004053D7" w:rsidRPr="00342E1D" w14:paraId="4F166687" w14:textId="77777777" w:rsidTr="009E173A">
        <w:tc>
          <w:tcPr>
            <w:tcW w:w="2342" w:type="dxa"/>
          </w:tcPr>
          <w:p w14:paraId="48FF558C" w14:textId="3031A55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Handgrip</w:t>
            </w:r>
            <w:r w:rsidR="008C2CAD" w:rsidRPr="00342E1D">
              <w:rPr>
                <w:rFonts w:cstheme="minorHAnsi"/>
                <w:color w:val="000000" w:themeColor="text1"/>
                <w:sz w:val="20"/>
                <w:szCs w:val="20"/>
              </w:rPr>
              <w:t xml:space="preserve"> (kg)</w:t>
            </w:r>
          </w:p>
        </w:tc>
        <w:tc>
          <w:tcPr>
            <w:tcW w:w="2820" w:type="dxa"/>
            <w:gridSpan w:val="2"/>
          </w:tcPr>
          <w:p w14:paraId="0681A658"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27.9 (6.9)</w:t>
            </w:r>
          </w:p>
        </w:tc>
        <w:tc>
          <w:tcPr>
            <w:tcW w:w="2726" w:type="dxa"/>
            <w:gridSpan w:val="2"/>
          </w:tcPr>
          <w:p w14:paraId="36D72036"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29.1 (7.2)</w:t>
            </w:r>
          </w:p>
        </w:tc>
        <w:tc>
          <w:tcPr>
            <w:tcW w:w="2674" w:type="dxa"/>
            <w:gridSpan w:val="2"/>
          </w:tcPr>
          <w:p w14:paraId="75FB91D4"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1.601 (0.141)</w:t>
            </w:r>
          </w:p>
        </w:tc>
      </w:tr>
      <w:tr w:rsidR="004053D7" w:rsidRPr="00342E1D" w14:paraId="5364E4D0" w14:textId="77777777" w:rsidTr="009E173A">
        <w:tc>
          <w:tcPr>
            <w:tcW w:w="2342" w:type="dxa"/>
          </w:tcPr>
          <w:p w14:paraId="29683444" w14:textId="16ECD19D"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Vertical Jump</w:t>
            </w:r>
            <w:r w:rsidR="008C2CAD" w:rsidRPr="00342E1D">
              <w:rPr>
                <w:rFonts w:cstheme="minorHAnsi"/>
                <w:color w:val="000000" w:themeColor="text1"/>
                <w:sz w:val="20"/>
                <w:szCs w:val="20"/>
              </w:rPr>
              <w:t xml:space="preserve"> (cm)</w:t>
            </w:r>
          </w:p>
        </w:tc>
        <w:tc>
          <w:tcPr>
            <w:tcW w:w="2820" w:type="dxa"/>
            <w:gridSpan w:val="2"/>
          </w:tcPr>
          <w:p w14:paraId="1DA9EBC6"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18.1 (6.1)</w:t>
            </w:r>
          </w:p>
        </w:tc>
        <w:tc>
          <w:tcPr>
            <w:tcW w:w="2726" w:type="dxa"/>
            <w:gridSpan w:val="2"/>
          </w:tcPr>
          <w:p w14:paraId="1AC6C0F5"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20.7 (9.6)</w:t>
            </w:r>
          </w:p>
        </w:tc>
        <w:tc>
          <w:tcPr>
            <w:tcW w:w="2674" w:type="dxa"/>
            <w:gridSpan w:val="2"/>
          </w:tcPr>
          <w:p w14:paraId="55E5290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1.259 (0.236)</w:t>
            </w:r>
          </w:p>
        </w:tc>
      </w:tr>
      <w:tr w:rsidR="004053D7" w:rsidRPr="00342E1D" w14:paraId="3514DB53" w14:textId="77777777" w:rsidTr="009E173A">
        <w:tc>
          <w:tcPr>
            <w:tcW w:w="2342" w:type="dxa"/>
          </w:tcPr>
          <w:p w14:paraId="60AADA86" w14:textId="2F2FE264"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Time to do X5 S2S</w:t>
            </w:r>
            <w:r w:rsidR="008C2CAD" w:rsidRPr="00342E1D">
              <w:rPr>
                <w:rFonts w:cstheme="minorHAnsi"/>
                <w:color w:val="000000" w:themeColor="text1"/>
                <w:sz w:val="20"/>
                <w:szCs w:val="20"/>
              </w:rPr>
              <w:t xml:space="preserve"> (seconds)</w:t>
            </w:r>
          </w:p>
        </w:tc>
        <w:tc>
          <w:tcPr>
            <w:tcW w:w="2820" w:type="dxa"/>
            <w:gridSpan w:val="2"/>
          </w:tcPr>
          <w:p w14:paraId="158E3427"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6.7 (1.0)</w:t>
            </w:r>
          </w:p>
        </w:tc>
        <w:tc>
          <w:tcPr>
            <w:tcW w:w="2726" w:type="dxa"/>
            <w:gridSpan w:val="2"/>
          </w:tcPr>
          <w:p w14:paraId="0B737E1C"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6.9 (0.8)</w:t>
            </w:r>
          </w:p>
        </w:tc>
        <w:tc>
          <w:tcPr>
            <w:tcW w:w="2674" w:type="dxa"/>
            <w:gridSpan w:val="2"/>
          </w:tcPr>
          <w:p w14:paraId="68B9A5A7"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0.220 (0.830)</w:t>
            </w:r>
          </w:p>
        </w:tc>
      </w:tr>
      <w:tr w:rsidR="004053D7" w:rsidRPr="00342E1D" w14:paraId="402D9F1A" w14:textId="77777777" w:rsidTr="009E173A">
        <w:tc>
          <w:tcPr>
            <w:tcW w:w="2342" w:type="dxa"/>
          </w:tcPr>
          <w:p w14:paraId="7C2EC8F4" w14:textId="75754546"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1-minute S2S</w:t>
            </w:r>
            <w:r w:rsidR="008C2CAD" w:rsidRPr="00342E1D">
              <w:rPr>
                <w:rFonts w:cstheme="minorHAnsi"/>
                <w:color w:val="000000" w:themeColor="text1"/>
                <w:sz w:val="20"/>
                <w:szCs w:val="20"/>
              </w:rPr>
              <w:t xml:space="preserve"> (rep number)</w:t>
            </w:r>
          </w:p>
        </w:tc>
        <w:tc>
          <w:tcPr>
            <w:tcW w:w="2820" w:type="dxa"/>
            <w:gridSpan w:val="2"/>
          </w:tcPr>
          <w:p w14:paraId="29E0359F"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46.0 (14.9)</w:t>
            </w:r>
          </w:p>
        </w:tc>
        <w:tc>
          <w:tcPr>
            <w:tcW w:w="2726" w:type="dxa"/>
            <w:gridSpan w:val="2"/>
          </w:tcPr>
          <w:p w14:paraId="1975EDB4"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50.9 (17.4)</w:t>
            </w:r>
          </w:p>
        </w:tc>
        <w:tc>
          <w:tcPr>
            <w:tcW w:w="2674" w:type="dxa"/>
            <w:gridSpan w:val="2"/>
          </w:tcPr>
          <w:p w14:paraId="5C2CDD2B"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2.169 (0.067)</w:t>
            </w:r>
          </w:p>
        </w:tc>
      </w:tr>
      <w:tr w:rsidR="004053D7" w:rsidRPr="00342E1D" w14:paraId="47822B09" w14:textId="77777777" w:rsidTr="009E173A">
        <w:tc>
          <w:tcPr>
            <w:tcW w:w="2342" w:type="dxa"/>
          </w:tcPr>
          <w:p w14:paraId="313D722D" w14:textId="2D36539E"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Balance</w:t>
            </w:r>
            <w:r w:rsidR="008C2CAD" w:rsidRPr="00342E1D">
              <w:rPr>
                <w:rFonts w:cstheme="minorHAnsi"/>
                <w:color w:val="000000" w:themeColor="text1"/>
                <w:sz w:val="20"/>
                <w:szCs w:val="20"/>
              </w:rPr>
              <w:t xml:space="preserve"> (seconds)</w:t>
            </w:r>
          </w:p>
        </w:tc>
        <w:tc>
          <w:tcPr>
            <w:tcW w:w="2820" w:type="dxa"/>
            <w:gridSpan w:val="2"/>
          </w:tcPr>
          <w:p w14:paraId="1D51F800"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65.1 (47.9)</w:t>
            </w:r>
          </w:p>
        </w:tc>
        <w:tc>
          <w:tcPr>
            <w:tcW w:w="2726" w:type="dxa"/>
            <w:gridSpan w:val="2"/>
          </w:tcPr>
          <w:p w14:paraId="6CA3CEB2"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82.38 (39.3)</w:t>
            </w:r>
          </w:p>
        </w:tc>
        <w:tc>
          <w:tcPr>
            <w:tcW w:w="2674" w:type="dxa"/>
            <w:gridSpan w:val="2"/>
          </w:tcPr>
          <w:p w14:paraId="633D736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1.240 (0.243)</w:t>
            </w:r>
          </w:p>
        </w:tc>
      </w:tr>
      <w:tr w:rsidR="004053D7" w:rsidRPr="00342E1D" w14:paraId="7A32D303" w14:textId="77777777" w:rsidTr="009E173A">
        <w:tc>
          <w:tcPr>
            <w:tcW w:w="2342" w:type="dxa"/>
          </w:tcPr>
          <w:p w14:paraId="67B9DD92" w14:textId="0CBE9DE2"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Sit and reach</w:t>
            </w:r>
            <w:r w:rsidR="008C2CAD" w:rsidRPr="00342E1D">
              <w:rPr>
                <w:rFonts w:cstheme="minorHAnsi"/>
                <w:color w:val="000000" w:themeColor="text1"/>
                <w:sz w:val="20"/>
                <w:szCs w:val="20"/>
              </w:rPr>
              <w:t xml:space="preserve"> (cm)</w:t>
            </w:r>
          </w:p>
        </w:tc>
        <w:tc>
          <w:tcPr>
            <w:tcW w:w="2820" w:type="dxa"/>
            <w:gridSpan w:val="2"/>
          </w:tcPr>
          <w:p w14:paraId="60761A0E"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19.8 (10.9)</w:t>
            </w:r>
          </w:p>
        </w:tc>
        <w:tc>
          <w:tcPr>
            <w:tcW w:w="2726" w:type="dxa"/>
            <w:gridSpan w:val="2"/>
          </w:tcPr>
          <w:p w14:paraId="2DD27A22"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20.5 (9.7)</w:t>
            </w:r>
          </w:p>
        </w:tc>
        <w:tc>
          <w:tcPr>
            <w:tcW w:w="2674" w:type="dxa"/>
            <w:gridSpan w:val="2"/>
          </w:tcPr>
          <w:p w14:paraId="7EA4252B" w14:textId="77777777" w:rsidR="004C12CF" w:rsidRPr="00342E1D" w:rsidRDefault="004C12CF" w:rsidP="00357DD3">
            <w:pPr>
              <w:rPr>
                <w:rFonts w:cstheme="minorHAnsi"/>
                <w:color w:val="000000" w:themeColor="text1"/>
                <w:sz w:val="20"/>
                <w:szCs w:val="20"/>
              </w:rPr>
            </w:pPr>
            <w:r w:rsidRPr="00342E1D">
              <w:rPr>
                <w:rFonts w:cstheme="minorHAnsi"/>
                <w:color w:val="000000" w:themeColor="text1"/>
                <w:sz w:val="20"/>
                <w:szCs w:val="20"/>
              </w:rPr>
              <w:t>0.553 (0.593)</w:t>
            </w:r>
          </w:p>
        </w:tc>
      </w:tr>
    </w:tbl>
    <w:p w14:paraId="0AD6059E" w14:textId="53FA81E5" w:rsidR="004C12CF" w:rsidRPr="00323872" w:rsidRDefault="004C12CF" w:rsidP="00357DD3">
      <w:pPr>
        <w:pStyle w:val="Caption"/>
        <w:rPr>
          <w:rFonts w:cstheme="minorHAnsi"/>
          <w:i w:val="0"/>
          <w:iCs w:val="0"/>
          <w:color w:val="000000" w:themeColor="text1"/>
          <w:sz w:val="24"/>
          <w:szCs w:val="24"/>
        </w:rPr>
      </w:pPr>
      <w:bookmarkStart w:id="341" w:name="_Ref122447713"/>
      <w:bookmarkStart w:id="342" w:name="_Toc122956593"/>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29</w:t>
      </w:r>
      <w:r w:rsidRPr="00323872">
        <w:rPr>
          <w:rFonts w:cstheme="minorHAnsi"/>
          <w:i w:val="0"/>
          <w:iCs w:val="0"/>
          <w:color w:val="000000" w:themeColor="text1"/>
          <w:sz w:val="24"/>
          <w:szCs w:val="24"/>
        </w:rPr>
        <w:fldChar w:fldCharType="end"/>
      </w:r>
      <w:bookmarkEnd w:id="341"/>
      <w:r w:rsidR="00323872" w:rsidRPr="00323872">
        <w:rPr>
          <w:rFonts w:cstheme="minorHAnsi"/>
          <w:i w:val="0"/>
          <w:iCs w:val="0"/>
          <w:color w:val="000000" w:themeColor="text1"/>
          <w:sz w:val="24"/>
          <w:szCs w:val="24"/>
        </w:rPr>
        <w:t xml:space="preserve">. </w:t>
      </w:r>
      <w:r w:rsidRPr="00323872">
        <w:rPr>
          <w:rFonts w:cstheme="minorHAnsi"/>
          <w:i w:val="0"/>
          <w:iCs w:val="0"/>
          <w:color w:val="000000" w:themeColor="text1"/>
          <w:sz w:val="24"/>
          <w:szCs w:val="24"/>
        </w:rPr>
        <w:t>Mean (SD) muscle parameter measures for a</w:t>
      </w:r>
      <w:r w:rsidR="00513D6E" w:rsidRPr="00323872">
        <w:rPr>
          <w:rFonts w:cstheme="minorHAnsi"/>
          <w:i w:val="0"/>
          <w:iCs w:val="0"/>
          <w:color w:val="000000" w:themeColor="text1"/>
          <w:sz w:val="24"/>
          <w:szCs w:val="24"/>
        </w:rPr>
        <w:t>ll</w:t>
      </w:r>
      <w:r w:rsidRPr="00323872">
        <w:rPr>
          <w:rFonts w:cstheme="minorHAnsi"/>
          <w:i w:val="0"/>
          <w:iCs w:val="0"/>
          <w:color w:val="000000" w:themeColor="text1"/>
          <w:sz w:val="24"/>
          <w:szCs w:val="24"/>
        </w:rPr>
        <w:t xml:space="preserve"> participants (n=11) collected before the intervention commenced and after the 6 week trial.</w:t>
      </w:r>
      <w:bookmarkEnd w:id="342"/>
    </w:p>
    <w:p w14:paraId="4FA224B0" w14:textId="77777777" w:rsidR="004C12CF" w:rsidRPr="00CA4ABC" w:rsidRDefault="004C12CF" w:rsidP="00357DD3">
      <w:pPr>
        <w:rPr>
          <w:rFonts w:cstheme="minorHAnsi"/>
          <w:color w:val="000000" w:themeColor="text1"/>
        </w:rPr>
      </w:pPr>
    </w:p>
    <w:p w14:paraId="1A6646D0" w14:textId="1BBA08EF" w:rsidR="004C12CF" w:rsidRPr="00CA4ABC" w:rsidRDefault="004C12CF" w:rsidP="004053D7">
      <w:pPr>
        <w:pStyle w:val="Heading3"/>
        <w:spacing w:line="360" w:lineRule="auto"/>
        <w:rPr>
          <w:rFonts w:asciiTheme="minorHAnsi" w:hAnsiTheme="minorHAnsi" w:cstheme="minorHAnsi"/>
          <w:color w:val="000000" w:themeColor="text1"/>
        </w:rPr>
      </w:pPr>
      <w:bookmarkStart w:id="343" w:name="_Toc135384382"/>
      <w:r w:rsidRPr="00CA4ABC">
        <w:rPr>
          <w:rFonts w:asciiTheme="minorHAnsi" w:hAnsiTheme="minorHAnsi" w:cstheme="minorHAnsi"/>
          <w:color w:val="000000" w:themeColor="text1"/>
          <w:sz w:val="26"/>
          <w:szCs w:val="26"/>
        </w:rPr>
        <w:t>5.3.</w:t>
      </w:r>
      <w:r w:rsidR="007F5B0B" w:rsidRPr="00CA4ABC">
        <w:rPr>
          <w:rFonts w:asciiTheme="minorHAnsi" w:hAnsiTheme="minorHAnsi" w:cstheme="minorHAnsi"/>
          <w:color w:val="000000" w:themeColor="text1"/>
          <w:sz w:val="26"/>
          <w:szCs w:val="26"/>
        </w:rPr>
        <w:t>4</w:t>
      </w:r>
      <w:r w:rsidRPr="00CA4ABC">
        <w:rPr>
          <w:rFonts w:asciiTheme="minorHAnsi" w:hAnsiTheme="minorHAnsi" w:cstheme="minorHAnsi"/>
          <w:color w:val="000000" w:themeColor="text1"/>
          <w:sz w:val="26"/>
          <w:szCs w:val="26"/>
        </w:rPr>
        <w:t xml:space="preserve">.5 </w:t>
      </w:r>
      <w:r w:rsidRPr="00CA4ABC">
        <w:rPr>
          <w:rFonts w:asciiTheme="minorHAnsi" w:hAnsiTheme="minorHAnsi" w:cstheme="minorHAnsi"/>
          <w:color w:val="000000" w:themeColor="text1"/>
        </w:rPr>
        <w:t>RAPA questionnaire</w:t>
      </w:r>
      <w:bookmarkEnd w:id="343"/>
      <w:r w:rsidRPr="00CA4ABC">
        <w:rPr>
          <w:rFonts w:asciiTheme="minorHAnsi" w:hAnsiTheme="minorHAnsi" w:cstheme="minorHAnsi"/>
          <w:color w:val="000000" w:themeColor="text1"/>
        </w:rPr>
        <w:t xml:space="preserve"> </w:t>
      </w:r>
    </w:p>
    <w:p w14:paraId="60B748FE" w14:textId="7F923655" w:rsidR="004C12CF" w:rsidRPr="00CA4ABC" w:rsidRDefault="004C12CF" w:rsidP="00357DD3">
      <w:pPr>
        <w:spacing w:line="360" w:lineRule="auto"/>
        <w:ind w:firstLine="720"/>
        <w:rPr>
          <w:rFonts w:cstheme="minorHAnsi"/>
          <w:color w:val="000000" w:themeColor="text1"/>
        </w:rPr>
      </w:pPr>
      <w:r w:rsidRPr="00CA4ABC">
        <w:rPr>
          <w:rFonts w:cstheme="minorHAnsi"/>
          <w:color w:val="000000" w:themeColor="text1"/>
        </w:rPr>
        <w:t xml:space="preserve">RAPA scores increased for seven participants, did not change for </w:t>
      </w:r>
      <w:r w:rsidR="0051704E" w:rsidRPr="00CA4ABC">
        <w:rPr>
          <w:rFonts w:cstheme="minorHAnsi"/>
          <w:color w:val="000000" w:themeColor="text1"/>
        </w:rPr>
        <w:t>three</w:t>
      </w:r>
      <w:r w:rsidRPr="00CA4ABC">
        <w:rPr>
          <w:rFonts w:cstheme="minorHAnsi"/>
          <w:color w:val="000000" w:themeColor="text1"/>
        </w:rPr>
        <w:t xml:space="preserve"> participants and decreased for one participant (</w:t>
      </w:r>
      <w:r w:rsidRPr="00CA4ABC">
        <w:rPr>
          <w:rFonts w:cstheme="minorHAnsi"/>
          <w:color w:val="000000" w:themeColor="text1"/>
          <w:highlight w:val="green"/>
        </w:rPr>
        <w:fldChar w:fldCharType="begin"/>
      </w:r>
      <w:r w:rsidRPr="00CA4ABC">
        <w:rPr>
          <w:rFonts w:cstheme="minorHAnsi"/>
          <w:color w:val="000000" w:themeColor="text1"/>
        </w:rPr>
        <w:instrText xml:space="preserve"> REF _Ref122447899 \h </w:instrText>
      </w:r>
      <w:r w:rsidRPr="00CA4ABC">
        <w:rPr>
          <w:rFonts w:cstheme="minorHAnsi"/>
          <w:color w:val="000000" w:themeColor="text1"/>
          <w:highlight w:val="green"/>
        </w:rPr>
        <w:instrText xml:space="preserve"> \* MERGEFORMAT </w:instrText>
      </w:r>
      <w:r w:rsidRPr="00CA4ABC">
        <w:rPr>
          <w:rFonts w:cstheme="minorHAnsi"/>
          <w:color w:val="000000" w:themeColor="text1"/>
          <w:highlight w:val="green"/>
        </w:rPr>
      </w:r>
      <w:r w:rsidRPr="00CA4ABC">
        <w:rPr>
          <w:rFonts w:cstheme="minorHAnsi"/>
          <w:color w:val="000000" w:themeColor="text1"/>
          <w:highlight w:val="green"/>
        </w:rPr>
        <w:fldChar w:fldCharType="separate"/>
      </w:r>
      <w:r w:rsidR="005D4657" w:rsidRPr="00CA4ABC">
        <w:rPr>
          <w:rFonts w:cstheme="minorHAnsi"/>
          <w:color w:val="000000" w:themeColor="text1"/>
        </w:rPr>
        <w:t xml:space="preserve">Figure </w:t>
      </w:r>
      <w:r w:rsidR="005D4657" w:rsidRPr="00CA4ABC">
        <w:rPr>
          <w:rFonts w:cstheme="minorHAnsi"/>
          <w:noProof/>
          <w:color w:val="000000" w:themeColor="text1"/>
        </w:rPr>
        <w:t>19</w:t>
      </w:r>
      <w:r w:rsidRPr="00CA4ABC">
        <w:rPr>
          <w:rFonts w:cstheme="minorHAnsi"/>
          <w:color w:val="000000" w:themeColor="text1"/>
          <w:highlight w:val="green"/>
        </w:rPr>
        <w:fldChar w:fldCharType="end"/>
      </w:r>
      <w:r w:rsidRPr="00CA4ABC">
        <w:rPr>
          <w:rFonts w:cstheme="minorHAnsi"/>
          <w:color w:val="000000" w:themeColor="text1"/>
        </w:rPr>
        <w:t>.) Average RAPA scores across the cohort increase by 1.5 points.</w:t>
      </w:r>
    </w:p>
    <w:p w14:paraId="703AB4E2" w14:textId="53072CEA" w:rsidR="00E810DA" w:rsidRPr="00CA4ABC" w:rsidRDefault="00A42AA1" w:rsidP="004053D7">
      <w:pPr>
        <w:spacing w:line="360" w:lineRule="auto"/>
        <w:rPr>
          <w:rFonts w:cstheme="minorHAnsi"/>
          <w:color w:val="000000" w:themeColor="text1"/>
        </w:rPr>
      </w:pPr>
      <w:r w:rsidRPr="00CA4ABC">
        <w:rPr>
          <w:rFonts w:cstheme="minorHAnsi"/>
          <w:noProof/>
          <w:color w:val="000000" w:themeColor="text1"/>
        </w:rPr>
        <w:lastRenderedPageBreak/>
        <w:drawing>
          <wp:inline distT="0" distB="0" distL="0" distR="0" wp14:anchorId="5552FAED" wp14:editId="2EA9960F">
            <wp:extent cx="5727700" cy="3393440"/>
            <wp:effectExtent l="0" t="0" r="12700" b="10160"/>
            <wp:docPr id="78" name="Chart 78">
              <a:extLst xmlns:a="http://schemas.openxmlformats.org/drawingml/2006/main">
                <a:ext uri="{FF2B5EF4-FFF2-40B4-BE49-F238E27FC236}">
                  <a16:creationId xmlns:a16="http://schemas.microsoft.com/office/drawing/2014/main" id="{FCB67C95-3D71-255D-495B-866F474C56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33C15A2" w14:textId="77777777" w:rsidR="004C12CF" w:rsidRPr="00CA4ABC" w:rsidRDefault="004C12CF" w:rsidP="004053D7">
      <w:pPr>
        <w:spacing w:line="360" w:lineRule="auto"/>
        <w:rPr>
          <w:rFonts w:cstheme="minorHAnsi"/>
          <w:color w:val="000000" w:themeColor="text1"/>
        </w:rPr>
      </w:pPr>
    </w:p>
    <w:p w14:paraId="064EABD0" w14:textId="4014AB8D" w:rsidR="004C12CF" w:rsidRPr="00323872" w:rsidRDefault="004C12CF" w:rsidP="00357DD3">
      <w:pPr>
        <w:pStyle w:val="Caption"/>
        <w:spacing w:line="360" w:lineRule="auto"/>
        <w:rPr>
          <w:rFonts w:cstheme="minorHAnsi"/>
          <w:i w:val="0"/>
          <w:iCs w:val="0"/>
          <w:color w:val="000000" w:themeColor="text1"/>
          <w:sz w:val="24"/>
          <w:szCs w:val="24"/>
        </w:rPr>
      </w:pPr>
      <w:bookmarkStart w:id="344" w:name="_Ref122447899"/>
      <w:bookmarkStart w:id="345" w:name="_Toc127044198"/>
      <w:bookmarkStart w:id="346" w:name="_Toc127978482"/>
      <w:r w:rsidRPr="00323872">
        <w:rPr>
          <w:rFonts w:cstheme="minorHAnsi"/>
          <w:i w:val="0"/>
          <w:iCs w:val="0"/>
          <w:color w:val="000000" w:themeColor="text1"/>
          <w:sz w:val="24"/>
          <w:szCs w:val="24"/>
        </w:rPr>
        <w:t xml:space="preserve">Figure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Figure \* ARABIC </w:instrText>
      </w:r>
      <w:r w:rsidRPr="00323872">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22</w:t>
      </w:r>
      <w:r w:rsidRPr="00323872">
        <w:rPr>
          <w:rFonts w:cstheme="minorHAnsi"/>
          <w:i w:val="0"/>
          <w:iCs w:val="0"/>
          <w:color w:val="000000" w:themeColor="text1"/>
          <w:sz w:val="24"/>
          <w:szCs w:val="24"/>
        </w:rPr>
        <w:fldChar w:fldCharType="end"/>
      </w:r>
      <w:bookmarkEnd w:id="344"/>
      <w:r w:rsidR="00323872" w:rsidRPr="00323872">
        <w:rPr>
          <w:rFonts w:cstheme="minorHAnsi"/>
          <w:i w:val="0"/>
          <w:iCs w:val="0"/>
          <w:color w:val="000000" w:themeColor="text1"/>
          <w:sz w:val="24"/>
          <w:szCs w:val="24"/>
        </w:rPr>
        <w:t xml:space="preserve">. </w:t>
      </w:r>
      <w:r w:rsidRPr="00323872">
        <w:rPr>
          <w:rFonts w:cstheme="minorHAnsi"/>
          <w:i w:val="0"/>
          <w:iCs w:val="0"/>
          <w:color w:val="000000" w:themeColor="text1"/>
          <w:sz w:val="24"/>
          <w:szCs w:val="24"/>
        </w:rPr>
        <w:t>Individual participants reported RAPA scores pre and post</w:t>
      </w:r>
      <w:r w:rsidR="00035764" w:rsidRPr="00323872">
        <w:rPr>
          <w:rFonts w:cstheme="minorHAnsi"/>
          <w:i w:val="0"/>
          <w:iCs w:val="0"/>
          <w:color w:val="000000" w:themeColor="text1"/>
          <w:sz w:val="24"/>
          <w:szCs w:val="24"/>
        </w:rPr>
        <w:t>-</w:t>
      </w:r>
      <w:r w:rsidRPr="00323872">
        <w:rPr>
          <w:rFonts w:cstheme="minorHAnsi"/>
          <w:i w:val="0"/>
          <w:iCs w:val="0"/>
          <w:color w:val="000000" w:themeColor="text1"/>
          <w:sz w:val="24"/>
          <w:szCs w:val="24"/>
        </w:rPr>
        <w:t>intervention.</w:t>
      </w:r>
      <w:bookmarkEnd w:id="345"/>
      <w:bookmarkEnd w:id="346"/>
    </w:p>
    <w:bookmarkEnd w:id="291"/>
    <w:bookmarkEnd w:id="292"/>
    <w:p w14:paraId="3CE1C116" w14:textId="77777777" w:rsidR="00513D6E" w:rsidRPr="00CA4ABC" w:rsidRDefault="00513D6E" w:rsidP="004053D7">
      <w:pPr>
        <w:pStyle w:val="Heading2"/>
        <w:spacing w:line="360" w:lineRule="auto"/>
        <w:rPr>
          <w:rFonts w:asciiTheme="minorHAnsi" w:hAnsiTheme="minorHAnsi" w:cstheme="minorHAnsi"/>
          <w:b/>
          <w:bCs/>
          <w:color w:val="000000" w:themeColor="text1"/>
        </w:rPr>
        <w:sectPr w:rsidR="00513D6E" w:rsidRPr="00CA4ABC" w:rsidSect="00755CCD">
          <w:pgSz w:w="11900" w:h="16840"/>
          <w:pgMar w:top="1440" w:right="1440" w:bottom="1440" w:left="1440" w:header="708" w:footer="708" w:gutter="0"/>
          <w:cols w:space="708"/>
          <w:docGrid w:linePitch="360"/>
        </w:sectPr>
      </w:pPr>
    </w:p>
    <w:p w14:paraId="13220336" w14:textId="510F713F" w:rsidR="004C12CF" w:rsidRPr="00CA4ABC" w:rsidRDefault="00513D6E" w:rsidP="004053D7">
      <w:pPr>
        <w:pStyle w:val="Heading2"/>
        <w:spacing w:line="360" w:lineRule="auto"/>
        <w:rPr>
          <w:rFonts w:asciiTheme="minorHAnsi" w:hAnsiTheme="minorHAnsi" w:cstheme="minorHAnsi"/>
          <w:b/>
          <w:bCs/>
          <w:color w:val="000000" w:themeColor="text1"/>
        </w:rPr>
      </w:pPr>
      <w:bookmarkStart w:id="347" w:name="_Toc135384383"/>
      <w:r w:rsidRPr="00CA4ABC">
        <w:rPr>
          <w:rFonts w:asciiTheme="minorHAnsi" w:hAnsiTheme="minorHAnsi" w:cstheme="minorHAnsi"/>
          <w:b/>
          <w:bCs/>
          <w:color w:val="000000" w:themeColor="text1"/>
        </w:rPr>
        <w:lastRenderedPageBreak/>
        <w:t xml:space="preserve">5.4 </w:t>
      </w:r>
      <w:r w:rsidR="004C12CF" w:rsidRPr="00CA4ABC">
        <w:rPr>
          <w:rFonts w:asciiTheme="minorHAnsi" w:hAnsiTheme="minorHAnsi" w:cstheme="minorHAnsi"/>
          <w:b/>
          <w:bCs/>
          <w:color w:val="000000" w:themeColor="text1"/>
        </w:rPr>
        <w:t>Part B - Qualitative results:</w:t>
      </w:r>
      <w:bookmarkEnd w:id="347"/>
    </w:p>
    <w:p w14:paraId="021E9FCA" w14:textId="689F34F9" w:rsidR="004C12CF" w:rsidRPr="00CA4ABC" w:rsidRDefault="004C12CF" w:rsidP="0051704E">
      <w:pPr>
        <w:spacing w:line="360" w:lineRule="auto"/>
        <w:ind w:firstLine="720"/>
        <w:rPr>
          <w:rFonts w:cstheme="minorHAnsi"/>
          <w:color w:val="000000" w:themeColor="text1"/>
        </w:rPr>
      </w:pPr>
      <w:r w:rsidRPr="00CA4ABC">
        <w:rPr>
          <w:rFonts w:cstheme="minorHAnsi"/>
          <w:color w:val="000000" w:themeColor="text1"/>
        </w:rPr>
        <w:t>All participant</w:t>
      </w:r>
      <w:r w:rsidR="00035764" w:rsidRPr="00CA4ABC">
        <w:rPr>
          <w:rFonts w:cstheme="minorHAnsi"/>
          <w:color w:val="000000" w:themeColor="text1"/>
        </w:rPr>
        <w:t>s</w:t>
      </w:r>
      <w:r w:rsidRPr="00CA4ABC">
        <w:rPr>
          <w:rFonts w:cstheme="minorHAnsi"/>
          <w:color w:val="000000" w:themeColor="text1"/>
        </w:rPr>
        <w:t xml:space="preserve"> who took part in the intervention trial agreed to be interviewed (n=11) and provided informed consent</w:t>
      </w:r>
      <w:r w:rsidR="0051704E" w:rsidRPr="00CA4ABC">
        <w:rPr>
          <w:rFonts w:cstheme="minorHAnsi"/>
          <w:color w:val="000000" w:themeColor="text1"/>
        </w:rPr>
        <w:t xml:space="preserve"> for this</w:t>
      </w:r>
      <w:r w:rsidRPr="00CA4ABC">
        <w:rPr>
          <w:rFonts w:cstheme="minorHAnsi"/>
          <w:color w:val="000000" w:themeColor="text1"/>
        </w:rPr>
        <w:t xml:space="preserve">. Interviews lasted between 16 and 50 minutes. </w:t>
      </w:r>
    </w:p>
    <w:p w14:paraId="6BE4C752" w14:textId="1B76EFFF" w:rsidR="004C12CF" w:rsidRPr="00CA4ABC" w:rsidRDefault="004C12CF" w:rsidP="004053D7">
      <w:pPr>
        <w:pStyle w:val="Heading3"/>
        <w:spacing w:line="360" w:lineRule="auto"/>
        <w:rPr>
          <w:rFonts w:asciiTheme="minorHAnsi" w:hAnsiTheme="minorHAnsi" w:cstheme="minorHAnsi"/>
          <w:color w:val="000000" w:themeColor="text1"/>
        </w:rPr>
      </w:pPr>
      <w:bookmarkStart w:id="348" w:name="_Toc135384384"/>
      <w:r w:rsidRPr="00CA4ABC">
        <w:rPr>
          <w:rFonts w:asciiTheme="minorHAnsi" w:hAnsiTheme="minorHAnsi" w:cstheme="minorHAnsi"/>
          <w:color w:val="000000" w:themeColor="text1"/>
        </w:rPr>
        <w:t>5.</w:t>
      </w:r>
      <w:r w:rsidR="007F5B0B"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w:t>
      </w:r>
      <w:r w:rsidR="00513D6E" w:rsidRPr="00CA4ABC">
        <w:rPr>
          <w:rFonts w:asciiTheme="minorHAnsi" w:hAnsiTheme="minorHAnsi" w:cstheme="minorHAnsi"/>
          <w:color w:val="000000" w:themeColor="text1"/>
        </w:rPr>
        <w:t>1</w:t>
      </w:r>
      <w:r w:rsidRPr="00CA4ABC">
        <w:rPr>
          <w:rFonts w:asciiTheme="minorHAnsi" w:hAnsiTheme="minorHAnsi" w:cstheme="minorHAnsi"/>
          <w:color w:val="000000" w:themeColor="text1"/>
        </w:rPr>
        <w:t xml:space="preserve"> Qualitative interview findings.</w:t>
      </w:r>
      <w:bookmarkEnd w:id="348"/>
    </w:p>
    <w:p w14:paraId="46CB2E38" w14:textId="1B3CDF14" w:rsidR="004C12CF" w:rsidRPr="00CA4ABC" w:rsidRDefault="006D7E4B" w:rsidP="006D7E4B">
      <w:pPr>
        <w:spacing w:line="360" w:lineRule="auto"/>
        <w:ind w:firstLine="720"/>
        <w:rPr>
          <w:rFonts w:cstheme="minorHAnsi"/>
          <w:color w:val="000000" w:themeColor="text1"/>
        </w:rPr>
      </w:pPr>
      <w:r w:rsidRPr="00CA4ABC">
        <w:rPr>
          <w:rFonts w:cstheme="minorHAnsi"/>
          <w:color w:val="000000" w:themeColor="text1"/>
        </w:rPr>
        <w:t>F</w:t>
      </w:r>
      <w:r w:rsidR="004C12CF" w:rsidRPr="00CA4ABC">
        <w:rPr>
          <w:rFonts w:cstheme="minorHAnsi"/>
          <w:color w:val="000000" w:themeColor="text1"/>
        </w:rPr>
        <w:t xml:space="preserve">ollowing the pooling of interview transcript analysis </w:t>
      </w:r>
      <w:r w:rsidRPr="00CA4ABC">
        <w:rPr>
          <w:rFonts w:cstheme="minorHAnsi"/>
          <w:color w:val="000000" w:themeColor="text1"/>
        </w:rPr>
        <w:t>b</w:t>
      </w:r>
      <w:r w:rsidR="0051704E" w:rsidRPr="00CA4ABC">
        <w:rPr>
          <w:rFonts w:cstheme="minorHAnsi"/>
          <w:color w:val="000000" w:themeColor="text1"/>
        </w:rPr>
        <w:t>y</w:t>
      </w:r>
      <w:r w:rsidR="004C12CF" w:rsidRPr="00CA4ABC">
        <w:rPr>
          <w:rFonts w:cstheme="minorHAnsi"/>
          <w:color w:val="000000" w:themeColor="text1"/>
        </w:rPr>
        <w:t xml:space="preserve"> ET and EH</w:t>
      </w:r>
      <w:r w:rsidRPr="00CA4ABC">
        <w:rPr>
          <w:rFonts w:cstheme="minorHAnsi"/>
          <w:color w:val="000000" w:themeColor="text1"/>
        </w:rPr>
        <w:t xml:space="preserve">, </w:t>
      </w:r>
      <w:r w:rsidR="004C12CF" w:rsidRPr="00CA4ABC">
        <w:rPr>
          <w:rFonts w:cstheme="minorHAnsi"/>
          <w:color w:val="000000" w:themeColor="text1"/>
        </w:rPr>
        <w:t>similar views on codes</w:t>
      </w:r>
      <w:r w:rsidRPr="00CA4ABC">
        <w:rPr>
          <w:rFonts w:cstheme="minorHAnsi"/>
          <w:color w:val="000000" w:themeColor="text1"/>
        </w:rPr>
        <w:t xml:space="preserve"> w</w:t>
      </w:r>
      <w:r w:rsidR="00B0466E" w:rsidRPr="00CA4ABC">
        <w:rPr>
          <w:rFonts w:cstheme="minorHAnsi"/>
          <w:color w:val="000000" w:themeColor="text1"/>
        </w:rPr>
        <w:t>ere</w:t>
      </w:r>
      <w:r w:rsidR="004C12CF" w:rsidRPr="00CA4ABC">
        <w:rPr>
          <w:rFonts w:cstheme="minorHAnsi"/>
          <w:color w:val="000000" w:themeColor="text1"/>
        </w:rPr>
        <w:t xml:space="preserve"> identified and the overarching themes which represented these were concluded via an iterative and mutual process. It was also agreed between the researchers that in some instances sub-themes were appropriate.</w:t>
      </w:r>
      <w:r w:rsidRPr="00CA4ABC">
        <w:rPr>
          <w:rFonts w:cstheme="minorHAnsi"/>
          <w:color w:val="000000" w:themeColor="text1"/>
        </w:rPr>
        <w:t xml:space="preserve"> </w:t>
      </w:r>
      <w:r w:rsidR="0051704E" w:rsidRPr="00CA4ABC">
        <w:rPr>
          <w:rFonts w:cstheme="minorHAnsi"/>
          <w:color w:val="000000" w:themeColor="text1"/>
        </w:rPr>
        <w:t>F</w:t>
      </w:r>
      <w:r w:rsidRPr="00CA4ABC">
        <w:rPr>
          <w:rFonts w:cstheme="minorHAnsi"/>
          <w:color w:val="000000" w:themeColor="text1"/>
        </w:rPr>
        <w:t xml:space="preserve">our </w:t>
      </w:r>
      <w:r w:rsidR="0051704E" w:rsidRPr="00CA4ABC">
        <w:rPr>
          <w:rFonts w:cstheme="minorHAnsi"/>
          <w:color w:val="000000" w:themeColor="text1"/>
        </w:rPr>
        <w:t xml:space="preserve">final </w:t>
      </w:r>
      <w:r w:rsidRPr="00CA4ABC">
        <w:rPr>
          <w:rFonts w:cstheme="minorHAnsi"/>
          <w:color w:val="000000" w:themeColor="text1"/>
        </w:rPr>
        <w:t xml:space="preserve">themes were generated. </w:t>
      </w:r>
      <w:r w:rsidR="004C12CF" w:rsidRPr="00CA4ABC">
        <w:rPr>
          <w:rFonts w:cstheme="minorHAnsi"/>
          <w:color w:val="000000" w:themeColor="text1"/>
        </w:rPr>
        <w:t xml:space="preserve">The main themes outline trial benefits, </w:t>
      </w:r>
      <w:r w:rsidR="00B0466E" w:rsidRPr="00CA4ABC">
        <w:rPr>
          <w:rFonts w:cstheme="minorHAnsi"/>
          <w:color w:val="000000" w:themeColor="text1"/>
        </w:rPr>
        <w:t xml:space="preserve">the </w:t>
      </w:r>
      <w:r w:rsidR="004C12CF" w:rsidRPr="00CA4ABC">
        <w:rPr>
          <w:rFonts w:cstheme="minorHAnsi"/>
          <w:color w:val="000000" w:themeColor="text1"/>
        </w:rPr>
        <w:t>effectiveness of the trial, study engagement and overall trial experience and improvements</w:t>
      </w:r>
      <w:r w:rsidR="0051704E" w:rsidRPr="00CA4ABC">
        <w:rPr>
          <w:rFonts w:cstheme="minorHAnsi"/>
          <w:color w:val="000000" w:themeColor="text1"/>
        </w:rPr>
        <w:t xml:space="preserve"> summarised in</w:t>
      </w:r>
      <w:r w:rsidRPr="00CA4ABC">
        <w:rPr>
          <w:rFonts w:cstheme="minorHAnsi"/>
          <w:color w:val="000000" w:themeColor="text1"/>
        </w:rPr>
        <w:t xml:space="preserve"> </w:t>
      </w:r>
      <w:r w:rsidR="004C12CF" w:rsidRPr="00CA4ABC">
        <w:rPr>
          <w:rFonts w:cstheme="minorHAnsi"/>
          <w:color w:val="000000" w:themeColor="text1"/>
        </w:rPr>
        <w:fldChar w:fldCharType="begin"/>
      </w:r>
      <w:r w:rsidR="004C12CF" w:rsidRPr="00CA4ABC">
        <w:rPr>
          <w:rFonts w:cstheme="minorHAnsi"/>
          <w:color w:val="000000" w:themeColor="text1"/>
        </w:rPr>
        <w:instrText xml:space="preserve"> REF _Ref122447858 \h  \* MERGEFORMAT </w:instrText>
      </w:r>
      <w:r w:rsidR="004C12CF" w:rsidRPr="00CA4ABC">
        <w:rPr>
          <w:rFonts w:cstheme="minorHAnsi"/>
          <w:color w:val="000000" w:themeColor="text1"/>
        </w:rPr>
      </w:r>
      <w:r w:rsidR="004C12CF" w:rsidRPr="00CA4ABC">
        <w:rPr>
          <w:rFonts w:cstheme="minorHAnsi"/>
          <w:color w:val="000000" w:themeColor="text1"/>
        </w:rPr>
        <w:fldChar w:fldCharType="separate"/>
      </w:r>
      <w:r w:rsidR="005D4657" w:rsidRPr="00CA4ABC">
        <w:rPr>
          <w:rFonts w:cstheme="minorHAnsi"/>
          <w:color w:val="000000" w:themeColor="text1"/>
        </w:rPr>
        <w:t xml:space="preserve">Table </w:t>
      </w:r>
      <w:r w:rsidR="005D4657" w:rsidRPr="00CA4ABC">
        <w:rPr>
          <w:rFonts w:cstheme="minorHAnsi"/>
          <w:noProof/>
          <w:color w:val="000000" w:themeColor="text1"/>
        </w:rPr>
        <w:t>29</w:t>
      </w:r>
      <w:r w:rsidR="004C12CF" w:rsidRPr="00CA4ABC">
        <w:rPr>
          <w:rFonts w:cstheme="minorHAnsi"/>
          <w:color w:val="000000" w:themeColor="text1"/>
        </w:rPr>
        <w:fldChar w:fldCharType="end"/>
      </w:r>
      <w:r w:rsidR="004C12CF" w:rsidRPr="00CA4ABC">
        <w:rPr>
          <w:rFonts w:cstheme="minorHAnsi"/>
          <w:color w:val="000000" w:themeColor="text1"/>
        </w:rPr>
        <w:t xml:space="preserve">. Appropriate quotes have been selected from the analysed transcripts </w:t>
      </w:r>
      <w:r w:rsidRPr="00CA4ABC">
        <w:rPr>
          <w:rFonts w:cstheme="minorHAnsi"/>
          <w:color w:val="000000" w:themeColor="text1"/>
        </w:rPr>
        <w:t>to</w:t>
      </w:r>
      <w:r w:rsidR="004C12CF" w:rsidRPr="00CA4ABC">
        <w:rPr>
          <w:rFonts w:cstheme="minorHAnsi"/>
          <w:color w:val="000000" w:themeColor="text1"/>
        </w:rPr>
        <w:t xml:space="preserve"> represent the finalised themes (alongside the participant ID number). </w:t>
      </w:r>
    </w:p>
    <w:p w14:paraId="7BB8E532" w14:textId="77777777" w:rsidR="004C12CF" w:rsidRPr="00CA4ABC" w:rsidRDefault="004C12CF" w:rsidP="004053D7">
      <w:pPr>
        <w:spacing w:line="360" w:lineRule="auto"/>
        <w:rPr>
          <w:rFonts w:cstheme="minorHAnsi"/>
          <w:color w:val="000000" w:themeColor="text1"/>
        </w:rPr>
      </w:pPr>
    </w:p>
    <w:tbl>
      <w:tblPr>
        <w:tblStyle w:val="TableGrid"/>
        <w:tblpPr w:leftFromText="180" w:rightFromText="180" w:vertAnchor="page" w:horzAnchor="margin" w:tblpY="7764"/>
        <w:tblW w:w="0" w:type="auto"/>
        <w:tblLook w:val="04A0" w:firstRow="1" w:lastRow="0" w:firstColumn="1" w:lastColumn="0" w:noHBand="0" w:noVBand="1"/>
      </w:tblPr>
      <w:tblGrid>
        <w:gridCol w:w="4411"/>
        <w:gridCol w:w="4411"/>
      </w:tblGrid>
      <w:tr w:rsidR="00513D6E" w:rsidRPr="00CA4ABC" w14:paraId="743A52CD" w14:textId="77777777" w:rsidTr="00513D6E">
        <w:trPr>
          <w:trHeight w:val="121"/>
        </w:trPr>
        <w:tc>
          <w:tcPr>
            <w:tcW w:w="4411" w:type="dxa"/>
          </w:tcPr>
          <w:p w14:paraId="38BE99BB" w14:textId="77777777" w:rsidR="00513D6E" w:rsidRPr="00CA4ABC" w:rsidRDefault="00513D6E" w:rsidP="00513D6E">
            <w:pPr>
              <w:jc w:val="center"/>
              <w:rPr>
                <w:rFonts w:cstheme="minorHAnsi"/>
                <w:b/>
                <w:bCs/>
                <w:color w:val="000000" w:themeColor="text1"/>
                <w:sz w:val="20"/>
                <w:szCs w:val="20"/>
              </w:rPr>
            </w:pPr>
            <w:r w:rsidRPr="00CA4ABC">
              <w:rPr>
                <w:rFonts w:cstheme="minorHAnsi"/>
                <w:b/>
                <w:bCs/>
                <w:color w:val="000000" w:themeColor="text1"/>
                <w:sz w:val="20"/>
                <w:szCs w:val="20"/>
              </w:rPr>
              <w:t>Theme</w:t>
            </w:r>
          </w:p>
        </w:tc>
        <w:tc>
          <w:tcPr>
            <w:tcW w:w="4411" w:type="dxa"/>
          </w:tcPr>
          <w:p w14:paraId="031C6AD0" w14:textId="77777777" w:rsidR="00513D6E" w:rsidRPr="00CA4ABC" w:rsidRDefault="00513D6E" w:rsidP="00513D6E">
            <w:pPr>
              <w:jc w:val="center"/>
              <w:rPr>
                <w:rFonts w:cstheme="minorHAnsi"/>
                <w:b/>
                <w:bCs/>
                <w:color w:val="000000" w:themeColor="text1"/>
                <w:sz w:val="20"/>
                <w:szCs w:val="20"/>
              </w:rPr>
            </w:pPr>
            <w:r w:rsidRPr="00CA4ABC">
              <w:rPr>
                <w:rFonts w:cstheme="minorHAnsi"/>
                <w:b/>
                <w:bCs/>
                <w:color w:val="000000" w:themeColor="text1"/>
                <w:sz w:val="20"/>
                <w:szCs w:val="20"/>
              </w:rPr>
              <w:t>Sub-themes</w:t>
            </w:r>
          </w:p>
        </w:tc>
      </w:tr>
      <w:tr w:rsidR="00513D6E" w:rsidRPr="00CA4ABC" w14:paraId="7FAB4340" w14:textId="77777777" w:rsidTr="00513D6E">
        <w:trPr>
          <w:trHeight w:val="943"/>
        </w:trPr>
        <w:tc>
          <w:tcPr>
            <w:tcW w:w="4411" w:type="dxa"/>
          </w:tcPr>
          <w:p w14:paraId="7C8766E0" w14:textId="77777777" w:rsidR="00513D6E" w:rsidRPr="00CA4ABC" w:rsidRDefault="00513D6E" w:rsidP="00513D6E">
            <w:pPr>
              <w:rPr>
                <w:rFonts w:cstheme="minorHAnsi"/>
                <w:color w:val="000000" w:themeColor="text1"/>
                <w:sz w:val="20"/>
                <w:szCs w:val="20"/>
              </w:rPr>
            </w:pPr>
            <w:r w:rsidRPr="00CA4ABC">
              <w:rPr>
                <w:rFonts w:cstheme="minorHAnsi"/>
                <w:color w:val="000000" w:themeColor="text1"/>
                <w:sz w:val="20"/>
                <w:szCs w:val="20"/>
              </w:rPr>
              <w:t>Trial benefits and effectiveness</w:t>
            </w:r>
          </w:p>
        </w:tc>
        <w:tc>
          <w:tcPr>
            <w:tcW w:w="4411" w:type="dxa"/>
          </w:tcPr>
          <w:p w14:paraId="71829F93" w14:textId="429DA522" w:rsidR="00513D6E" w:rsidRPr="00CA4ABC" w:rsidRDefault="00513D6E">
            <w:pPr>
              <w:pStyle w:val="ListParagraph"/>
              <w:numPr>
                <w:ilvl w:val="0"/>
                <w:numId w:val="16"/>
              </w:numPr>
              <w:rPr>
                <w:rFonts w:cstheme="minorHAnsi"/>
                <w:color w:val="000000" w:themeColor="text1"/>
                <w:sz w:val="20"/>
                <w:szCs w:val="20"/>
              </w:rPr>
            </w:pPr>
            <w:r w:rsidRPr="00CA4ABC">
              <w:rPr>
                <w:rFonts w:cstheme="minorHAnsi"/>
                <w:color w:val="000000" w:themeColor="text1"/>
                <w:sz w:val="20"/>
                <w:szCs w:val="20"/>
              </w:rPr>
              <w:t>Reporting differences from week 1 to week 6.</w:t>
            </w:r>
          </w:p>
          <w:p w14:paraId="3B30C283" w14:textId="77777777" w:rsidR="00513D6E" w:rsidRPr="00CA4ABC" w:rsidRDefault="00513D6E">
            <w:pPr>
              <w:pStyle w:val="ListParagraph"/>
              <w:numPr>
                <w:ilvl w:val="0"/>
                <w:numId w:val="16"/>
              </w:numPr>
              <w:rPr>
                <w:rFonts w:cstheme="minorHAnsi"/>
                <w:color w:val="000000" w:themeColor="text1"/>
                <w:sz w:val="20"/>
                <w:szCs w:val="20"/>
              </w:rPr>
            </w:pPr>
            <w:r w:rsidRPr="00CA4ABC">
              <w:rPr>
                <w:rFonts w:cstheme="minorHAnsi"/>
                <w:color w:val="000000" w:themeColor="text1"/>
                <w:sz w:val="20"/>
                <w:szCs w:val="20"/>
              </w:rPr>
              <w:t>Aching muscle (DOMS)</w:t>
            </w:r>
          </w:p>
          <w:p w14:paraId="58A2FC05" w14:textId="77777777" w:rsidR="00513D6E" w:rsidRPr="00CA4ABC" w:rsidRDefault="00513D6E">
            <w:pPr>
              <w:pStyle w:val="ListParagraph"/>
              <w:numPr>
                <w:ilvl w:val="0"/>
                <w:numId w:val="16"/>
              </w:numPr>
              <w:rPr>
                <w:rFonts w:cstheme="minorHAnsi"/>
                <w:color w:val="000000" w:themeColor="text1"/>
                <w:sz w:val="20"/>
                <w:szCs w:val="20"/>
              </w:rPr>
            </w:pPr>
            <w:r w:rsidRPr="00CA4ABC">
              <w:rPr>
                <w:rFonts w:cstheme="minorHAnsi"/>
                <w:color w:val="000000" w:themeColor="text1"/>
                <w:sz w:val="20"/>
                <w:szCs w:val="20"/>
              </w:rPr>
              <w:t>Resistance band reflections</w:t>
            </w:r>
          </w:p>
        </w:tc>
      </w:tr>
      <w:tr w:rsidR="00513D6E" w:rsidRPr="00CA4ABC" w14:paraId="28A75D80" w14:textId="77777777" w:rsidTr="00B0466E">
        <w:trPr>
          <w:trHeight w:val="449"/>
        </w:trPr>
        <w:tc>
          <w:tcPr>
            <w:tcW w:w="4411" w:type="dxa"/>
          </w:tcPr>
          <w:p w14:paraId="683FDC9E" w14:textId="77777777" w:rsidR="00513D6E" w:rsidRPr="00CA4ABC" w:rsidRDefault="00513D6E" w:rsidP="00513D6E">
            <w:pPr>
              <w:rPr>
                <w:rFonts w:cstheme="minorHAnsi"/>
                <w:color w:val="000000" w:themeColor="text1"/>
                <w:sz w:val="20"/>
                <w:szCs w:val="20"/>
              </w:rPr>
            </w:pPr>
            <w:r w:rsidRPr="00CA4ABC">
              <w:rPr>
                <w:rFonts w:cstheme="minorHAnsi"/>
                <w:color w:val="000000" w:themeColor="text1"/>
                <w:sz w:val="20"/>
                <w:szCs w:val="20"/>
              </w:rPr>
              <w:t>Non-muscular health benefits</w:t>
            </w:r>
          </w:p>
        </w:tc>
        <w:tc>
          <w:tcPr>
            <w:tcW w:w="4411" w:type="dxa"/>
          </w:tcPr>
          <w:p w14:paraId="74FF88AA" w14:textId="77777777" w:rsidR="00513D6E" w:rsidRPr="00CA4ABC" w:rsidRDefault="00513D6E">
            <w:pPr>
              <w:pStyle w:val="ListParagraph"/>
              <w:numPr>
                <w:ilvl w:val="0"/>
                <w:numId w:val="15"/>
              </w:numPr>
              <w:rPr>
                <w:rFonts w:cstheme="minorHAnsi"/>
                <w:color w:val="000000" w:themeColor="text1"/>
                <w:sz w:val="20"/>
                <w:szCs w:val="20"/>
              </w:rPr>
            </w:pPr>
            <w:r w:rsidRPr="00CA4ABC">
              <w:rPr>
                <w:rFonts w:cstheme="minorHAnsi"/>
                <w:color w:val="000000" w:themeColor="text1"/>
                <w:sz w:val="20"/>
                <w:szCs w:val="20"/>
              </w:rPr>
              <w:t>Mental health/psychological benefits</w:t>
            </w:r>
          </w:p>
          <w:p w14:paraId="0A2AD7D9" w14:textId="77777777" w:rsidR="00513D6E" w:rsidRPr="00CA4ABC" w:rsidRDefault="00513D6E">
            <w:pPr>
              <w:pStyle w:val="ListParagraph"/>
              <w:numPr>
                <w:ilvl w:val="0"/>
                <w:numId w:val="15"/>
              </w:numPr>
              <w:rPr>
                <w:rFonts w:cstheme="minorHAnsi"/>
                <w:color w:val="000000" w:themeColor="text1"/>
                <w:sz w:val="20"/>
                <w:szCs w:val="20"/>
              </w:rPr>
            </w:pPr>
            <w:r w:rsidRPr="00CA4ABC">
              <w:rPr>
                <w:rFonts w:cstheme="minorHAnsi"/>
                <w:color w:val="000000" w:themeColor="text1"/>
                <w:sz w:val="20"/>
                <w:szCs w:val="20"/>
              </w:rPr>
              <w:t>Continuation after 6 weeks</w:t>
            </w:r>
          </w:p>
        </w:tc>
      </w:tr>
      <w:tr w:rsidR="00513D6E" w:rsidRPr="00CA4ABC" w14:paraId="0D5BBE13" w14:textId="77777777" w:rsidTr="00513D6E">
        <w:trPr>
          <w:trHeight w:val="2442"/>
        </w:trPr>
        <w:tc>
          <w:tcPr>
            <w:tcW w:w="4411" w:type="dxa"/>
          </w:tcPr>
          <w:p w14:paraId="37BABDC9" w14:textId="77777777" w:rsidR="00513D6E" w:rsidRPr="00CA4ABC" w:rsidRDefault="00513D6E" w:rsidP="00513D6E">
            <w:pPr>
              <w:rPr>
                <w:rFonts w:cstheme="minorHAnsi"/>
                <w:color w:val="000000" w:themeColor="text1"/>
                <w:sz w:val="20"/>
                <w:szCs w:val="20"/>
              </w:rPr>
            </w:pPr>
            <w:r w:rsidRPr="00CA4ABC">
              <w:rPr>
                <w:rFonts w:cstheme="minorHAnsi"/>
                <w:color w:val="000000" w:themeColor="text1"/>
                <w:sz w:val="20"/>
                <w:szCs w:val="20"/>
              </w:rPr>
              <w:t>Factors that influenced engagement</w:t>
            </w:r>
          </w:p>
        </w:tc>
        <w:tc>
          <w:tcPr>
            <w:tcW w:w="4411" w:type="dxa"/>
          </w:tcPr>
          <w:p w14:paraId="120F8A09" w14:textId="77777777" w:rsidR="00513D6E" w:rsidRPr="00CA4ABC" w:rsidRDefault="00513D6E" w:rsidP="00513D6E">
            <w:pPr>
              <w:rPr>
                <w:rFonts w:cstheme="minorHAnsi"/>
                <w:i/>
                <w:iCs/>
                <w:color w:val="000000" w:themeColor="text1"/>
                <w:sz w:val="20"/>
                <w:szCs w:val="20"/>
              </w:rPr>
            </w:pPr>
            <w:r w:rsidRPr="00CA4ABC">
              <w:rPr>
                <w:rFonts w:cstheme="minorHAnsi"/>
                <w:i/>
                <w:iCs/>
                <w:color w:val="000000" w:themeColor="text1"/>
                <w:sz w:val="20"/>
                <w:szCs w:val="20"/>
              </w:rPr>
              <w:t>Decisions behind initial trial engagement:</w:t>
            </w:r>
          </w:p>
          <w:p w14:paraId="792F2FB7" w14:textId="77777777" w:rsidR="00513D6E" w:rsidRPr="00CA4ABC" w:rsidRDefault="00513D6E">
            <w:pPr>
              <w:pStyle w:val="ListParagraph"/>
              <w:numPr>
                <w:ilvl w:val="0"/>
                <w:numId w:val="33"/>
              </w:numPr>
              <w:rPr>
                <w:rFonts w:cstheme="minorHAnsi"/>
                <w:color w:val="000000" w:themeColor="text1"/>
                <w:sz w:val="20"/>
                <w:szCs w:val="20"/>
              </w:rPr>
            </w:pPr>
            <w:r w:rsidRPr="00CA4ABC">
              <w:rPr>
                <w:rFonts w:cstheme="minorHAnsi"/>
                <w:color w:val="000000" w:themeColor="text1"/>
                <w:sz w:val="20"/>
                <w:szCs w:val="20"/>
              </w:rPr>
              <w:t>Covid-related reasons</w:t>
            </w:r>
          </w:p>
          <w:p w14:paraId="22468561" w14:textId="77777777" w:rsidR="00513D6E" w:rsidRPr="00CA4ABC" w:rsidRDefault="00513D6E">
            <w:pPr>
              <w:pStyle w:val="ListParagraph"/>
              <w:numPr>
                <w:ilvl w:val="0"/>
                <w:numId w:val="14"/>
              </w:numPr>
              <w:rPr>
                <w:rFonts w:cstheme="minorHAnsi"/>
                <w:color w:val="000000" w:themeColor="text1"/>
                <w:sz w:val="20"/>
                <w:szCs w:val="20"/>
              </w:rPr>
            </w:pPr>
            <w:r w:rsidRPr="00CA4ABC">
              <w:rPr>
                <w:rFonts w:cstheme="minorHAnsi"/>
                <w:color w:val="000000" w:themeColor="text1"/>
                <w:sz w:val="20"/>
                <w:szCs w:val="20"/>
              </w:rPr>
              <w:t>Participant’s characteristics</w:t>
            </w:r>
          </w:p>
          <w:p w14:paraId="0677A47F" w14:textId="36E25763" w:rsidR="00513D6E" w:rsidRPr="00CA4ABC" w:rsidRDefault="00513D6E">
            <w:pPr>
              <w:pStyle w:val="ListParagraph"/>
              <w:numPr>
                <w:ilvl w:val="0"/>
                <w:numId w:val="14"/>
              </w:numPr>
              <w:rPr>
                <w:rFonts w:cstheme="minorHAnsi"/>
                <w:color w:val="000000" w:themeColor="text1"/>
                <w:sz w:val="20"/>
                <w:szCs w:val="20"/>
              </w:rPr>
            </w:pPr>
            <w:r w:rsidRPr="00CA4ABC">
              <w:rPr>
                <w:rFonts w:cstheme="minorHAnsi"/>
                <w:color w:val="000000" w:themeColor="text1"/>
                <w:sz w:val="20"/>
                <w:szCs w:val="20"/>
              </w:rPr>
              <w:t xml:space="preserve">Worrying/fear about </w:t>
            </w:r>
            <w:r w:rsidR="00B0466E" w:rsidRPr="00CA4ABC">
              <w:rPr>
                <w:rFonts w:cstheme="minorHAnsi"/>
                <w:color w:val="000000" w:themeColor="text1"/>
                <w:sz w:val="20"/>
                <w:szCs w:val="20"/>
              </w:rPr>
              <w:t xml:space="preserve">the </w:t>
            </w:r>
            <w:r w:rsidRPr="00CA4ABC">
              <w:rPr>
                <w:rFonts w:cstheme="minorHAnsi"/>
                <w:color w:val="000000" w:themeColor="text1"/>
                <w:sz w:val="20"/>
                <w:szCs w:val="20"/>
              </w:rPr>
              <w:t>ageing process and menopause</w:t>
            </w:r>
          </w:p>
          <w:p w14:paraId="36EE4FD7" w14:textId="243F48DC" w:rsidR="00513D6E" w:rsidRPr="00CA4ABC" w:rsidRDefault="00513D6E" w:rsidP="00513D6E">
            <w:pPr>
              <w:rPr>
                <w:rFonts w:cstheme="minorHAnsi"/>
                <w:i/>
                <w:iCs/>
                <w:color w:val="000000" w:themeColor="text1"/>
                <w:sz w:val="20"/>
                <w:szCs w:val="20"/>
              </w:rPr>
            </w:pPr>
            <w:r w:rsidRPr="00CA4ABC">
              <w:rPr>
                <w:rFonts w:cstheme="minorHAnsi"/>
                <w:i/>
                <w:iCs/>
                <w:color w:val="000000" w:themeColor="text1"/>
                <w:sz w:val="20"/>
                <w:szCs w:val="20"/>
              </w:rPr>
              <w:t>Decision</w:t>
            </w:r>
            <w:r w:rsidR="00B0466E" w:rsidRPr="00CA4ABC">
              <w:rPr>
                <w:rFonts w:cstheme="minorHAnsi"/>
                <w:i/>
                <w:iCs/>
                <w:color w:val="000000" w:themeColor="text1"/>
                <w:sz w:val="20"/>
                <w:szCs w:val="20"/>
              </w:rPr>
              <w:t>s</w:t>
            </w:r>
            <w:r w:rsidRPr="00CA4ABC">
              <w:rPr>
                <w:rFonts w:cstheme="minorHAnsi"/>
                <w:i/>
                <w:iCs/>
                <w:color w:val="000000" w:themeColor="text1"/>
                <w:sz w:val="20"/>
                <w:szCs w:val="20"/>
              </w:rPr>
              <w:t xml:space="preserve"> behind continued trial engagement:</w:t>
            </w:r>
          </w:p>
          <w:p w14:paraId="6F79AB51" w14:textId="2C7E3A18" w:rsidR="00513D6E" w:rsidRPr="00CA4ABC" w:rsidRDefault="00513D6E">
            <w:pPr>
              <w:pStyle w:val="ListParagraph"/>
              <w:numPr>
                <w:ilvl w:val="0"/>
                <w:numId w:val="14"/>
              </w:numPr>
              <w:rPr>
                <w:rFonts w:cstheme="minorHAnsi"/>
                <w:color w:val="000000" w:themeColor="text1"/>
                <w:sz w:val="20"/>
                <w:szCs w:val="20"/>
              </w:rPr>
            </w:pPr>
            <w:r w:rsidRPr="00CA4ABC">
              <w:rPr>
                <w:rFonts w:cstheme="minorHAnsi"/>
                <w:color w:val="000000" w:themeColor="text1"/>
                <w:sz w:val="20"/>
                <w:szCs w:val="20"/>
              </w:rPr>
              <w:t>Instructor</w:t>
            </w:r>
            <w:r w:rsidR="00B0466E" w:rsidRPr="00CA4ABC">
              <w:rPr>
                <w:rFonts w:cstheme="minorHAnsi"/>
                <w:color w:val="000000" w:themeColor="text1"/>
                <w:sz w:val="20"/>
                <w:szCs w:val="20"/>
              </w:rPr>
              <w:t>-</w:t>
            </w:r>
            <w:r w:rsidRPr="00CA4ABC">
              <w:rPr>
                <w:rFonts w:cstheme="minorHAnsi"/>
                <w:color w:val="000000" w:themeColor="text1"/>
                <w:sz w:val="20"/>
                <w:szCs w:val="20"/>
              </w:rPr>
              <w:t>led sessions</w:t>
            </w:r>
          </w:p>
          <w:p w14:paraId="29AE35D1" w14:textId="77777777" w:rsidR="00513D6E" w:rsidRPr="00CA4ABC" w:rsidRDefault="00513D6E">
            <w:pPr>
              <w:pStyle w:val="ListParagraph"/>
              <w:numPr>
                <w:ilvl w:val="0"/>
                <w:numId w:val="14"/>
              </w:numPr>
              <w:rPr>
                <w:rFonts w:cstheme="minorHAnsi"/>
                <w:color w:val="000000" w:themeColor="text1"/>
                <w:sz w:val="20"/>
                <w:szCs w:val="20"/>
              </w:rPr>
            </w:pPr>
            <w:r w:rsidRPr="00CA4ABC">
              <w:rPr>
                <w:rFonts w:cstheme="minorHAnsi"/>
                <w:color w:val="000000" w:themeColor="text1"/>
                <w:sz w:val="20"/>
                <w:szCs w:val="20"/>
              </w:rPr>
              <w:t>Motivations</w:t>
            </w:r>
          </w:p>
          <w:p w14:paraId="1B536247" w14:textId="77777777" w:rsidR="00513D6E" w:rsidRPr="00CA4ABC" w:rsidRDefault="00513D6E">
            <w:pPr>
              <w:pStyle w:val="ListParagraph"/>
              <w:numPr>
                <w:ilvl w:val="0"/>
                <w:numId w:val="14"/>
              </w:numPr>
              <w:rPr>
                <w:rFonts w:cstheme="minorHAnsi"/>
                <w:color w:val="000000" w:themeColor="text1"/>
                <w:sz w:val="20"/>
                <w:szCs w:val="20"/>
              </w:rPr>
            </w:pPr>
            <w:r w:rsidRPr="00CA4ABC">
              <w:rPr>
                <w:rFonts w:cstheme="minorHAnsi"/>
                <w:color w:val="000000" w:themeColor="text1"/>
                <w:sz w:val="20"/>
                <w:szCs w:val="20"/>
              </w:rPr>
              <w:t>The effect of engaging in a research project</w:t>
            </w:r>
          </w:p>
          <w:p w14:paraId="68EDFEFA" w14:textId="77777777" w:rsidR="00513D6E" w:rsidRPr="00CA4ABC" w:rsidRDefault="00513D6E">
            <w:pPr>
              <w:pStyle w:val="ListParagraph"/>
              <w:numPr>
                <w:ilvl w:val="0"/>
                <w:numId w:val="14"/>
              </w:numPr>
              <w:rPr>
                <w:rFonts w:cstheme="minorHAnsi"/>
                <w:color w:val="000000" w:themeColor="text1"/>
                <w:sz w:val="20"/>
                <w:szCs w:val="20"/>
              </w:rPr>
            </w:pPr>
            <w:r w:rsidRPr="00CA4ABC">
              <w:rPr>
                <w:rFonts w:cstheme="minorHAnsi"/>
                <w:color w:val="000000" w:themeColor="text1"/>
                <w:sz w:val="20"/>
                <w:szCs w:val="20"/>
              </w:rPr>
              <w:t>Overcoming barriers to exercise</w:t>
            </w:r>
          </w:p>
        </w:tc>
      </w:tr>
      <w:tr w:rsidR="00513D6E" w:rsidRPr="00CA4ABC" w14:paraId="3A9DDFFF" w14:textId="77777777" w:rsidTr="00513D6E">
        <w:trPr>
          <w:trHeight w:val="969"/>
        </w:trPr>
        <w:tc>
          <w:tcPr>
            <w:tcW w:w="4411" w:type="dxa"/>
          </w:tcPr>
          <w:p w14:paraId="13979F0B" w14:textId="77777777" w:rsidR="00513D6E" w:rsidRPr="00CA4ABC" w:rsidRDefault="00513D6E" w:rsidP="00513D6E">
            <w:pPr>
              <w:rPr>
                <w:rFonts w:cstheme="minorHAnsi"/>
                <w:color w:val="000000" w:themeColor="text1"/>
                <w:sz w:val="20"/>
                <w:szCs w:val="20"/>
              </w:rPr>
            </w:pPr>
            <w:r w:rsidRPr="00CA4ABC">
              <w:rPr>
                <w:rFonts w:cstheme="minorHAnsi"/>
                <w:color w:val="000000" w:themeColor="text1"/>
                <w:sz w:val="20"/>
                <w:szCs w:val="20"/>
              </w:rPr>
              <w:t>Areas not enjoyed by the participants</w:t>
            </w:r>
          </w:p>
        </w:tc>
        <w:tc>
          <w:tcPr>
            <w:tcW w:w="4411" w:type="dxa"/>
          </w:tcPr>
          <w:p w14:paraId="3ABD2F0E" w14:textId="77777777" w:rsidR="00513D6E" w:rsidRPr="00CA4ABC" w:rsidRDefault="00513D6E">
            <w:pPr>
              <w:pStyle w:val="ListParagraph"/>
              <w:numPr>
                <w:ilvl w:val="0"/>
                <w:numId w:val="23"/>
              </w:numPr>
              <w:rPr>
                <w:rFonts w:cstheme="minorHAnsi"/>
                <w:color w:val="000000" w:themeColor="text1"/>
                <w:sz w:val="20"/>
                <w:szCs w:val="20"/>
              </w:rPr>
            </w:pPr>
            <w:r w:rsidRPr="00CA4ABC">
              <w:rPr>
                <w:rFonts w:cstheme="minorHAnsi"/>
                <w:color w:val="000000" w:themeColor="text1"/>
                <w:sz w:val="20"/>
                <w:szCs w:val="20"/>
              </w:rPr>
              <w:t>Intervention dislikes</w:t>
            </w:r>
          </w:p>
          <w:p w14:paraId="06C2FF8F" w14:textId="77777777" w:rsidR="00513D6E" w:rsidRPr="00CA4ABC" w:rsidRDefault="00513D6E">
            <w:pPr>
              <w:pStyle w:val="ListParagraph"/>
              <w:numPr>
                <w:ilvl w:val="0"/>
                <w:numId w:val="23"/>
              </w:numPr>
              <w:rPr>
                <w:rFonts w:cstheme="minorHAnsi"/>
                <w:color w:val="000000" w:themeColor="text1"/>
                <w:sz w:val="20"/>
                <w:szCs w:val="20"/>
              </w:rPr>
            </w:pPr>
            <w:r w:rsidRPr="00CA4ABC">
              <w:rPr>
                <w:rFonts w:cstheme="minorHAnsi"/>
                <w:color w:val="000000" w:themeColor="text1"/>
                <w:sz w:val="20"/>
                <w:szCs w:val="20"/>
              </w:rPr>
              <w:t>Factors that decreased engagement</w:t>
            </w:r>
          </w:p>
          <w:p w14:paraId="01D2D1C4" w14:textId="77777777" w:rsidR="00513D6E" w:rsidRPr="00CA4ABC" w:rsidRDefault="00513D6E">
            <w:pPr>
              <w:pStyle w:val="ListParagraph"/>
              <w:numPr>
                <w:ilvl w:val="0"/>
                <w:numId w:val="23"/>
              </w:numPr>
              <w:rPr>
                <w:rFonts w:cstheme="minorHAnsi"/>
                <w:color w:val="000000" w:themeColor="text1"/>
                <w:sz w:val="20"/>
                <w:szCs w:val="20"/>
              </w:rPr>
            </w:pPr>
            <w:r w:rsidRPr="00CA4ABC">
              <w:rPr>
                <w:rFonts w:cstheme="minorHAnsi"/>
                <w:color w:val="000000" w:themeColor="text1"/>
                <w:sz w:val="20"/>
                <w:szCs w:val="20"/>
              </w:rPr>
              <w:t>Adverse events</w:t>
            </w:r>
          </w:p>
          <w:p w14:paraId="0FC60441" w14:textId="0946C5DB" w:rsidR="00513D6E" w:rsidRPr="00CA4ABC" w:rsidRDefault="00513D6E">
            <w:pPr>
              <w:pStyle w:val="ListParagraph"/>
              <w:numPr>
                <w:ilvl w:val="0"/>
                <w:numId w:val="23"/>
              </w:numPr>
              <w:rPr>
                <w:rFonts w:cstheme="minorHAnsi"/>
                <w:color w:val="000000" w:themeColor="text1"/>
                <w:sz w:val="20"/>
                <w:szCs w:val="20"/>
              </w:rPr>
            </w:pPr>
            <w:r w:rsidRPr="00CA4ABC">
              <w:rPr>
                <w:rFonts w:cstheme="minorHAnsi"/>
                <w:color w:val="000000" w:themeColor="text1"/>
                <w:sz w:val="20"/>
                <w:szCs w:val="20"/>
              </w:rPr>
              <w:t>Feedback/suggestions for improvement.</w:t>
            </w:r>
          </w:p>
        </w:tc>
      </w:tr>
    </w:tbl>
    <w:p w14:paraId="181D1EC4" w14:textId="77777777" w:rsidR="004C12CF" w:rsidRPr="00CA4ABC" w:rsidRDefault="004C12CF" w:rsidP="004053D7">
      <w:pPr>
        <w:spacing w:line="360" w:lineRule="auto"/>
        <w:rPr>
          <w:rFonts w:cstheme="minorHAnsi"/>
          <w:color w:val="000000" w:themeColor="text1"/>
        </w:rPr>
      </w:pPr>
    </w:p>
    <w:p w14:paraId="30320D83" w14:textId="78164CB1" w:rsidR="004C12CF" w:rsidRPr="00323872" w:rsidRDefault="004C12CF" w:rsidP="004053D7">
      <w:pPr>
        <w:pStyle w:val="Caption"/>
        <w:spacing w:line="360" w:lineRule="auto"/>
        <w:rPr>
          <w:rFonts w:cstheme="minorHAnsi"/>
          <w:i w:val="0"/>
          <w:iCs w:val="0"/>
          <w:color w:val="000000" w:themeColor="text1"/>
          <w:sz w:val="24"/>
          <w:szCs w:val="24"/>
        </w:rPr>
      </w:pPr>
      <w:bookmarkStart w:id="349" w:name="_Ref122447858"/>
      <w:bookmarkStart w:id="350" w:name="_Toc122956594"/>
      <w:r w:rsidRPr="00323872">
        <w:rPr>
          <w:rFonts w:cstheme="minorHAnsi"/>
          <w:i w:val="0"/>
          <w:iCs w:val="0"/>
          <w:color w:val="000000" w:themeColor="text1"/>
          <w:sz w:val="24"/>
          <w:szCs w:val="24"/>
        </w:rPr>
        <w:t xml:space="preserve">Table </w:t>
      </w:r>
      <w:r w:rsidRPr="00323872">
        <w:rPr>
          <w:rFonts w:cstheme="minorHAnsi"/>
          <w:i w:val="0"/>
          <w:iCs w:val="0"/>
          <w:color w:val="000000" w:themeColor="text1"/>
          <w:sz w:val="24"/>
          <w:szCs w:val="24"/>
        </w:rPr>
        <w:fldChar w:fldCharType="begin"/>
      </w:r>
      <w:r w:rsidRPr="00323872">
        <w:rPr>
          <w:rFonts w:cstheme="minorHAnsi"/>
          <w:i w:val="0"/>
          <w:iCs w:val="0"/>
          <w:color w:val="000000" w:themeColor="text1"/>
          <w:sz w:val="24"/>
          <w:szCs w:val="24"/>
        </w:rPr>
        <w:instrText xml:space="preserve"> SEQ Table \* ARABIC </w:instrText>
      </w:r>
      <w:r w:rsidRPr="00323872">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30</w:t>
      </w:r>
      <w:r w:rsidRPr="00323872">
        <w:rPr>
          <w:rFonts w:cstheme="minorHAnsi"/>
          <w:i w:val="0"/>
          <w:iCs w:val="0"/>
          <w:color w:val="000000" w:themeColor="text1"/>
          <w:sz w:val="24"/>
          <w:szCs w:val="24"/>
        </w:rPr>
        <w:fldChar w:fldCharType="end"/>
      </w:r>
      <w:bookmarkEnd w:id="349"/>
      <w:r w:rsidR="00323872" w:rsidRPr="00323872">
        <w:rPr>
          <w:rFonts w:cstheme="minorHAnsi"/>
          <w:i w:val="0"/>
          <w:iCs w:val="0"/>
          <w:color w:val="000000" w:themeColor="text1"/>
          <w:sz w:val="24"/>
          <w:szCs w:val="24"/>
        </w:rPr>
        <w:t xml:space="preserve">. </w:t>
      </w:r>
      <w:r w:rsidRPr="00323872">
        <w:rPr>
          <w:rFonts w:cstheme="minorHAnsi"/>
          <w:i w:val="0"/>
          <w:iCs w:val="0"/>
          <w:color w:val="000000" w:themeColor="text1"/>
          <w:sz w:val="24"/>
          <w:szCs w:val="24"/>
        </w:rPr>
        <w:t>A summary of themes and sub-themes that emerged from the thematic analysis.</w:t>
      </w:r>
      <w:bookmarkEnd w:id="350"/>
    </w:p>
    <w:p w14:paraId="41F24118" w14:textId="345E3BDA" w:rsidR="004C12CF" w:rsidRPr="00CA4ABC" w:rsidRDefault="004C12CF" w:rsidP="0035623B">
      <w:pPr>
        <w:pStyle w:val="Heading3"/>
        <w:spacing w:line="360" w:lineRule="auto"/>
        <w:rPr>
          <w:rFonts w:asciiTheme="minorHAnsi" w:hAnsiTheme="minorHAnsi" w:cstheme="minorHAnsi"/>
          <w:color w:val="000000" w:themeColor="text1"/>
        </w:rPr>
      </w:pPr>
      <w:bookmarkStart w:id="351" w:name="_Toc135384385"/>
      <w:r w:rsidRPr="00CA4ABC">
        <w:rPr>
          <w:rFonts w:asciiTheme="minorHAnsi" w:hAnsiTheme="minorHAnsi" w:cstheme="minorHAnsi"/>
          <w:color w:val="000000" w:themeColor="text1"/>
        </w:rPr>
        <w:lastRenderedPageBreak/>
        <w:t>5.</w:t>
      </w:r>
      <w:r w:rsidR="007F5B0B"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.4.1 Theme 1: Trial benefits and effectiveness</w:t>
      </w:r>
      <w:bookmarkEnd w:id="351"/>
    </w:p>
    <w:p w14:paraId="05B81F5F" w14:textId="33D9C110" w:rsidR="004C12CF" w:rsidRPr="00CA4ABC" w:rsidRDefault="004C12CF" w:rsidP="0035623B">
      <w:pPr>
        <w:spacing w:line="360" w:lineRule="auto"/>
        <w:ind w:firstLine="360"/>
        <w:rPr>
          <w:rFonts w:cstheme="minorHAnsi"/>
          <w:color w:val="000000" w:themeColor="text1"/>
        </w:rPr>
      </w:pPr>
      <w:r w:rsidRPr="00CA4ABC">
        <w:rPr>
          <w:rFonts w:cstheme="minorHAnsi"/>
          <w:color w:val="000000" w:themeColor="text1"/>
        </w:rPr>
        <w:t xml:space="preserve">The first theme </w:t>
      </w:r>
      <w:r w:rsidR="005041BF">
        <w:rPr>
          <w:rFonts w:cstheme="minorHAnsi"/>
          <w:color w:val="000000" w:themeColor="text1"/>
        </w:rPr>
        <w:t xml:space="preserve">that was identified </w:t>
      </w:r>
      <w:r w:rsidRPr="00CA4ABC">
        <w:rPr>
          <w:rFonts w:cstheme="minorHAnsi"/>
          <w:color w:val="000000" w:themeColor="text1"/>
        </w:rPr>
        <w:t>relate</w:t>
      </w:r>
      <w:r w:rsidR="0051704E" w:rsidRPr="00CA4ABC">
        <w:rPr>
          <w:rFonts w:cstheme="minorHAnsi"/>
          <w:color w:val="000000" w:themeColor="text1"/>
        </w:rPr>
        <w:t>s</w:t>
      </w:r>
      <w:r w:rsidRPr="00CA4ABC">
        <w:rPr>
          <w:rFonts w:cstheme="minorHAnsi"/>
          <w:color w:val="000000" w:themeColor="text1"/>
        </w:rPr>
        <w:t xml:space="preserve"> to trial benefits and effectiveness. Three subthemes encompass this, </w:t>
      </w:r>
      <w:r w:rsidR="00FB0089" w:rsidRPr="00CA4ABC">
        <w:rPr>
          <w:rFonts w:cstheme="minorHAnsi"/>
          <w:color w:val="000000" w:themeColor="text1"/>
        </w:rPr>
        <w:t>i)</w:t>
      </w:r>
      <w:r w:rsidRPr="00CA4ABC">
        <w:rPr>
          <w:rFonts w:cstheme="minorHAnsi"/>
          <w:color w:val="000000" w:themeColor="text1"/>
        </w:rPr>
        <w:t xml:space="preserve"> feelings of increased strength and fitness, particularly when differences from week 1 to week 6 were compared,</w:t>
      </w:r>
      <w:r w:rsidR="00FB0089" w:rsidRPr="00CA4ABC">
        <w:rPr>
          <w:rFonts w:cstheme="minorHAnsi"/>
          <w:color w:val="000000" w:themeColor="text1"/>
        </w:rPr>
        <w:t xml:space="preserve"> ii)</w:t>
      </w:r>
      <w:r w:rsidRPr="00CA4ABC">
        <w:rPr>
          <w:rFonts w:cstheme="minorHAnsi"/>
          <w:color w:val="000000" w:themeColor="text1"/>
        </w:rPr>
        <w:t xml:space="preserve"> aching muscles</w:t>
      </w:r>
      <w:r w:rsidR="006D7E4B" w:rsidRPr="00CA4ABC">
        <w:rPr>
          <w:rFonts w:cstheme="minorHAnsi"/>
          <w:color w:val="000000" w:themeColor="text1"/>
        </w:rPr>
        <w:t>, possibly reflecting hyp</w:t>
      </w:r>
      <w:r w:rsidR="00513D6E" w:rsidRPr="00CA4ABC">
        <w:rPr>
          <w:rFonts w:cstheme="minorHAnsi"/>
          <w:color w:val="000000" w:themeColor="text1"/>
        </w:rPr>
        <w:t>er</w:t>
      </w:r>
      <w:r w:rsidR="006D7E4B" w:rsidRPr="00CA4ABC">
        <w:rPr>
          <w:rFonts w:cstheme="minorHAnsi"/>
          <w:color w:val="000000" w:themeColor="text1"/>
        </w:rPr>
        <w:t>trophy,</w:t>
      </w:r>
      <w:r w:rsidRPr="00CA4ABC">
        <w:rPr>
          <w:rFonts w:cstheme="minorHAnsi"/>
          <w:color w:val="000000" w:themeColor="text1"/>
        </w:rPr>
        <w:t xml:space="preserve"> and </w:t>
      </w:r>
      <w:r w:rsidR="00FB0089" w:rsidRPr="00CA4ABC">
        <w:rPr>
          <w:rFonts w:cstheme="minorHAnsi"/>
          <w:color w:val="000000" w:themeColor="text1"/>
        </w:rPr>
        <w:t xml:space="preserve">iii) </w:t>
      </w:r>
      <w:r w:rsidRPr="00CA4ABC">
        <w:rPr>
          <w:rFonts w:cstheme="minorHAnsi"/>
          <w:color w:val="000000" w:themeColor="text1"/>
        </w:rPr>
        <w:t>effectiveness of the bands.</w:t>
      </w:r>
    </w:p>
    <w:p w14:paraId="03983756" w14:textId="5B12801D" w:rsidR="004C12CF" w:rsidRPr="00CA4ABC" w:rsidRDefault="00FB0089">
      <w:pPr>
        <w:pStyle w:val="ListParagraph"/>
        <w:numPr>
          <w:ilvl w:val="0"/>
          <w:numId w:val="20"/>
        </w:numPr>
        <w:spacing w:line="360" w:lineRule="auto"/>
        <w:rPr>
          <w:rFonts w:cstheme="minorHAnsi"/>
          <w:color w:val="000000" w:themeColor="text1"/>
        </w:rPr>
      </w:pPr>
      <w:r w:rsidRPr="00CA4ABC">
        <w:rPr>
          <w:rFonts w:cstheme="minorHAnsi"/>
          <w:color w:val="000000" w:themeColor="text1"/>
        </w:rPr>
        <w:t xml:space="preserve">Reporting/feeling </w:t>
      </w:r>
      <w:r w:rsidR="002B12F0" w:rsidRPr="00CA4ABC">
        <w:rPr>
          <w:rFonts w:cstheme="minorHAnsi"/>
          <w:color w:val="000000" w:themeColor="text1"/>
        </w:rPr>
        <w:t>changes and differences</w:t>
      </w:r>
      <w:r w:rsidR="004C12CF" w:rsidRPr="00CA4ABC">
        <w:rPr>
          <w:rFonts w:cstheme="minorHAnsi"/>
          <w:color w:val="000000" w:themeColor="text1"/>
        </w:rPr>
        <w:t xml:space="preserve"> from week 1 to week 6</w:t>
      </w:r>
    </w:p>
    <w:p w14:paraId="018F9E16" w14:textId="77777777" w:rsidR="004C12CF" w:rsidRPr="00CA4ABC" w:rsidRDefault="004C12CF" w:rsidP="0035623B">
      <w:pPr>
        <w:spacing w:line="360" w:lineRule="auto"/>
        <w:rPr>
          <w:rFonts w:cstheme="minorHAnsi"/>
          <w:color w:val="000000" w:themeColor="text1"/>
        </w:rPr>
      </w:pPr>
      <w:r w:rsidRPr="00CA4ABC">
        <w:rPr>
          <w:rFonts w:cstheme="minorHAnsi"/>
          <w:color w:val="000000" w:themeColor="text1"/>
        </w:rPr>
        <w:t xml:space="preserve">Participants reflected on how they felt during the course of the trial, in particular making comparisons between the start and end of the trial. Participants reported that they felt like they had increased their strength and/or their fitness since undertaking the exercise programme. </w:t>
      </w:r>
    </w:p>
    <w:p w14:paraId="7DB05C2C" w14:textId="77777777" w:rsidR="004C12CF" w:rsidRPr="00CA4ABC" w:rsidRDefault="004C12CF" w:rsidP="0035623B">
      <w:pPr>
        <w:spacing w:line="360" w:lineRule="auto"/>
        <w:rPr>
          <w:rFonts w:cstheme="minorHAnsi"/>
          <w:color w:val="000000" w:themeColor="text1"/>
        </w:rPr>
      </w:pPr>
    </w:p>
    <w:tbl>
      <w:tblPr>
        <w:tblW w:w="5000"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20"/>
      </w:tblGrid>
      <w:tr w:rsidR="0035623B" w:rsidRPr="00CA4ABC" w14:paraId="4A9C5844" w14:textId="77777777" w:rsidTr="00C9418D">
        <w:tc>
          <w:tcPr>
            <w:tcW w:w="0" w:type="auto"/>
            <w:tcBorders>
              <w:top w:val="none" w:sz="0" w:space="0" w:color="FFFFFF"/>
              <w:left w:val="none" w:sz="0" w:space="0" w:color="FFFFFF"/>
              <w:bottom w:val="none" w:sz="0" w:space="0" w:color="FFFFFF"/>
              <w:right w:val="none" w:sz="0" w:space="0" w:color="FFFFFF"/>
            </w:tcBorders>
          </w:tcPr>
          <w:p w14:paraId="0D5680EA" w14:textId="1841D259" w:rsidR="0035623B" w:rsidRPr="00CA4ABC" w:rsidRDefault="004C12CF" w:rsidP="0035623B">
            <w:pPr>
              <w:pStyle w:val="Quote"/>
              <w:spacing w:line="360" w:lineRule="auto"/>
              <w:rPr>
                <w:rFonts w:asciiTheme="minorHAnsi" w:hAnsiTheme="minorHAnsi" w:cstheme="minorHAnsi"/>
                <w:i/>
                <w:iCs/>
              </w:rPr>
            </w:pPr>
            <w:r w:rsidRPr="00CA4ABC">
              <w:rPr>
                <w:rFonts w:asciiTheme="minorHAnsi" w:hAnsiTheme="minorHAnsi" w:cstheme="minorHAnsi"/>
                <w:i/>
                <w:iCs/>
                <w:color w:val="000000" w:themeColor="text1"/>
              </w:rPr>
              <w:t>“</w:t>
            </w:r>
            <w:r w:rsidR="0035623B" w:rsidRPr="00CA4ABC">
              <w:rPr>
                <w:rFonts w:asciiTheme="minorHAnsi" w:hAnsiTheme="minorHAnsi" w:cstheme="minorHAnsi"/>
                <w:i/>
                <w:iCs/>
              </w:rPr>
              <w:t xml:space="preserve">In the exercises, there was a good variety and I think, with those bands, you could probably start from a zero point and work up, it was useful.” </w:t>
            </w:r>
            <w:r w:rsidR="0035623B" w:rsidRPr="00CA4ABC">
              <w:rPr>
                <w:rFonts w:asciiTheme="minorHAnsi" w:hAnsiTheme="minorHAnsi" w:cstheme="minorHAnsi"/>
              </w:rPr>
              <w:t>(P113)</w:t>
            </w:r>
          </w:p>
        </w:tc>
      </w:tr>
    </w:tbl>
    <w:p w14:paraId="62AA9130" w14:textId="77777777" w:rsidR="004C12CF" w:rsidRPr="00CA4ABC" w:rsidRDefault="004C12CF" w:rsidP="0035623B">
      <w:pPr>
        <w:spacing w:line="360" w:lineRule="auto"/>
        <w:rPr>
          <w:rFonts w:cstheme="minorHAnsi"/>
          <w:color w:val="000000" w:themeColor="text1"/>
        </w:rPr>
      </w:pPr>
    </w:p>
    <w:p w14:paraId="4490C9F6" w14:textId="7F528BA6" w:rsidR="004C12CF" w:rsidRPr="00CA4ABC" w:rsidRDefault="004C12CF" w:rsidP="0035623B">
      <w:pPr>
        <w:spacing w:line="360" w:lineRule="auto"/>
        <w:rPr>
          <w:rFonts w:cstheme="minorHAnsi"/>
          <w:color w:val="000000" w:themeColor="text1"/>
        </w:rPr>
      </w:pPr>
      <w:r w:rsidRPr="00CA4ABC">
        <w:rPr>
          <w:rFonts w:cstheme="minorHAnsi"/>
          <w:color w:val="000000" w:themeColor="text1"/>
        </w:rPr>
        <w:t xml:space="preserve">Participants also noted </w:t>
      </w:r>
      <w:r w:rsidR="006D7E4B" w:rsidRPr="00CA4ABC">
        <w:rPr>
          <w:rFonts w:cstheme="minorHAnsi"/>
          <w:color w:val="000000" w:themeColor="text1"/>
        </w:rPr>
        <w:t xml:space="preserve">that </w:t>
      </w:r>
      <w:r w:rsidRPr="00CA4ABC">
        <w:rPr>
          <w:rFonts w:cstheme="minorHAnsi"/>
          <w:color w:val="000000" w:themeColor="text1"/>
        </w:rPr>
        <w:t xml:space="preserve">they felt they could observe changes relating to muscle strength as the programme progressed, particularly </w:t>
      </w:r>
      <w:r w:rsidR="0051704E" w:rsidRPr="00CA4ABC">
        <w:rPr>
          <w:rFonts w:cstheme="minorHAnsi"/>
          <w:color w:val="000000" w:themeColor="text1"/>
        </w:rPr>
        <w:t>in relation to</w:t>
      </w:r>
      <w:r w:rsidRPr="00CA4ABC">
        <w:rPr>
          <w:rFonts w:cstheme="minorHAnsi"/>
          <w:color w:val="000000" w:themeColor="text1"/>
        </w:rPr>
        <w:t xml:space="preserve"> progressing up the</w:t>
      </w:r>
      <w:r w:rsidR="006D7E4B" w:rsidRPr="00CA4ABC">
        <w:rPr>
          <w:rFonts w:cstheme="minorHAnsi"/>
          <w:color w:val="000000" w:themeColor="text1"/>
        </w:rPr>
        <w:t xml:space="preserve"> resistance</w:t>
      </w:r>
      <w:r w:rsidRPr="00CA4ABC">
        <w:rPr>
          <w:rFonts w:cstheme="minorHAnsi"/>
          <w:color w:val="000000" w:themeColor="text1"/>
        </w:rPr>
        <w:t xml:space="preserve"> band colours. </w:t>
      </w:r>
    </w:p>
    <w:p w14:paraId="01A0AEF3" w14:textId="77777777" w:rsidR="004C12CF" w:rsidRPr="00CA4ABC" w:rsidRDefault="004C12CF" w:rsidP="0035623B">
      <w:pPr>
        <w:spacing w:line="360" w:lineRule="auto"/>
        <w:rPr>
          <w:rFonts w:cstheme="minorHAnsi"/>
          <w:color w:val="000000" w:themeColor="text1"/>
        </w:rPr>
      </w:pPr>
    </w:p>
    <w:p w14:paraId="7DD73CD6" w14:textId="3284B239" w:rsidR="004C12CF" w:rsidRPr="00CA4ABC" w:rsidRDefault="004C12CF" w:rsidP="0035623B">
      <w:pPr>
        <w:pStyle w:val="Quote"/>
        <w:spacing w:line="360" w:lineRule="auto"/>
        <w:rPr>
          <w:rFonts w:asciiTheme="minorHAnsi" w:hAnsiTheme="minorHAnsi" w:cstheme="minorHAnsi"/>
        </w:rPr>
      </w:pPr>
      <w:r w:rsidRPr="00CA4ABC">
        <w:rPr>
          <w:rFonts w:asciiTheme="minorHAnsi" w:hAnsiTheme="minorHAnsi" w:cstheme="minorHAnsi"/>
          <w:i/>
          <w:iCs/>
          <w:color w:val="000000" w:themeColor="text1"/>
        </w:rPr>
        <w:t>“</w:t>
      </w:r>
      <w:r w:rsidR="0035623B" w:rsidRPr="00CA4ABC">
        <w:rPr>
          <w:rFonts w:asciiTheme="minorHAnsi" w:hAnsiTheme="minorHAnsi" w:cstheme="minorHAnsi"/>
          <w:i/>
          <w:iCs/>
        </w:rPr>
        <w:t>Knowing I can go from that to the red, when I first picked up the red I was like, no way, but yes, to go to that</w:t>
      </w:r>
      <w:r w:rsidR="00B0466E" w:rsidRPr="00CA4ABC">
        <w:rPr>
          <w:rFonts w:asciiTheme="minorHAnsi" w:hAnsiTheme="minorHAnsi" w:cstheme="minorHAnsi"/>
          <w:i/>
          <w:iCs/>
        </w:rPr>
        <w:t>,</w:t>
      </w:r>
      <w:r w:rsidR="0035623B" w:rsidRPr="00CA4ABC">
        <w:rPr>
          <w:rFonts w:asciiTheme="minorHAnsi" w:hAnsiTheme="minorHAnsi" w:cstheme="minorHAnsi"/>
          <w:i/>
          <w:iCs/>
        </w:rPr>
        <w:t xml:space="preserve"> that is a high</w:t>
      </w:r>
      <w:r w:rsidRPr="00CA4ABC">
        <w:rPr>
          <w:rFonts w:asciiTheme="minorHAnsi" w:hAnsiTheme="minorHAnsi" w:cstheme="minorHAnsi"/>
          <w:i/>
          <w:iCs/>
          <w:color w:val="000000" w:themeColor="text1"/>
        </w:rPr>
        <w:t>”</w:t>
      </w:r>
      <w:r w:rsidRPr="00CA4ABC">
        <w:rPr>
          <w:rFonts w:asciiTheme="minorHAnsi" w:hAnsiTheme="minorHAnsi" w:cstheme="minorHAnsi"/>
          <w:color w:val="000000" w:themeColor="text1"/>
        </w:rPr>
        <w:t xml:space="preserve"> (P106)</w:t>
      </w:r>
    </w:p>
    <w:p w14:paraId="4545E83F" w14:textId="77777777" w:rsidR="004C12CF" w:rsidRPr="00CA4ABC" w:rsidRDefault="004C12CF" w:rsidP="0035623B">
      <w:pPr>
        <w:spacing w:line="360" w:lineRule="auto"/>
        <w:rPr>
          <w:rFonts w:cstheme="minorHAnsi"/>
          <w:color w:val="000000" w:themeColor="text1"/>
        </w:rPr>
      </w:pPr>
      <w:r w:rsidRPr="00CA4ABC">
        <w:rPr>
          <w:rFonts w:cstheme="minorHAnsi"/>
          <w:i/>
          <w:iCs/>
          <w:color w:val="000000" w:themeColor="text1"/>
        </w:rPr>
        <w:t>“It’s just nice going up the bands and thinking, oh, I’m a bit stronger.”</w:t>
      </w:r>
      <w:r w:rsidRPr="00CA4ABC">
        <w:rPr>
          <w:rFonts w:cstheme="minorHAnsi"/>
          <w:color w:val="000000" w:themeColor="text1"/>
        </w:rPr>
        <w:t xml:space="preserve"> (P104)</w:t>
      </w:r>
    </w:p>
    <w:p w14:paraId="25EB9CEB" w14:textId="77777777" w:rsidR="004C12CF" w:rsidRPr="00CA4ABC" w:rsidRDefault="004C12CF" w:rsidP="0035623B">
      <w:pPr>
        <w:spacing w:line="360" w:lineRule="auto"/>
        <w:rPr>
          <w:rFonts w:cstheme="minorHAnsi"/>
          <w:color w:val="000000" w:themeColor="text1"/>
        </w:rPr>
      </w:pPr>
    </w:p>
    <w:p w14:paraId="5AEFA9A7" w14:textId="1DA02383" w:rsidR="004C12CF" w:rsidRPr="00CA4ABC" w:rsidRDefault="004C12CF" w:rsidP="0035623B">
      <w:pPr>
        <w:spacing w:line="360" w:lineRule="auto"/>
        <w:rPr>
          <w:rFonts w:cstheme="minorHAnsi"/>
          <w:color w:val="000000" w:themeColor="text1"/>
        </w:rPr>
      </w:pPr>
      <w:r w:rsidRPr="00CA4ABC">
        <w:rPr>
          <w:rFonts w:cstheme="minorHAnsi"/>
          <w:color w:val="000000" w:themeColor="text1"/>
        </w:rPr>
        <w:t xml:space="preserve">These observations </w:t>
      </w:r>
      <w:r w:rsidR="002B12F0" w:rsidRPr="00CA4ABC">
        <w:rPr>
          <w:rFonts w:cstheme="minorHAnsi"/>
          <w:color w:val="000000" w:themeColor="text1"/>
        </w:rPr>
        <w:t>suggest</w:t>
      </w:r>
      <w:r w:rsidR="00B0466E" w:rsidRPr="00CA4ABC">
        <w:rPr>
          <w:rFonts w:cstheme="minorHAnsi"/>
          <w:color w:val="000000" w:themeColor="text1"/>
        </w:rPr>
        <w:t xml:space="preserve"> the</w:t>
      </w:r>
      <w:r w:rsidRPr="00CA4ABC">
        <w:rPr>
          <w:rFonts w:cstheme="minorHAnsi"/>
          <w:color w:val="000000" w:themeColor="text1"/>
        </w:rPr>
        <w:t xml:space="preserve"> effectiveness of the intervention, at the level of muscle</w:t>
      </w:r>
      <w:r w:rsidR="002B12F0" w:rsidRPr="00CA4ABC">
        <w:rPr>
          <w:rFonts w:cstheme="minorHAnsi"/>
          <w:color w:val="000000" w:themeColor="text1"/>
        </w:rPr>
        <w:t>,</w:t>
      </w:r>
      <w:r w:rsidRPr="00CA4ABC">
        <w:rPr>
          <w:rFonts w:cstheme="minorHAnsi"/>
          <w:color w:val="000000" w:themeColor="text1"/>
        </w:rPr>
        <w:t xml:space="preserve"> however</w:t>
      </w:r>
      <w:r w:rsidR="00B0466E" w:rsidRPr="00CA4ABC">
        <w:rPr>
          <w:rFonts w:cstheme="minorHAnsi"/>
          <w:color w:val="000000" w:themeColor="text1"/>
        </w:rPr>
        <w:t>,</w:t>
      </w:r>
      <w:r w:rsidRPr="00CA4ABC">
        <w:rPr>
          <w:rFonts w:cstheme="minorHAnsi"/>
          <w:color w:val="000000" w:themeColor="text1"/>
        </w:rPr>
        <w:t xml:space="preserve"> there may be a psychological component behind them, which will be outlined later</w:t>
      </w:r>
      <w:r w:rsidR="00990AD0" w:rsidRPr="00CA4ABC">
        <w:rPr>
          <w:rFonts w:cstheme="minorHAnsi"/>
          <w:color w:val="000000" w:themeColor="text1"/>
        </w:rPr>
        <w:t>. T</w:t>
      </w:r>
      <w:r w:rsidRPr="00CA4ABC">
        <w:rPr>
          <w:rFonts w:cstheme="minorHAnsi"/>
          <w:color w:val="000000" w:themeColor="text1"/>
        </w:rPr>
        <w:t>he</w:t>
      </w:r>
      <w:r w:rsidR="00990AD0" w:rsidRPr="00CA4ABC">
        <w:rPr>
          <w:rFonts w:cstheme="minorHAnsi"/>
          <w:color w:val="000000" w:themeColor="text1"/>
        </w:rPr>
        <w:t xml:space="preserve"> purpose of the feasibility study was not to test the intervention</w:t>
      </w:r>
      <w:r w:rsidR="003331A8">
        <w:rPr>
          <w:rFonts w:cstheme="minorHAnsi"/>
          <w:color w:val="000000" w:themeColor="text1"/>
        </w:rPr>
        <w:t xml:space="preserve"> effectiveness</w:t>
      </w:r>
      <w:r w:rsidR="00990AD0" w:rsidRPr="00CA4ABC">
        <w:rPr>
          <w:rFonts w:cstheme="minorHAnsi"/>
          <w:color w:val="000000" w:themeColor="text1"/>
        </w:rPr>
        <w:t xml:space="preserve"> so caution should</w:t>
      </w:r>
      <w:r w:rsidR="00513D6E" w:rsidRPr="00CA4ABC">
        <w:rPr>
          <w:rFonts w:cstheme="minorHAnsi"/>
          <w:color w:val="000000" w:themeColor="text1"/>
        </w:rPr>
        <w:t xml:space="preserve"> b</w:t>
      </w:r>
      <w:r w:rsidR="00990AD0" w:rsidRPr="00CA4ABC">
        <w:rPr>
          <w:rFonts w:cstheme="minorHAnsi"/>
          <w:color w:val="000000" w:themeColor="text1"/>
        </w:rPr>
        <w:t xml:space="preserve">e paid to </w:t>
      </w:r>
      <w:r w:rsidR="00B0466E" w:rsidRPr="00CA4ABC">
        <w:rPr>
          <w:rFonts w:cstheme="minorHAnsi"/>
          <w:color w:val="000000" w:themeColor="text1"/>
        </w:rPr>
        <w:t>interpreting</w:t>
      </w:r>
      <w:r w:rsidR="00990AD0" w:rsidRPr="00CA4ABC">
        <w:rPr>
          <w:rFonts w:cstheme="minorHAnsi"/>
          <w:color w:val="000000" w:themeColor="text1"/>
        </w:rPr>
        <w:t xml:space="preserve"> these comments. </w:t>
      </w:r>
    </w:p>
    <w:p w14:paraId="374C540B" w14:textId="77777777" w:rsidR="004C12CF" w:rsidRPr="00CA4ABC" w:rsidRDefault="004C12CF" w:rsidP="004053D7">
      <w:pPr>
        <w:spacing w:line="360" w:lineRule="auto"/>
        <w:rPr>
          <w:rFonts w:cstheme="minorHAnsi"/>
          <w:color w:val="000000" w:themeColor="text1"/>
        </w:rPr>
      </w:pPr>
    </w:p>
    <w:p w14:paraId="064104D0" w14:textId="69C500B4"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Improvement of pre-existing injuries as a result of the exercise programme w</w:t>
      </w:r>
      <w:r w:rsidR="00B0466E" w:rsidRPr="00CA4ABC">
        <w:rPr>
          <w:rFonts w:cstheme="minorHAnsi"/>
          <w:color w:val="000000" w:themeColor="text1"/>
        </w:rPr>
        <w:t>as</w:t>
      </w:r>
      <w:r w:rsidRPr="00CA4ABC">
        <w:rPr>
          <w:rFonts w:cstheme="minorHAnsi"/>
          <w:color w:val="000000" w:themeColor="text1"/>
        </w:rPr>
        <w:t xml:space="preserve"> also described and w</w:t>
      </w:r>
      <w:r w:rsidR="00B0466E" w:rsidRPr="00CA4ABC">
        <w:rPr>
          <w:rFonts w:cstheme="minorHAnsi"/>
          <w:color w:val="000000" w:themeColor="text1"/>
        </w:rPr>
        <w:t>as</w:t>
      </w:r>
      <w:r w:rsidRPr="00CA4ABC">
        <w:rPr>
          <w:rFonts w:cstheme="minorHAnsi"/>
          <w:color w:val="000000" w:themeColor="text1"/>
        </w:rPr>
        <w:t xml:space="preserve"> another </w:t>
      </w:r>
      <w:r w:rsidR="00990AD0" w:rsidRPr="00CA4ABC">
        <w:rPr>
          <w:rFonts w:cstheme="minorHAnsi"/>
          <w:color w:val="000000" w:themeColor="text1"/>
        </w:rPr>
        <w:t>element</w:t>
      </w:r>
      <w:r w:rsidRPr="00CA4ABC">
        <w:rPr>
          <w:rFonts w:cstheme="minorHAnsi"/>
          <w:color w:val="000000" w:themeColor="text1"/>
        </w:rPr>
        <w:t xml:space="preserve"> discussed by participants as an indication of health improvements</w:t>
      </w:r>
      <w:r w:rsidRPr="00CA4ABC">
        <w:rPr>
          <w:rFonts w:cstheme="minorHAnsi"/>
          <w:i/>
          <w:iCs/>
          <w:color w:val="000000" w:themeColor="text1"/>
        </w:rPr>
        <w:t xml:space="preserve">. </w:t>
      </w:r>
    </w:p>
    <w:p w14:paraId="076258BD" w14:textId="77777777" w:rsidR="004C12CF" w:rsidRPr="00CA4ABC" w:rsidRDefault="004C12CF" w:rsidP="004053D7">
      <w:pPr>
        <w:spacing w:line="360" w:lineRule="auto"/>
        <w:rPr>
          <w:rFonts w:cstheme="minorHAnsi"/>
          <w:i/>
          <w:iCs/>
          <w:color w:val="000000" w:themeColor="text1"/>
        </w:rPr>
      </w:pPr>
    </w:p>
    <w:p w14:paraId="62F2EE79"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lastRenderedPageBreak/>
        <w:t>“Yes, I found that I suffer really badly with my back and I found that my backache has diminished quite a lot, which means I can do more things.” (</w:t>
      </w:r>
      <w:r w:rsidRPr="00CA4ABC">
        <w:rPr>
          <w:rFonts w:cstheme="minorHAnsi"/>
          <w:color w:val="000000" w:themeColor="text1"/>
        </w:rPr>
        <w:t>P103)</w:t>
      </w:r>
    </w:p>
    <w:p w14:paraId="1CB3916B" w14:textId="77777777" w:rsidR="004C12CF" w:rsidRPr="00CA4ABC" w:rsidRDefault="004C12CF" w:rsidP="004053D7">
      <w:pPr>
        <w:spacing w:line="360" w:lineRule="auto"/>
        <w:rPr>
          <w:rFonts w:cstheme="minorHAnsi"/>
          <w:i/>
          <w:iCs/>
          <w:color w:val="000000" w:themeColor="text1"/>
        </w:rPr>
      </w:pPr>
    </w:p>
    <w:p w14:paraId="2FDE7A35"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“It really helped working around my injured knee, which now is, touch wood, brilliant” </w:t>
      </w:r>
      <w:r w:rsidRPr="00CA4ABC">
        <w:rPr>
          <w:rFonts w:cstheme="minorHAnsi"/>
          <w:color w:val="000000" w:themeColor="text1"/>
        </w:rPr>
        <w:t>(P107)</w:t>
      </w:r>
    </w:p>
    <w:p w14:paraId="05030FE9" w14:textId="77777777" w:rsidR="004C12CF" w:rsidRPr="00CA4ABC" w:rsidRDefault="004C12CF" w:rsidP="004053D7">
      <w:pPr>
        <w:spacing w:line="360" w:lineRule="auto"/>
        <w:rPr>
          <w:rFonts w:cstheme="minorHAnsi"/>
          <w:color w:val="000000" w:themeColor="text1"/>
        </w:rPr>
      </w:pPr>
    </w:p>
    <w:p w14:paraId="61860A26"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Participants also believed they had observed physical changes relating to their appearance and being more toned. </w:t>
      </w:r>
    </w:p>
    <w:p w14:paraId="6E404FF5" w14:textId="77777777" w:rsidR="004C12CF" w:rsidRPr="00CA4ABC" w:rsidRDefault="004C12CF" w:rsidP="004053D7">
      <w:pPr>
        <w:spacing w:line="360" w:lineRule="auto"/>
        <w:rPr>
          <w:rFonts w:cstheme="minorHAnsi"/>
          <w:color w:val="000000" w:themeColor="text1"/>
        </w:rPr>
      </w:pPr>
    </w:p>
    <w:p w14:paraId="34486962" w14:textId="5F7347D3"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“I do feel like my legs look a little bit different. I don’t know whether there’s any difference on the measurements or anything </w:t>
      </w:r>
      <w:r w:rsidR="0057542C">
        <w:rPr>
          <w:rFonts w:cstheme="minorHAnsi"/>
          <w:i/>
          <w:iCs/>
          <w:color w:val="000000" w:themeColor="text1"/>
        </w:rPr>
        <w:t>but</w:t>
      </w:r>
      <w:r w:rsidRPr="00CA4ABC">
        <w:rPr>
          <w:rFonts w:cstheme="minorHAnsi"/>
          <w:i/>
          <w:iCs/>
          <w:color w:val="000000" w:themeColor="text1"/>
        </w:rPr>
        <w:t xml:space="preserve"> my legs don’t look as dimply. My thighs were starting to look really dimply and I feel like they’ve toned up the front of my thighs. So I don’t know if it’s psychological</w:t>
      </w:r>
      <w:r w:rsidR="00E73EA2" w:rsidRPr="00CA4ABC">
        <w:rPr>
          <w:rFonts w:cstheme="minorHAnsi"/>
          <w:i/>
          <w:iCs/>
          <w:color w:val="000000" w:themeColor="text1"/>
        </w:rPr>
        <w:t>,</w:t>
      </w:r>
      <w:r w:rsidRPr="00CA4ABC">
        <w:rPr>
          <w:rFonts w:cstheme="minorHAnsi"/>
          <w:i/>
          <w:iCs/>
          <w:color w:val="000000" w:themeColor="text1"/>
        </w:rPr>
        <w:t xml:space="preserve"> but I do feel like I’ve toned up” </w:t>
      </w:r>
      <w:r w:rsidRPr="00CA4ABC">
        <w:rPr>
          <w:rFonts w:cstheme="minorHAnsi"/>
          <w:color w:val="000000" w:themeColor="text1"/>
        </w:rPr>
        <w:t>(P105)</w:t>
      </w:r>
    </w:p>
    <w:p w14:paraId="58FFA659" w14:textId="77777777" w:rsidR="004C12CF" w:rsidRPr="00CA4ABC" w:rsidRDefault="004C12CF" w:rsidP="004053D7">
      <w:pPr>
        <w:spacing w:line="360" w:lineRule="auto"/>
        <w:rPr>
          <w:rFonts w:cstheme="minorHAnsi"/>
          <w:color w:val="000000" w:themeColor="text1"/>
        </w:rPr>
      </w:pPr>
    </w:p>
    <w:p w14:paraId="629D84B0" w14:textId="58A28019" w:rsidR="004C12CF" w:rsidRPr="00CA4ABC" w:rsidRDefault="00E73EA2" w:rsidP="004053D7">
      <w:pPr>
        <w:spacing w:line="360" w:lineRule="auto"/>
        <w:rPr>
          <w:rFonts w:cstheme="minorHAnsi"/>
          <w:color w:val="000000" w:themeColor="text1"/>
        </w:rPr>
      </w:pPr>
      <w:r w:rsidRPr="00CA4ABC">
        <w:rPr>
          <w:rFonts w:cstheme="minorHAnsi"/>
          <w:color w:val="000000" w:themeColor="text1"/>
        </w:rPr>
        <w:t>In this quote from the</w:t>
      </w:r>
      <w:r w:rsidR="004C12CF" w:rsidRPr="00CA4ABC">
        <w:rPr>
          <w:rFonts w:cstheme="minorHAnsi"/>
          <w:color w:val="000000" w:themeColor="text1"/>
        </w:rPr>
        <w:t xml:space="preserve"> participant about their legs, </w:t>
      </w:r>
      <w:r w:rsidRPr="00CA4ABC">
        <w:rPr>
          <w:rFonts w:cstheme="minorHAnsi"/>
          <w:color w:val="000000" w:themeColor="text1"/>
        </w:rPr>
        <w:t xml:space="preserve">they </w:t>
      </w:r>
      <w:r w:rsidR="004C12CF" w:rsidRPr="00CA4ABC">
        <w:rPr>
          <w:rFonts w:cstheme="minorHAnsi"/>
          <w:color w:val="000000" w:themeColor="text1"/>
        </w:rPr>
        <w:t>appear t</w:t>
      </w:r>
      <w:r w:rsidRPr="00CA4ABC">
        <w:rPr>
          <w:rFonts w:cstheme="minorHAnsi"/>
          <w:color w:val="000000" w:themeColor="text1"/>
        </w:rPr>
        <w:t>o</w:t>
      </w:r>
      <w:r w:rsidR="004C12CF" w:rsidRPr="00CA4ABC">
        <w:rPr>
          <w:rFonts w:cstheme="minorHAnsi"/>
          <w:color w:val="000000" w:themeColor="text1"/>
        </w:rPr>
        <w:t xml:space="preserve"> prefer their appearance after engaging in the exercise trial. This may feed into theme two, relating to positive emotions. If the participant is happier with how their legs are looking, this may lead to increase feelings of confidence and body image positivity</w:t>
      </w:r>
      <w:r w:rsidR="00990AD0" w:rsidRPr="00CA4ABC">
        <w:rPr>
          <w:rFonts w:cstheme="minorHAnsi"/>
          <w:color w:val="000000" w:themeColor="text1"/>
        </w:rPr>
        <w:t>;</w:t>
      </w:r>
      <w:r w:rsidR="004C12CF" w:rsidRPr="00CA4ABC">
        <w:rPr>
          <w:rFonts w:cstheme="minorHAnsi"/>
          <w:color w:val="000000" w:themeColor="text1"/>
        </w:rPr>
        <w:t xml:space="preserve"> </w:t>
      </w:r>
      <w:r w:rsidR="00990AD0" w:rsidRPr="00CA4ABC">
        <w:rPr>
          <w:rFonts w:cstheme="minorHAnsi"/>
          <w:color w:val="000000" w:themeColor="text1"/>
        </w:rPr>
        <w:t>it is</w:t>
      </w:r>
      <w:r w:rsidR="004C12CF" w:rsidRPr="00CA4ABC">
        <w:rPr>
          <w:rFonts w:cstheme="minorHAnsi"/>
          <w:color w:val="000000" w:themeColor="text1"/>
        </w:rPr>
        <w:t xml:space="preserve"> suggested that positive body image has significant </w:t>
      </w:r>
      <w:r w:rsidR="00E178AB" w:rsidRPr="00CA4ABC">
        <w:rPr>
          <w:rFonts w:cstheme="minorHAnsi"/>
          <w:color w:val="000000" w:themeColor="text1"/>
        </w:rPr>
        <w:t>health-related</w:t>
      </w:r>
      <w:r w:rsidR="004C12CF" w:rsidRPr="00CA4ABC">
        <w:rPr>
          <w:rFonts w:cstheme="minorHAnsi"/>
          <w:color w:val="000000" w:themeColor="text1"/>
        </w:rPr>
        <w:t xml:space="preserve"> benefits for both men and women</w:t>
      </w:r>
      <w:r w:rsidR="00E178AB" w:rsidRPr="00CA4ABC">
        <w:rPr>
          <w:rFonts w:cstheme="minorHAnsi"/>
          <w:color w:val="000000" w:themeColor="text1"/>
        </w:rPr>
        <w:t>,</w:t>
      </w:r>
      <w:r w:rsidR="004C12CF" w:rsidRPr="00CA4ABC">
        <w:rPr>
          <w:rFonts w:cstheme="minorHAnsi"/>
          <w:color w:val="000000" w:themeColor="text1"/>
        </w:rPr>
        <w:t xml:space="preserve"> including less depression and fewer unhealthy dieting behaviours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{"citationItems":[{"id":"ITEM-1","itemData":{"DOI":"10.1016/J.BODYIM.2015.01.002","ISSN":"1740-1445","PMID":"25682474","abstract":"Positive body image has been found to be associated with various beneficial health-related indicators among women. Yet, less is known about its health-related correlates among men. The goal of the current study was to examine associations between positive body image and various mental and physical health-related indicators in both men and women. Undergraduate students (. N=. 284) from a non-residential college in the northeastern United States participated. Individuals with greater positive body image reported less depression, higher self-esteem, fewer unhealthy dieting behaviors, lower drive for muscularity, and greater intentions to protect their skin from UV exposure and damage. Gender did not moderate these associations; thus, connections between positive body image and health-related indicators were similar for women and men. Results suggest that positive body image has significant implications for health and well-being beyond objective body size. Health care providers should encourage positive body image because of its potential health benefits.","author":[{"dropping-particle":"","family":"Gillen","given":"Meghan M.","non-dropping-particle":"","parse-names":false,"suffix":""}],"container-title":"Body Image","id":"ITEM-1","issued":{"date-parts":[["2015","3","1"]]},"page":"67-74","publisher":"Elsevier","title":"Associations between positive body image and indicators of men's and women's mental and physical health","type":"article-journal","volume":"13"},"uris":["http://www.mendeley.com/documents/?uuid=4be4507d-2e0e-318d-a3a5-ef175b61186a"]}],"mendeley":{"formattedCitation":"(282)","plainTextFormattedCitation":"(282)","previouslyFormattedCitation":"(282)"},"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(282)</w:t>
      </w:r>
      <w:r w:rsidR="004C12CF" w:rsidRPr="00CA4ABC">
        <w:rPr>
          <w:rFonts w:cstheme="minorHAnsi"/>
          <w:color w:val="000000" w:themeColor="text1"/>
        </w:rPr>
        <w:fldChar w:fldCharType="end"/>
      </w:r>
      <w:r w:rsidR="004C12CF" w:rsidRPr="00CA4ABC">
        <w:rPr>
          <w:rFonts w:cstheme="minorHAnsi"/>
          <w:color w:val="000000" w:themeColor="text1"/>
        </w:rPr>
        <w:t>. It is also of note that they don’t appear to be concerned with whether they have actually adapted their lean muscle mass</w:t>
      </w:r>
      <w:r w:rsidRPr="00CA4ABC">
        <w:rPr>
          <w:rFonts w:cstheme="minorHAnsi"/>
          <w:color w:val="000000" w:themeColor="text1"/>
        </w:rPr>
        <w:t>.</w:t>
      </w:r>
      <w:r w:rsidR="004C12CF" w:rsidRPr="00CA4ABC">
        <w:rPr>
          <w:rFonts w:cstheme="minorHAnsi"/>
          <w:color w:val="000000" w:themeColor="text1"/>
        </w:rPr>
        <w:t xml:space="preserve"> </w:t>
      </w:r>
      <w:r w:rsidRPr="00CA4ABC">
        <w:rPr>
          <w:rFonts w:cstheme="minorHAnsi"/>
          <w:color w:val="000000" w:themeColor="text1"/>
        </w:rPr>
        <w:t>S</w:t>
      </w:r>
      <w:r w:rsidR="004C12CF" w:rsidRPr="00CA4ABC">
        <w:rPr>
          <w:rFonts w:cstheme="minorHAnsi"/>
          <w:color w:val="000000" w:themeColor="text1"/>
        </w:rPr>
        <w:t xml:space="preserve">imply noticing it for themselves, even if, as they state, it may be “psychological” was a benefit for them. </w:t>
      </w:r>
    </w:p>
    <w:p w14:paraId="4FF84467" w14:textId="77777777" w:rsidR="004C12CF" w:rsidRPr="00CA4ABC" w:rsidRDefault="004C12CF" w:rsidP="004053D7">
      <w:pPr>
        <w:spacing w:line="360" w:lineRule="auto"/>
        <w:rPr>
          <w:rFonts w:cstheme="minorHAnsi"/>
          <w:color w:val="000000" w:themeColor="text1"/>
        </w:rPr>
      </w:pPr>
    </w:p>
    <w:p w14:paraId="026515EA" w14:textId="77777777" w:rsidR="004C12CF" w:rsidRPr="00CA4ABC" w:rsidRDefault="004C12CF">
      <w:pPr>
        <w:pStyle w:val="ListParagraph"/>
        <w:numPr>
          <w:ilvl w:val="0"/>
          <w:numId w:val="20"/>
        </w:numPr>
        <w:spacing w:line="360" w:lineRule="auto"/>
        <w:rPr>
          <w:rFonts w:cstheme="minorHAnsi"/>
          <w:color w:val="000000" w:themeColor="text1"/>
        </w:rPr>
      </w:pPr>
      <w:r w:rsidRPr="00CA4ABC">
        <w:rPr>
          <w:rFonts w:cstheme="minorHAnsi"/>
          <w:color w:val="000000" w:themeColor="text1"/>
        </w:rPr>
        <w:t>Aching muscles</w:t>
      </w:r>
    </w:p>
    <w:p w14:paraId="7B065419" w14:textId="25046117" w:rsidR="004C12CF" w:rsidRPr="00CA4ABC" w:rsidRDefault="004C12CF" w:rsidP="004053D7">
      <w:pPr>
        <w:spacing w:line="360" w:lineRule="auto"/>
        <w:rPr>
          <w:rFonts w:cstheme="minorHAnsi"/>
          <w:color w:val="000000" w:themeColor="text1"/>
        </w:rPr>
      </w:pPr>
      <w:r w:rsidRPr="00CA4ABC">
        <w:rPr>
          <w:rFonts w:cstheme="minorHAnsi"/>
          <w:color w:val="000000" w:themeColor="text1"/>
        </w:rPr>
        <w:t>Participants also stated feelings which follow</w:t>
      </w:r>
      <w:r w:rsidR="00E73EA2" w:rsidRPr="00CA4ABC">
        <w:rPr>
          <w:rFonts w:cstheme="minorHAnsi"/>
          <w:color w:val="000000" w:themeColor="text1"/>
        </w:rPr>
        <w:t>ed</w:t>
      </w:r>
      <w:r w:rsidRPr="00CA4ABC">
        <w:rPr>
          <w:rFonts w:cstheme="minorHAnsi"/>
          <w:color w:val="000000" w:themeColor="text1"/>
        </w:rPr>
        <w:t xml:space="preserve"> a delayed onset muscle soreness (DOMS) pattern. DOMS </w:t>
      </w:r>
      <w:r w:rsidR="00E178AB" w:rsidRPr="00CA4ABC">
        <w:rPr>
          <w:rFonts w:cstheme="minorHAnsi"/>
          <w:color w:val="000000" w:themeColor="text1"/>
        </w:rPr>
        <w:t>can</w:t>
      </w:r>
      <w:r w:rsidRPr="00CA4ABC">
        <w:rPr>
          <w:rFonts w:cstheme="minorHAnsi"/>
          <w:color w:val="000000" w:themeColor="text1"/>
        </w:rPr>
        <w:t xml:space="preserve"> occur </w:t>
      </w:r>
      <w:r w:rsidR="00E178AB" w:rsidRPr="00CA4ABC">
        <w:rPr>
          <w:rFonts w:cstheme="minorHAnsi"/>
          <w:color w:val="000000" w:themeColor="text1"/>
        </w:rPr>
        <w:t>due to</w:t>
      </w:r>
      <w:r w:rsidRPr="00CA4ABC">
        <w:rPr>
          <w:rFonts w:cstheme="minorHAnsi"/>
          <w:color w:val="000000" w:themeColor="text1"/>
        </w:rPr>
        <w:t xml:space="preserve"> microscopic tears of the muscle</w:t>
      </w:r>
      <w:r w:rsidR="00E73EA2" w:rsidRPr="00CA4ABC">
        <w:rPr>
          <w:rFonts w:cstheme="minorHAnsi"/>
          <w:color w:val="000000" w:themeColor="text1"/>
        </w:rPr>
        <w:t>,</w:t>
      </w:r>
      <w:r w:rsidRPr="00CA4ABC">
        <w:rPr>
          <w:rFonts w:cstheme="minorHAnsi"/>
          <w:color w:val="000000" w:themeColor="text1"/>
        </w:rPr>
        <w:t xml:space="preserve"> and these experiences by the participants may support the effectiveness of the exercise intervention. </w:t>
      </w:r>
    </w:p>
    <w:p w14:paraId="3CD535BA" w14:textId="77777777" w:rsidR="004C12CF" w:rsidRPr="00CA4ABC" w:rsidRDefault="004C12CF" w:rsidP="004053D7">
      <w:pPr>
        <w:spacing w:line="360" w:lineRule="auto"/>
        <w:rPr>
          <w:rFonts w:cstheme="minorHAnsi"/>
          <w:color w:val="000000" w:themeColor="text1"/>
        </w:rPr>
      </w:pPr>
    </w:p>
    <w:p w14:paraId="5A7AE7AD"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 xml:space="preserve">I definitely felt like I had worked out and was very achy the day after” </w:t>
      </w:r>
      <w:r w:rsidRPr="00CA4ABC">
        <w:rPr>
          <w:rFonts w:cstheme="minorHAnsi"/>
          <w:color w:val="000000" w:themeColor="text1"/>
        </w:rPr>
        <w:t>(P108)</w:t>
      </w:r>
    </w:p>
    <w:p w14:paraId="3816C026"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was actually surprised how sore I was the next day”</w:t>
      </w:r>
      <w:r w:rsidRPr="00CA4ABC">
        <w:rPr>
          <w:rFonts w:cstheme="minorHAnsi"/>
          <w:color w:val="000000" w:themeColor="text1"/>
        </w:rPr>
        <w:t xml:space="preserve"> (P103)</w:t>
      </w:r>
    </w:p>
    <w:p w14:paraId="5BD645A6"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“It would be the next day, you know when you go to move and you think, oh</w:t>
      </w:r>
      <w:r w:rsidRPr="00CA4ABC">
        <w:rPr>
          <w:rFonts w:cstheme="minorHAnsi"/>
          <w:color w:val="000000" w:themeColor="text1"/>
        </w:rPr>
        <w:t>” (P107)</w:t>
      </w:r>
    </w:p>
    <w:p w14:paraId="463AD4F6" w14:textId="77777777" w:rsidR="004C12CF" w:rsidRPr="00CA4ABC" w:rsidRDefault="004C12CF" w:rsidP="004053D7">
      <w:pPr>
        <w:spacing w:line="360" w:lineRule="auto"/>
        <w:rPr>
          <w:rFonts w:cstheme="minorHAnsi"/>
          <w:color w:val="000000" w:themeColor="text1"/>
        </w:rPr>
      </w:pPr>
    </w:p>
    <w:p w14:paraId="5A08AB2C" w14:textId="6AC67D2B" w:rsidR="004C12CF" w:rsidRPr="00CA4ABC" w:rsidRDefault="004C12CF" w:rsidP="004053D7">
      <w:pPr>
        <w:spacing w:line="360" w:lineRule="auto"/>
        <w:rPr>
          <w:rFonts w:cstheme="minorHAnsi"/>
          <w:color w:val="000000" w:themeColor="text1"/>
        </w:rPr>
      </w:pPr>
      <w:r w:rsidRPr="00CA4ABC">
        <w:rPr>
          <w:rFonts w:cstheme="minorHAnsi"/>
          <w:color w:val="000000" w:themeColor="text1"/>
        </w:rPr>
        <w:lastRenderedPageBreak/>
        <w:t xml:space="preserve">Furthermore, despite their uncomfortable nature, participants often described </w:t>
      </w:r>
      <w:r w:rsidR="00E178AB" w:rsidRPr="00CA4ABC">
        <w:rPr>
          <w:rFonts w:cstheme="minorHAnsi"/>
          <w:color w:val="000000" w:themeColor="text1"/>
        </w:rPr>
        <w:t>the</w:t>
      </w:r>
      <w:r w:rsidR="00E73EA2" w:rsidRPr="00CA4ABC">
        <w:rPr>
          <w:rFonts w:cstheme="minorHAnsi"/>
          <w:color w:val="000000" w:themeColor="text1"/>
        </w:rPr>
        <w:t>se</w:t>
      </w:r>
      <w:r w:rsidRPr="00CA4ABC">
        <w:rPr>
          <w:rFonts w:cstheme="minorHAnsi"/>
          <w:color w:val="000000" w:themeColor="text1"/>
        </w:rPr>
        <w:t xml:space="preserve"> feelings </w:t>
      </w:r>
      <w:r w:rsidR="00E178AB" w:rsidRPr="00CA4ABC">
        <w:rPr>
          <w:rFonts w:cstheme="minorHAnsi"/>
          <w:color w:val="000000" w:themeColor="text1"/>
        </w:rPr>
        <w:t>positively</w:t>
      </w:r>
      <w:r w:rsidRPr="00CA4ABC">
        <w:rPr>
          <w:rFonts w:cstheme="minorHAnsi"/>
          <w:color w:val="000000" w:themeColor="text1"/>
        </w:rPr>
        <w:t>.</w:t>
      </w:r>
    </w:p>
    <w:p w14:paraId="199B8D9B" w14:textId="77777777" w:rsidR="004C12CF" w:rsidRPr="00CA4ABC" w:rsidRDefault="004C12CF" w:rsidP="004053D7">
      <w:pPr>
        <w:spacing w:line="360" w:lineRule="auto"/>
        <w:rPr>
          <w:rFonts w:cstheme="minorHAnsi"/>
          <w:color w:val="000000" w:themeColor="text1"/>
        </w:rPr>
      </w:pPr>
    </w:p>
    <w:p w14:paraId="7F9425E2"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Yes [aching], sometimes the day after, which felt nice. It was quite satisfying”</w:t>
      </w:r>
      <w:r w:rsidRPr="00CA4ABC">
        <w:rPr>
          <w:rFonts w:cstheme="minorHAnsi"/>
          <w:color w:val="000000" w:themeColor="text1"/>
        </w:rPr>
        <w:t xml:space="preserve"> (P101)</w:t>
      </w:r>
    </w:p>
    <w:p w14:paraId="717E403E" w14:textId="77777777" w:rsidR="004C12CF" w:rsidRPr="00CA4ABC" w:rsidRDefault="004C12CF" w:rsidP="004053D7">
      <w:pPr>
        <w:spacing w:line="360" w:lineRule="auto"/>
        <w:rPr>
          <w:rFonts w:cstheme="minorHAnsi"/>
          <w:i/>
          <w:iCs/>
          <w:color w:val="000000" w:themeColor="text1"/>
        </w:rPr>
      </w:pPr>
    </w:p>
    <w:p w14:paraId="13736F28"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Importantly, despite describing these feelings as painful, participants distinguished the aches as different pain from the sort that may occur as a result of an injury, so were not classed as adverse events. </w:t>
      </w:r>
    </w:p>
    <w:p w14:paraId="4E7C02E9" w14:textId="77777777" w:rsidR="004C12CF" w:rsidRPr="00CA4ABC" w:rsidRDefault="004C12CF" w:rsidP="004053D7">
      <w:pPr>
        <w:spacing w:line="360" w:lineRule="auto"/>
        <w:rPr>
          <w:rFonts w:cstheme="minorHAnsi"/>
          <w:color w:val="000000" w:themeColor="text1"/>
        </w:rPr>
      </w:pPr>
    </w:p>
    <w:p w14:paraId="06887306"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“It’s not serious, it’s a nice ache that makes me know that I’ve worked out” </w:t>
      </w:r>
      <w:r w:rsidRPr="00CA4ABC">
        <w:rPr>
          <w:rFonts w:cstheme="minorHAnsi"/>
          <w:color w:val="000000" w:themeColor="text1"/>
        </w:rPr>
        <w:t>(P108)</w:t>
      </w:r>
    </w:p>
    <w:p w14:paraId="3BB16082" w14:textId="77777777" w:rsidR="004C12CF" w:rsidRPr="00CA4ABC" w:rsidRDefault="004C12CF" w:rsidP="004053D7">
      <w:pPr>
        <w:spacing w:line="360" w:lineRule="auto"/>
        <w:rPr>
          <w:rFonts w:cstheme="minorHAnsi"/>
          <w:color w:val="000000" w:themeColor="text1"/>
        </w:rPr>
      </w:pPr>
    </w:p>
    <w:p w14:paraId="1ED01EF7" w14:textId="044A2096" w:rsidR="004C12CF" w:rsidRPr="00CA4ABC" w:rsidRDefault="004C12CF" w:rsidP="004053D7">
      <w:pPr>
        <w:spacing w:line="360" w:lineRule="auto"/>
        <w:rPr>
          <w:rFonts w:cstheme="minorHAnsi"/>
          <w:color w:val="000000" w:themeColor="text1"/>
        </w:rPr>
      </w:pPr>
      <w:r w:rsidRPr="00CA4ABC">
        <w:rPr>
          <w:rFonts w:cstheme="minorHAnsi"/>
          <w:color w:val="000000" w:themeColor="text1"/>
        </w:rPr>
        <w:t>Overall, firm statements relating to strength, fitness and health improvements were made, again possibly supporting the effectiveness of the programme</w:t>
      </w:r>
      <w:r w:rsidR="006D7E4B" w:rsidRPr="00CA4ABC">
        <w:rPr>
          <w:rFonts w:cstheme="minorHAnsi"/>
          <w:color w:val="000000" w:themeColor="text1"/>
        </w:rPr>
        <w:t>.</w:t>
      </w:r>
    </w:p>
    <w:p w14:paraId="3140A500" w14:textId="77777777" w:rsidR="004C12CF" w:rsidRPr="00CA4ABC" w:rsidRDefault="004C12CF" w:rsidP="004053D7">
      <w:pPr>
        <w:spacing w:line="360" w:lineRule="auto"/>
        <w:rPr>
          <w:rFonts w:cstheme="minorHAnsi"/>
          <w:color w:val="000000" w:themeColor="text1"/>
        </w:rPr>
      </w:pPr>
    </w:p>
    <w:p w14:paraId="1806BE7B" w14:textId="77777777"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“I would definitely say I’ve gotten stronger” (</w:t>
      </w:r>
      <w:r w:rsidRPr="00CA4ABC">
        <w:rPr>
          <w:rFonts w:cstheme="minorHAnsi"/>
          <w:color w:val="000000" w:themeColor="text1"/>
        </w:rPr>
        <w:t>P107</w:t>
      </w:r>
      <w:r w:rsidRPr="00CA4ABC">
        <w:rPr>
          <w:rFonts w:cstheme="minorHAnsi"/>
          <w:i/>
          <w:iCs/>
          <w:color w:val="000000" w:themeColor="text1"/>
        </w:rPr>
        <w:t>)</w:t>
      </w:r>
    </w:p>
    <w:p w14:paraId="55C6211D" w14:textId="77777777"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“I definitely feel stronger and more motivated now” (</w:t>
      </w:r>
      <w:r w:rsidRPr="00CA4ABC">
        <w:rPr>
          <w:rFonts w:cstheme="minorHAnsi"/>
          <w:color w:val="000000" w:themeColor="text1"/>
        </w:rPr>
        <w:t>P108</w:t>
      </w:r>
      <w:r w:rsidRPr="00CA4ABC">
        <w:rPr>
          <w:rFonts w:cstheme="minorHAnsi"/>
          <w:i/>
          <w:iCs/>
          <w:color w:val="000000" w:themeColor="text1"/>
        </w:rPr>
        <w:t>)</w:t>
      </w:r>
    </w:p>
    <w:p w14:paraId="2CF14AB9" w14:textId="77777777"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“I’ve gone back into a more healthy lifestyle, thank you” (</w:t>
      </w:r>
      <w:r w:rsidRPr="00CA4ABC">
        <w:rPr>
          <w:rFonts w:cstheme="minorHAnsi"/>
          <w:color w:val="000000" w:themeColor="text1"/>
        </w:rPr>
        <w:t>P109</w:t>
      </w:r>
      <w:r w:rsidRPr="00CA4ABC">
        <w:rPr>
          <w:rFonts w:cstheme="minorHAnsi"/>
          <w:i/>
          <w:iCs/>
          <w:color w:val="000000" w:themeColor="text1"/>
        </w:rPr>
        <w:t>)</w:t>
      </w:r>
    </w:p>
    <w:p w14:paraId="3FCC7858" w14:textId="77777777" w:rsidR="004C12CF" w:rsidRPr="00CA4ABC" w:rsidRDefault="004C12CF" w:rsidP="004053D7">
      <w:pPr>
        <w:spacing w:line="360" w:lineRule="auto"/>
        <w:rPr>
          <w:rFonts w:cstheme="minorHAnsi"/>
          <w:color w:val="000000" w:themeColor="text1"/>
        </w:rPr>
      </w:pPr>
    </w:p>
    <w:p w14:paraId="22319958" w14:textId="77777777" w:rsidR="004C12CF" w:rsidRPr="00CA4ABC" w:rsidRDefault="004C12CF">
      <w:pPr>
        <w:pStyle w:val="ListParagraph"/>
        <w:numPr>
          <w:ilvl w:val="0"/>
          <w:numId w:val="20"/>
        </w:numPr>
        <w:spacing w:line="360" w:lineRule="auto"/>
        <w:rPr>
          <w:rFonts w:cstheme="minorHAnsi"/>
          <w:color w:val="000000" w:themeColor="text1"/>
        </w:rPr>
      </w:pPr>
      <w:r w:rsidRPr="00CA4ABC">
        <w:rPr>
          <w:rFonts w:cstheme="minorHAnsi"/>
          <w:color w:val="000000" w:themeColor="text1"/>
        </w:rPr>
        <w:t>Resistance band reflections</w:t>
      </w:r>
    </w:p>
    <w:p w14:paraId="63D4827C" w14:textId="4FBB40BC" w:rsidR="004C12CF" w:rsidRPr="00CA4ABC" w:rsidRDefault="004C12CF" w:rsidP="004053D7">
      <w:pPr>
        <w:spacing w:line="360" w:lineRule="auto"/>
        <w:rPr>
          <w:rFonts w:cstheme="minorHAnsi"/>
          <w:color w:val="000000" w:themeColor="text1"/>
        </w:rPr>
      </w:pPr>
      <w:r w:rsidRPr="00CA4ABC">
        <w:rPr>
          <w:rFonts w:cstheme="minorHAnsi"/>
          <w:color w:val="000000" w:themeColor="text1"/>
        </w:rPr>
        <w:t>In addition to experience</w:t>
      </w:r>
      <w:r w:rsidR="006D7E4B" w:rsidRPr="00CA4ABC">
        <w:rPr>
          <w:rFonts w:cstheme="minorHAnsi"/>
          <w:color w:val="000000" w:themeColor="text1"/>
        </w:rPr>
        <w:t>s</w:t>
      </w:r>
      <w:r w:rsidRPr="00CA4ABC">
        <w:rPr>
          <w:rFonts w:cstheme="minorHAnsi"/>
          <w:color w:val="000000" w:themeColor="text1"/>
        </w:rPr>
        <w:t xml:space="preserve"> of DOM</w:t>
      </w:r>
      <w:r w:rsidR="006D7E4B" w:rsidRPr="00CA4ABC">
        <w:rPr>
          <w:rFonts w:cstheme="minorHAnsi"/>
          <w:color w:val="000000" w:themeColor="text1"/>
        </w:rPr>
        <w:t>S</w:t>
      </w:r>
      <w:r w:rsidRPr="00CA4ABC">
        <w:rPr>
          <w:rFonts w:cstheme="minorHAnsi"/>
          <w:color w:val="000000" w:themeColor="text1"/>
        </w:rPr>
        <w:t xml:space="preserve">, further comments to suggest the resistance band exercises were offering an appropriate stimulus, </w:t>
      </w:r>
      <w:r w:rsidR="006D7E4B" w:rsidRPr="00CA4ABC">
        <w:rPr>
          <w:rFonts w:cstheme="minorHAnsi"/>
          <w:color w:val="000000" w:themeColor="text1"/>
        </w:rPr>
        <w:t>a</w:t>
      </w:r>
      <w:r w:rsidR="00E73EA2" w:rsidRPr="00CA4ABC">
        <w:rPr>
          <w:rFonts w:cstheme="minorHAnsi"/>
          <w:color w:val="000000" w:themeColor="text1"/>
        </w:rPr>
        <w:t>n ultimate</w:t>
      </w:r>
      <w:r w:rsidR="006D7E4B" w:rsidRPr="00CA4ABC">
        <w:rPr>
          <w:rFonts w:cstheme="minorHAnsi"/>
          <w:color w:val="000000" w:themeColor="text1"/>
        </w:rPr>
        <w:t xml:space="preserve"> goal of the programme</w:t>
      </w:r>
      <w:r w:rsidR="00D04091">
        <w:rPr>
          <w:rFonts w:cstheme="minorHAnsi"/>
          <w:color w:val="000000" w:themeColor="text1"/>
        </w:rPr>
        <w:t xml:space="preserve"> long-term</w:t>
      </w:r>
      <w:r w:rsidR="006D7E4B" w:rsidRPr="00CA4ABC">
        <w:rPr>
          <w:rFonts w:cstheme="minorHAnsi"/>
          <w:color w:val="000000" w:themeColor="text1"/>
        </w:rPr>
        <w:t xml:space="preserve">, </w:t>
      </w:r>
      <w:r w:rsidRPr="00CA4ABC">
        <w:rPr>
          <w:rFonts w:cstheme="minorHAnsi"/>
          <w:color w:val="000000" w:themeColor="text1"/>
        </w:rPr>
        <w:t>w</w:t>
      </w:r>
      <w:r w:rsidR="006D7E4B" w:rsidRPr="00CA4ABC">
        <w:rPr>
          <w:rFonts w:cstheme="minorHAnsi"/>
          <w:color w:val="000000" w:themeColor="text1"/>
        </w:rPr>
        <w:t>ere</w:t>
      </w:r>
      <w:r w:rsidRPr="00CA4ABC">
        <w:rPr>
          <w:rFonts w:cstheme="minorHAnsi"/>
          <w:color w:val="000000" w:themeColor="text1"/>
        </w:rPr>
        <w:t xml:space="preserve"> </w:t>
      </w:r>
      <w:r w:rsidR="006D7E4B" w:rsidRPr="00CA4ABC">
        <w:rPr>
          <w:rFonts w:cstheme="minorHAnsi"/>
          <w:color w:val="000000" w:themeColor="text1"/>
        </w:rPr>
        <w:t>supported by the participants.</w:t>
      </w:r>
    </w:p>
    <w:p w14:paraId="6A9EADC1" w14:textId="77777777" w:rsidR="004C12CF" w:rsidRPr="00CA4ABC" w:rsidRDefault="004C12CF" w:rsidP="004053D7">
      <w:pPr>
        <w:spacing w:line="360" w:lineRule="auto"/>
        <w:rPr>
          <w:rFonts w:cstheme="minorHAnsi"/>
          <w:color w:val="000000" w:themeColor="text1"/>
        </w:rPr>
      </w:pPr>
    </w:p>
    <w:p w14:paraId="647CB5BB" w14:textId="5FF0C011"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“To be quite honest, when we started off, I was a bit like, oh, this is going to be a bit of a damp squib, what are these flimsy things going to do</w:t>
      </w:r>
      <w:r w:rsidR="00B0466E" w:rsidRPr="00CA4ABC">
        <w:rPr>
          <w:rFonts w:cstheme="minorHAnsi"/>
          <w:i/>
          <w:iCs/>
          <w:color w:val="000000" w:themeColor="text1"/>
        </w:rPr>
        <w:t>?</w:t>
      </w:r>
      <w:r w:rsidRPr="00CA4ABC">
        <w:rPr>
          <w:rFonts w:cstheme="minorHAnsi"/>
          <w:i/>
          <w:iCs/>
          <w:color w:val="000000" w:themeColor="text1"/>
        </w:rPr>
        <w:t xml:space="preserve"> I was really surprised at how difficult it was.  I really surprised myself as to how good a workout it was and I would actually say it was better than free weights”</w:t>
      </w:r>
      <w:r w:rsidRPr="00CA4ABC">
        <w:rPr>
          <w:rFonts w:cstheme="minorHAnsi"/>
          <w:color w:val="000000" w:themeColor="text1"/>
        </w:rPr>
        <w:t xml:space="preserve"> (P103)</w:t>
      </w:r>
    </w:p>
    <w:p w14:paraId="1F54A100" w14:textId="77777777" w:rsidR="004C12CF" w:rsidRPr="00CA4ABC" w:rsidRDefault="004C12CF" w:rsidP="004053D7">
      <w:pPr>
        <w:spacing w:line="360" w:lineRule="auto"/>
        <w:rPr>
          <w:rFonts w:cstheme="minorHAnsi"/>
          <w:i/>
          <w:iCs/>
          <w:color w:val="000000" w:themeColor="text1"/>
        </w:rPr>
      </w:pPr>
    </w:p>
    <w:p w14:paraId="0CB13D38"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“Some exercises were difficult with the heavy bands and then I would either put it under one foot or changed down to a lesser band and put both feet on the band. So I knew my capability to get the full range of motion.”</w:t>
      </w:r>
      <w:r w:rsidRPr="00CA4ABC">
        <w:rPr>
          <w:rFonts w:cstheme="minorHAnsi"/>
          <w:color w:val="000000" w:themeColor="text1"/>
        </w:rPr>
        <w:t xml:space="preserve"> (P108)</w:t>
      </w:r>
    </w:p>
    <w:p w14:paraId="06863403" w14:textId="77777777" w:rsidR="004C12CF" w:rsidRPr="00CA4ABC" w:rsidRDefault="004C12CF" w:rsidP="004053D7">
      <w:pPr>
        <w:spacing w:line="360" w:lineRule="auto"/>
        <w:rPr>
          <w:rFonts w:cstheme="minorHAnsi"/>
          <w:color w:val="000000" w:themeColor="text1"/>
        </w:rPr>
      </w:pPr>
    </w:p>
    <w:p w14:paraId="65860013" w14:textId="722091F9" w:rsidR="004C12CF" w:rsidRPr="00CA4ABC" w:rsidRDefault="00B0466E" w:rsidP="004053D7">
      <w:pPr>
        <w:spacing w:line="360" w:lineRule="auto"/>
        <w:rPr>
          <w:rFonts w:cstheme="minorHAnsi"/>
          <w:color w:val="000000" w:themeColor="text1"/>
        </w:rPr>
      </w:pPr>
      <w:r w:rsidRPr="00CA4ABC">
        <w:rPr>
          <w:rFonts w:cstheme="minorHAnsi"/>
          <w:color w:val="000000" w:themeColor="text1"/>
        </w:rPr>
        <w:lastRenderedPageBreak/>
        <w:t>Concerning</w:t>
      </w:r>
      <w:r w:rsidR="004C12CF" w:rsidRPr="00CA4ABC">
        <w:rPr>
          <w:rFonts w:cstheme="minorHAnsi"/>
          <w:color w:val="000000" w:themeColor="text1"/>
        </w:rPr>
        <w:t xml:space="preserve"> the feasibility outcomes, the primary aim of this research </w:t>
      </w:r>
      <w:r w:rsidR="00E73EA2" w:rsidRPr="00CA4ABC">
        <w:rPr>
          <w:rFonts w:cstheme="minorHAnsi"/>
          <w:color w:val="000000" w:themeColor="text1"/>
        </w:rPr>
        <w:t>wa</w:t>
      </w:r>
      <w:r w:rsidR="004C12CF" w:rsidRPr="00CA4ABC">
        <w:rPr>
          <w:rFonts w:cstheme="minorHAnsi"/>
          <w:color w:val="000000" w:themeColor="text1"/>
        </w:rPr>
        <w:t>s to explore the acceptability of the intervention protocols. Enquiries about the experience of using the resistance band led to positive responses from the participants.</w:t>
      </w:r>
    </w:p>
    <w:p w14:paraId="60BDC074" w14:textId="77777777" w:rsidR="004C12CF" w:rsidRPr="00CA4ABC" w:rsidRDefault="004C12CF" w:rsidP="004053D7">
      <w:pPr>
        <w:spacing w:line="360" w:lineRule="auto"/>
        <w:rPr>
          <w:rFonts w:cstheme="minorHAnsi"/>
          <w:color w:val="000000" w:themeColor="text1"/>
        </w:rPr>
      </w:pPr>
    </w:p>
    <w:p w14:paraId="6A8CFD07"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“I think they were great, I’m a big fan”. </w:t>
      </w:r>
      <w:r w:rsidRPr="00CA4ABC">
        <w:rPr>
          <w:rFonts w:cstheme="minorHAnsi"/>
          <w:color w:val="000000" w:themeColor="text1"/>
        </w:rPr>
        <w:t>(P109)</w:t>
      </w:r>
    </w:p>
    <w:p w14:paraId="3DD3DC0C" w14:textId="19D18F1F"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 xml:space="preserve">“I’ll really enjoyed using the bands. I actually thought it was fun because I liked using the bands. I had never used them before, so I thought that was really fun and it’s different to just running on a treadmill or sitting on a bike or doing whatever. Actually doing the bands was really good and really interesting”( </w:t>
      </w:r>
      <w:r w:rsidRPr="00CA4ABC">
        <w:rPr>
          <w:rFonts w:cstheme="minorHAnsi"/>
          <w:color w:val="000000" w:themeColor="text1"/>
        </w:rPr>
        <w:t>P112).</w:t>
      </w:r>
    </w:p>
    <w:p w14:paraId="03AD7E6C" w14:textId="77777777" w:rsidR="004C12CF" w:rsidRPr="00CA4ABC" w:rsidRDefault="004C12CF" w:rsidP="004053D7">
      <w:pPr>
        <w:spacing w:line="360" w:lineRule="auto"/>
        <w:rPr>
          <w:rFonts w:cstheme="minorHAnsi"/>
          <w:color w:val="000000" w:themeColor="text1"/>
        </w:rPr>
      </w:pPr>
    </w:p>
    <w:p w14:paraId="31D7A258" w14:textId="0AC9478A"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Based on these comments, it would appear appropriate to continue to use the resistance bands when rolling out the protocol to a </w:t>
      </w:r>
      <w:r w:rsidR="000B3903" w:rsidRPr="00CA4ABC">
        <w:rPr>
          <w:rFonts w:cstheme="minorHAnsi"/>
          <w:color w:val="000000" w:themeColor="text1"/>
        </w:rPr>
        <w:t>larger-scale</w:t>
      </w:r>
      <w:r w:rsidRPr="00CA4ABC">
        <w:rPr>
          <w:rFonts w:cstheme="minorHAnsi"/>
          <w:color w:val="000000" w:themeColor="text1"/>
        </w:rPr>
        <w:t xml:space="preserve"> trial.  Despite this, although the second comment </w:t>
      </w:r>
      <w:r w:rsidR="000B3903" w:rsidRPr="00CA4ABC">
        <w:rPr>
          <w:rFonts w:cstheme="minorHAnsi"/>
          <w:color w:val="000000" w:themeColor="text1"/>
        </w:rPr>
        <w:t>supports</w:t>
      </w:r>
      <w:r w:rsidRPr="00CA4ABC">
        <w:rPr>
          <w:rFonts w:cstheme="minorHAnsi"/>
          <w:color w:val="000000" w:themeColor="text1"/>
        </w:rPr>
        <w:t xml:space="preserve"> the bands, it could also highlight that they are a novelty and that the programmes may need to be carefully designed so that this novelty does not wear off</w:t>
      </w:r>
      <w:r w:rsidR="00E73EA2" w:rsidRPr="00CA4ABC">
        <w:rPr>
          <w:rFonts w:cstheme="minorHAnsi"/>
          <w:color w:val="000000" w:themeColor="text1"/>
        </w:rPr>
        <w:t xml:space="preserve"> in the long-term.</w:t>
      </w:r>
      <w:r w:rsidRPr="00CA4ABC">
        <w:rPr>
          <w:rFonts w:cstheme="minorHAnsi"/>
          <w:color w:val="000000" w:themeColor="text1"/>
        </w:rPr>
        <w:t xml:space="preserve"> </w:t>
      </w:r>
    </w:p>
    <w:p w14:paraId="387BCAC8" w14:textId="77777777" w:rsidR="004C12CF" w:rsidRPr="00CA4ABC" w:rsidRDefault="004C12CF" w:rsidP="004053D7">
      <w:pPr>
        <w:spacing w:line="360" w:lineRule="auto"/>
        <w:rPr>
          <w:rFonts w:cstheme="minorHAnsi"/>
          <w:color w:val="000000" w:themeColor="text1"/>
        </w:rPr>
      </w:pPr>
    </w:p>
    <w:p w14:paraId="001F3912" w14:textId="1A21DAE6" w:rsidR="004C12CF" w:rsidRPr="00CA4ABC" w:rsidRDefault="004C12CF" w:rsidP="004053D7">
      <w:pPr>
        <w:spacing w:line="360" w:lineRule="auto"/>
        <w:rPr>
          <w:rFonts w:cstheme="minorHAnsi"/>
          <w:color w:val="000000" w:themeColor="text1"/>
        </w:rPr>
      </w:pPr>
      <w:r w:rsidRPr="00CA4ABC">
        <w:rPr>
          <w:rFonts w:cstheme="minorHAnsi"/>
          <w:color w:val="000000" w:themeColor="text1"/>
        </w:rPr>
        <w:t>To summarise this theme, participants experienced feeling</w:t>
      </w:r>
      <w:r w:rsidR="00F621AC" w:rsidRPr="00CA4ABC">
        <w:rPr>
          <w:rFonts w:cstheme="minorHAnsi"/>
          <w:color w:val="000000" w:themeColor="text1"/>
        </w:rPr>
        <w:t>s</w:t>
      </w:r>
      <w:r w:rsidRPr="00CA4ABC">
        <w:rPr>
          <w:rFonts w:cstheme="minorHAnsi"/>
          <w:color w:val="000000" w:themeColor="text1"/>
        </w:rPr>
        <w:t xml:space="preserve"> of increased strength, fitness and/or health</w:t>
      </w:r>
      <w:r w:rsidR="000B3903" w:rsidRPr="00CA4ABC">
        <w:rPr>
          <w:rFonts w:cstheme="minorHAnsi"/>
          <w:color w:val="000000" w:themeColor="text1"/>
        </w:rPr>
        <w:t>,</w:t>
      </w:r>
      <w:r w:rsidRPr="00CA4ABC">
        <w:rPr>
          <w:rFonts w:cstheme="minorHAnsi"/>
          <w:color w:val="000000" w:themeColor="text1"/>
        </w:rPr>
        <w:t xml:space="preserve"> and this may feed into positive psychological outcomes, which will be explored in further detail in theme two. Participants </w:t>
      </w:r>
      <w:r w:rsidR="00F621AC" w:rsidRPr="00CA4ABC">
        <w:rPr>
          <w:rFonts w:cstheme="minorHAnsi"/>
          <w:color w:val="000000" w:themeColor="text1"/>
        </w:rPr>
        <w:t>reported</w:t>
      </w:r>
      <w:r w:rsidRPr="00CA4ABC">
        <w:rPr>
          <w:rFonts w:cstheme="minorHAnsi"/>
          <w:color w:val="000000" w:themeColor="text1"/>
        </w:rPr>
        <w:t xml:space="preserve"> these changes despite them not necessarily being physically measured. The participants</w:t>
      </w:r>
      <w:r w:rsidR="00404533" w:rsidRPr="00CA4ABC">
        <w:rPr>
          <w:rFonts w:cstheme="minorHAnsi"/>
          <w:color w:val="000000" w:themeColor="text1"/>
        </w:rPr>
        <w:t xml:space="preserve"> appeared to</w:t>
      </w:r>
      <w:r w:rsidRPr="00CA4ABC">
        <w:rPr>
          <w:rFonts w:cstheme="minorHAnsi"/>
          <w:color w:val="000000" w:themeColor="text1"/>
        </w:rPr>
        <w:t xml:space="preserve"> enjoyed observ</w:t>
      </w:r>
      <w:r w:rsidR="00B0466E" w:rsidRPr="00CA4ABC">
        <w:rPr>
          <w:rFonts w:cstheme="minorHAnsi"/>
          <w:color w:val="000000" w:themeColor="text1"/>
        </w:rPr>
        <w:t>ing</w:t>
      </w:r>
      <w:r w:rsidRPr="00CA4ABC">
        <w:rPr>
          <w:rFonts w:cstheme="minorHAnsi"/>
          <w:color w:val="000000" w:themeColor="text1"/>
        </w:rPr>
        <w:t xml:space="preserve"> differences when comparisons were made at the beginning and the end of the trial,</w:t>
      </w:r>
      <w:r w:rsidR="00404533" w:rsidRPr="00CA4ABC">
        <w:rPr>
          <w:rFonts w:cstheme="minorHAnsi"/>
          <w:color w:val="000000" w:themeColor="text1"/>
        </w:rPr>
        <w:t xml:space="preserve"> especially when they could quantify them,</w:t>
      </w:r>
      <w:r w:rsidRPr="00CA4ABC">
        <w:rPr>
          <w:rFonts w:cstheme="minorHAnsi"/>
          <w:color w:val="000000" w:themeColor="text1"/>
        </w:rPr>
        <w:t xml:space="preserve"> for example</w:t>
      </w:r>
      <w:r w:rsidR="00404533" w:rsidRPr="00CA4ABC">
        <w:rPr>
          <w:rFonts w:cstheme="minorHAnsi"/>
          <w:color w:val="000000" w:themeColor="text1"/>
        </w:rPr>
        <w:t xml:space="preserve"> by</w:t>
      </w:r>
      <w:r w:rsidRPr="00CA4ABC">
        <w:rPr>
          <w:rFonts w:cstheme="minorHAnsi"/>
          <w:color w:val="000000" w:themeColor="text1"/>
        </w:rPr>
        <w:t xml:space="preserve"> moving up a band colour or achieving more reps on an exercise. It is likely that if beneficial</w:t>
      </w:r>
      <w:r w:rsidR="00404533" w:rsidRPr="00CA4ABC">
        <w:rPr>
          <w:rFonts w:cstheme="minorHAnsi"/>
          <w:color w:val="000000" w:themeColor="text1"/>
        </w:rPr>
        <w:t xml:space="preserve"> health and</w:t>
      </w:r>
      <w:r w:rsidRPr="00CA4ABC">
        <w:rPr>
          <w:rFonts w:cstheme="minorHAnsi"/>
          <w:color w:val="000000" w:themeColor="text1"/>
        </w:rPr>
        <w:t xml:space="preserve"> fitness changes were experienced by the participants, this would be a motivating factor for continued engagement and progression in the exercise programme</w:t>
      </w:r>
      <w:r w:rsidR="006D7E4B" w:rsidRPr="00CA4ABC">
        <w:rPr>
          <w:rFonts w:cstheme="minorHAnsi"/>
          <w:color w:val="000000" w:themeColor="text1"/>
        </w:rPr>
        <w:t>.</w:t>
      </w:r>
    </w:p>
    <w:p w14:paraId="39A8A4D6" w14:textId="77777777" w:rsidR="004C12CF" w:rsidRPr="00CA4ABC" w:rsidRDefault="004C12CF" w:rsidP="004053D7">
      <w:pPr>
        <w:spacing w:line="360" w:lineRule="auto"/>
        <w:rPr>
          <w:rFonts w:cstheme="minorHAnsi"/>
          <w:color w:val="000000" w:themeColor="text1"/>
        </w:rPr>
      </w:pPr>
    </w:p>
    <w:p w14:paraId="15C87C10" w14:textId="702DAA83" w:rsidR="004C12CF" w:rsidRPr="00CA4ABC" w:rsidRDefault="004C12CF" w:rsidP="004053D7">
      <w:pPr>
        <w:pStyle w:val="Heading3"/>
        <w:spacing w:line="360" w:lineRule="auto"/>
        <w:rPr>
          <w:rFonts w:asciiTheme="minorHAnsi" w:hAnsiTheme="minorHAnsi" w:cstheme="minorHAnsi"/>
          <w:color w:val="000000" w:themeColor="text1"/>
        </w:rPr>
      </w:pPr>
      <w:bookmarkStart w:id="352" w:name="_Toc135384386"/>
      <w:r w:rsidRPr="00CA4ABC">
        <w:rPr>
          <w:rFonts w:asciiTheme="minorHAnsi" w:hAnsiTheme="minorHAnsi" w:cstheme="minorHAnsi"/>
          <w:color w:val="000000" w:themeColor="text1"/>
        </w:rPr>
        <w:t>5.</w:t>
      </w:r>
      <w:r w:rsidR="007F5B0B"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.4.2 Theme 2: Non-muscular health benefits</w:t>
      </w:r>
      <w:bookmarkEnd w:id="352"/>
    </w:p>
    <w:p w14:paraId="474C2EE1" w14:textId="09233AAA" w:rsidR="004C12CF" w:rsidRPr="00CA4ABC" w:rsidRDefault="004C12CF" w:rsidP="00357DD3">
      <w:pPr>
        <w:spacing w:line="360" w:lineRule="auto"/>
        <w:ind w:firstLine="360"/>
        <w:rPr>
          <w:rFonts w:cstheme="minorHAnsi"/>
          <w:color w:val="000000" w:themeColor="text1"/>
        </w:rPr>
      </w:pPr>
      <w:r w:rsidRPr="00CA4ABC">
        <w:rPr>
          <w:rFonts w:cstheme="minorHAnsi"/>
          <w:color w:val="000000" w:themeColor="text1"/>
        </w:rPr>
        <w:t>The second theme that emerged from the interviews was health benefits</w:t>
      </w:r>
      <w:r w:rsidR="006D7E4B" w:rsidRPr="00CA4ABC">
        <w:rPr>
          <w:rFonts w:cstheme="minorHAnsi"/>
          <w:color w:val="000000" w:themeColor="text1"/>
        </w:rPr>
        <w:t xml:space="preserve"> that did not link to muscle outcomes including psychological</w:t>
      </w:r>
      <w:r w:rsidRPr="00CA4ABC">
        <w:rPr>
          <w:rFonts w:cstheme="minorHAnsi"/>
          <w:color w:val="000000" w:themeColor="text1"/>
        </w:rPr>
        <w:t>.  Within this theme</w:t>
      </w:r>
      <w:r w:rsidR="00B0466E" w:rsidRPr="00CA4ABC">
        <w:rPr>
          <w:rFonts w:cstheme="minorHAnsi"/>
          <w:color w:val="000000" w:themeColor="text1"/>
        </w:rPr>
        <w:t>,</w:t>
      </w:r>
      <w:r w:rsidRPr="00CA4ABC">
        <w:rPr>
          <w:rFonts w:cstheme="minorHAnsi"/>
          <w:color w:val="000000" w:themeColor="text1"/>
        </w:rPr>
        <w:t xml:space="preserve"> there were 2 subthemes.  </w:t>
      </w:r>
    </w:p>
    <w:p w14:paraId="50AF4900" w14:textId="77777777" w:rsidR="004C12CF" w:rsidRPr="00CA4ABC" w:rsidRDefault="004C12CF" w:rsidP="004053D7">
      <w:pPr>
        <w:spacing w:line="360" w:lineRule="auto"/>
        <w:rPr>
          <w:rFonts w:cstheme="minorHAnsi"/>
          <w:color w:val="000000" w:themeColor="text1"/>
        </w:rPr>
      </w:pPr>
    </w:p>
    <w:p w14:paraId="6F9067FA" w14:textId="77777777" w:rsidR="004C12CF" w:rsidRPr="00CA4ABC" w:rsidRDefault="004C12CF">
      <w:pPr>
        <w:pStyle w:val="ListParagraph"/>
        <w:numPr>
          <w:ilvl w:val="0"/>
          <w:numId w:val="21"/>
        </w:numPr>
        <w:spacing w:line="360" w:lineRule="auto"/>
        <w:rPr>
          <w:rFonts w:cstheme="minorHAnsi"/>
          <w:color w:val="000000" w:themeColor="text1"/>
        </w:rPr>
      </w:pPr>
      <w:r w:rsidRPr="00CA4ABC">
        <w:rPr>
          <w:rFonts w:cstheme="minorHAnsi"/>
          <w:color w:val="000000" w:themeColor="text1"/>
        </w:rPr>
        <w:t>Mental health</w:t>
      </w:r>
    </w:p>
    <w:p w14:paraId="1FAA468A" w14:textId="30D502B5" w:rsidR="004C12CF" w:rsidRPr="00CA4ABC" w:rsidRDefault="004C12CF" w:rsidP="004053D7">
      <w:pPr>
        <w:spacing w:line="360" w:lineRule="auto"/>
        <w:rPr>
          <w:rFonts w:cstheme="minorHAnsi"/>
          <w:color w:val="000000" w:themeColor="text1"/>
        </w:rPr>
      </w:pPr>
      <w:r w:rsidRPr="00CA4ABC">
        <w:rPr>
          <w:rFonts w:cstheme="minorHAnsi"/>
          <w:color w:val="000000" w:themeColor="text1"/>
        </w:rPr>
        <w:lastRenderedPageBreak/>
        <w:t xml:space="preserve">A topic area which was frequently commented on by participants was in relation to how engaging in the exercise programme had positively affected their mental </w:t>
      </w:r>
      <w:r w:rsidR="000B3903" w:rsidRPr="00CA4ABC">
        <w:rPr>
          <w:rFonts w:cstheme="minorHAnsi"/>
          <w:color w:val="000000" w:themeColor="text1"/>
        </w:rPr>
        <w:t>well-being</w:t>
      </w:r>
      <w:r w:rsidRPr="00CA4ABC">
        <w:rPr>
          <w:rFonts w:cstheme="minorHAnsi"/>
          <w:color w:val="000000" w:themeColor="text1"/>
        </w:rPr>
        <w:t>.</w:t>
      </w:r>
      <w:r w:rsidR="00513358" w:rsidRPr="00CA4ABC">
        <w:rPr>
          <w:rFonts w:cstheme="minorHAnsi"/>
          <w:color w:val="000000" w:themeColor="text1"/>
        </w:rPr>
        <w:t xml:space="preserve"> </w:t>
      </w:r>
      <w:r w:rsidRPr="00CA4ABC">
        <w:rPr>
          <w:rFonts w:cstheme="minorHAnsi"/>
          <w:color w:val="000000" w:themeColor="text1"/>
        </w:rPr>
        <w:t>Participants often described feeling happy and enthusiastic after engaging in a</w:t>
      </w:r>
      <w:r w:rsidR="000B3903" w:rsidRPr="00CA4ABC">
        <w:rPr>
          <w:rFonts w:cstheme="minorHAnsi"/>
          <w:color w:val="000000" w:themeColor="text1"/>
        </w:rPr>
        <w:t>n</w:t>
      </w:r>
      <w:r w:rsidRPr="00CA4ABC">
        <w:rPr>
          <w:rFonts w:cstheme="minorHAnsi"/>
          <w:color w:val="000000" w:themeColor="text1"/>
        </w:rPr>
        <w:t xml:space="preserve"> exercise session. </w:t>
      </w:r>
    </w:p>
    <w:p w14:paraId="29E60B53" w14:textId="77777777" w:rsidR="00513358" w:rsidRPr="00CA4ABC" w:rsidRDefault="00513358" w:rsidP="004053D7">
      <w:pPr>
        <w:spacing w:line="360" w:lineRule="auto"/>
        <w:rPr>
          <w:rFonts w:cstheme="minorHAnsi"/>
          <w:color w:val="000000" w:themeColor="text1"/>
        </w:rPr>
      </w:pPr>
    </w:p>
    <w:p w14:paraId="6260E03E" w14:textId="77E5D56A"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“I felt great, it makes you feel quite gung-ho for the rest of the day. </w:t>
      </w:r>
      <w:r w:rsidRPr="00CA4ABC">
        <w:rPr>
          <w:rFonts w:cstheme="minorHAnsi"/>
          <w:color w:val="000000" w:themeColor="text1"/>
        </w:rPr>
        <w:t>It</w:t>
      </w:r>
      <w:r w:rsidRPr="00CA4ABC">
        <w:rPr>
          <w:rFonts w:cstheme="minorHAnsi"/>
          <w:i/>
          <w:iCs/>
          <w:color w:val="000000" w:themeColor="text1"/>
        </w:rPr>
        <w:t xml:space="preserve"> readjusts your mindset, especially on the morning ones” “I found that after I had done the class</w:t>
      </w:r>
      <w:r w:rsidR="000B3903" w:rsidRPr="00CA4ABC">
        <w:rPr>
          <w:rFonts w:cstheme="minorHAnsi"/>
          <w:i/>
          <w:iCs/>
          <w:color w:val="000000" w:themeColor="text1"/>
        </w:rPr>
        <w:t>,</w:t>
      </w:r>
      <w:r w:rsidRPr="00CA4ABC">
        <w:rPr>
          <w:rFonts w:cstheme="minorHAnsi"/>
          <w:i/>
          <w:iCs/>
          <w:color w:val="000000" w:themeColor="text1"/>
        </w:rPr>
        <w:t xml:space="preserve"> I felt quite exhilarated and I got on with the rest of my day in quite a positive way”</w:t>
      </w:r>
      <w:r w:rsidRPr="00CA4ABC">
        <w:rPr>
          <w:rFonts w:cstheme="minorHAnsi"/>
          <w:color w:val="000000" w:themeColor="text1"/>
        </w:rPr>
        <w:t xml:space="preserve">  (P103). </w:t>
      </w:r>
    </w:p>
    <w:p w14:paraId="398788A2" w14:textId="77777777" w:rsidR="004C12CF" w:rsidRPr="00CA4ABC" w:rsidRDefault="004C12CF" w:rsidP="004053D7">
      <w:pPr>
        <w:spacing w:line="360" w:lineRule="auto"/>
        <w:rPr>
          <w:rFonts w:cstheme="minorHAnsi"/>
          <w:color w:val="000000" w:themeColor="text1"/>
        </w:rPr>
      </w:pPr>
    </w:p>
    <w:p w14:paraId="1F918E16" w14:textId="47D48BC4"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This comment supports the idea that engaging in exercise can lead to productivity, rather than fatigue and tiredness, which has been stated as an off-putting factor and a barrier to exercise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{"citationItems":[{"id":"ITEM-1","itemData":{"DOI":"10.1186/S12889-022-13431-2/TABLES/5","ISSN":"14712458","PMID":"35614402","abstract":"Background: Physical inactivity and sedentary behaviour have detrimental consequences to the individual and the economy. Our study examined the prevalence of perceived barriers to physical activity in Singapore’s adult population and their associations with physical activity and sedentary behaviour. Methods: This cross-sectional analysis utilised data from a nationwide survey in Singapore. Participants (n = 2867) were recruited from February 2019 to March 2020. The independent variables were internal (e.g. fatigue, age) and external (e.g. weather, cost) perceived barriers to physical activity. The outcomes were domain-specific physical activity (work, transport and leisure) and sedentary behaviour, all of which were assessed using the Global Physical Activity Questionnaire. The associations were examined using zero-inflated negative binomial regressions for physical activity and linear regression for sedentary behaviour. Results: The median (Interquartile range) for work-related, transport-related and leisure-related physical activity were 0 (0 – 1440), 600 (160 – 1120) and 360 (0 – 1080) MET (metabolic equivalent)-minutes per week. The median sedentary behaviour (IQR) was 360 (240 – 540) minutes per day. The top three barriers were lack of time (65.3%), fatigue (64.7%) and pollution (56.1%). After adjustment, the level of transport-related physical activity was lower for respondents who cited lacking pavement or parks as a barrier, but higher for those who indicated cost and safety concerns. Respondents who reported pollution as a barrier were more likely to engage in transport-related physical activity. The level of leisure-related physical activity was lower for respondents indicating weather, lack of time and age as barriers, but higher for those reporting safety concerns. The odds of engaging in leisure-related physical activity was lower for those citing age, cost and fatigue as barriers, but higher for those indicating the weather. Sedentary behaviour was positively associated with work and limited accessibility to exercise facilities, but negatively with safety concerns. Conclusion: Individuals can be motivated to overcome internal barriers (fatigue, lack of time, cost and age) through social support and emphasis on exercise benefits. External barriers (weather and lack of pavements or parks) can be reduced by raising awareness of existing infrastructure. Sedentary behaviour can be improved by implementing workplace measures, such as reducing th…","author":[{"dropping-particle":"","family":"Koh","given":"Yen Sin","non-dropping-particle":"","parse-names":false,"suffix":""},{"dropping-particle":"V.","family":"Asharani","given":"P.","non-dropping-particle":"","parse-names":false,"suffix":""},{"dropping-particle":"","family":"Devi","given":"Fiona","non-dropping-particle":"","parse-names":false,"suffix":""},{"dropping-particle":"","family":"Roystonn","given":"Kumarasan","non-dropping-particle":"","parse-names":false,"suffix":""},{"dropping-particle":"","family":"Wang","given":"Peizhi","non-dropping-particle":"","parse-names":false,"suffix":""},{"dropping-particle":"","family":"Vaingankar","given":"Janhavi Ajit","non-dropping-particle":"","parse-names":false,"suffix":""},{"dropping-particle":"","family":"Abdin","given":"Edimansyah","non-dropping-particle":"","parse-names":false,"suffix":""},{"dropping-particle":"","family":"Sum","given":"Chee Fang","non-dropping-particle":"","parse-names":false,"suffix":""},{"dropping-particle":"","family":"Lee","given":"Eng Sing","non-dropping-particle":"","parse-names":false,"suffix":""},{"dropping-particle":"","family":"Müller-Riemenschneider","given":"Falk","non-dropping-particle":"","parse-names":false,"suffix":""},{"dropping-particle":"","family":"Chong","given":"Siow Ann","non-dropping-particle":"","parse-names":false,"suffix":""},{"dropping-particle":"","family":"Subramaniam","given":"Mythily","non-dropping-particle":"","parse-names":false,"suffix":""}],"container-title":"BMC Public Health","id":"ITEM-1","issue":"1","issued":{"date-parts":[["2022","12","1"]]},"page":"1-11","publisher":"BioMed Central Ltd","title":"A cross-sectional study on the perceived barriers to physical activity and their associations with domain-specific physical activity and sedentary behaviour","type":"article-journal","volume":"22"},"uris":["http://www.mendeley.com/documents/?uuid=c6cdc680-4fc3-34ce-9bd0-3546c209952b"]}],"mendeley":{"formattedCitation":"(283)","plainTextFormattedCitation":"(283)","previouslyFormattedCitation":"(283)"},"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(283)</w:t>
      </w:r>
      <w:r w:rsidRPr="00CA4ABC">
        <w:rPr>
          <w:rFonts w:cstheme="minorHAnsi"/>
          <w:color w:val="000000" w:themeColor="text1"/>
        </w:rPr>
        <w:fldChar w:fldCharType="end"/>
      </w:r>
      <w:r w:rsidRPr="00CA4ABC">
        <w:rPr>
          <w:rFonts w:cstheme="minorHAnsi"/>
          <w:color w:val="000000" w:themeColor="text1"/>
        </w:rPr>
        <w:t xml:space="preserve">.  </w:t>
      </w:r>
      <w:r w:rsidR="00F621AC" w:rsidRPr="00CA4ABC">
        <w:rPr>
          <w:rFonts w:cstheme="minorHAnsi"/>
          <w:color w:val="000000" w:themeColor="text1"/>
        </w:rPr>
        <w:t xml:space="preserve">It </w:t>
      </w:r>
      <w:r w:rsidRPr="00CA4ABC">
        <w:rPr>
          <w:rFonts w:cstheme="minorHAnsi"/>
          <w:color w:val="000000" w:themeColor="text1"/>
        </w:rPr>
        <w:t xml:space="preserve">also suggests that this participant </w:t>
      </w:r>
      <w:r w:rsidR="00F621AC" w:rsidRPr="00CA4ABC">
        <w:rPr>
          <w:rFonts w:cstheme="minorHAnsi"/>
          <w:color w:val="000000" w:themeColor="text1"/>
        </w:rPr>
        <w:t>found</w:t>
      </w:r>
      <w:r w:rsidRPr="00CA4ABC">
        <w:rPr>
          <w:rFonts w:cstheme="minorHAnsi"/>
          <w:color w:val="000000" w:themeColor="text1"/>
        </w:rPr>
        <w:t xml:space="preserve"> doing a class earlier in the day preferable</w:t>
      </w:r>
      <w:r w:rsidR="00B0466E" w:rsidRPr="00CA4ABC">
        <w:rPr>
          <w:rFonts w:cstheme="minorHAnsi"/>
          <w:color w:val="000000" w:themeColor="text1"/>
        </w:rPr>
        <w:t>. Overall, however</w:t>
      </w:r>
      <w:r w:rsidR="00404533" w:rsidRPr="00CA4ABC">
        <w:rPr>
          <w:rFonts w:cstheme="minorHAnsi"/>
          <w:color w:val="000000" w:themeColor="text1"/>
        </w:rPr>
        <w:t>, class time</w:t>
      </w:r>
      <w:r w:rsidRPr="00CA4ABC">
        <w:rPr>
          <w:rFonts w:cstheme="minorHAnsi"/>
          <w:color w:val="000000" w:themeColor="text1"/>
        </w:rPr>
        <w:t xml:space="preserve"> </w:t>
      </w:r>
      <w:r w:rsidR="00B0466E" w:rsidRPr="00CA4ABC">
        <w:rPr>
          <w:rFonts w:cstheme="minorHAnsi"/>
          <w:color w:val="000000" w:themeColor="text1"/>
        </w:rPr>
        <w:t>preferences</w:t>
      </w:r>
      <w:r w:rsidRPr="00CA4ABC">
        <w:rPr>
          <w:rFonts w:cstheme="minorHAnsi"/>
          <w:color w:val="000000" w:themeColor="text1"/>
        </w:rPr>
        <w:t xml:space="preserve"> vari</w:t>
      </w:r>
      <w:r w:rsidR="00B0466E" w:rsidRPr="00CA4ABC">
        <w:rPr>
          <w:rFonts w:cstheme="minorHAnsi"/>
          <w:color w:val="000000" w:themeColor="text1"/>
        </w:rPr>
        <w:t>ed</w:t>
      </w:r>
      <w:r w:rsidRPr="00CA4ABC">
        <w:rPr>
          <w:rFonts w:cstheme="minorHAnsi"/>
          <w:color w:val="000000" w:themeColor="text1"/>
        </w:rPr>
        <w:t xml:space="preserve"> </w:t>
      </w:r>
      <w:r w:rsidR="00B0466E" w:rsidRPr="00CA4ABC">
        <w:rPr>
          <w:rFonts w:cstheme="minorHAnsi"/>
          <w:color w:val="000000" w:themeColor="text1"/>
        </w:rPr>
        <w:t>between participants</w:t>
      </w:r>
      <w:r w:rsidR="00404533" w:rsidRPr="00CA4ABC">
        <w:rPr>
          <w:rFonts w:cstheme="minorHAnsi"/>
          <w:color w:val="000000" w:themeColor="text1"/>
        </w:rPr>
        <w:t>,</w:t>
      </w:r>
      <w:r w:rsidR="00F621AC" w:rsidRPr="00CA4ABC">
        <w:rPr>
          <w:rFonts w:cstheme="minorHAnsi"/>
          <w:color w:val="000000" w:themeColor="text1"/>
        </w:rPr>
        <w:t xml:space="preserve"> </w:t>
      </w:r>
      <w:r w:rsidRPr="00CA4ABC">
        <w:rPr>
          <w:rFonts w:cstheme="minorHAnsi"/>
          <w:color w:val="000000" w:themeColor="text1"/>
        </w:rPr>
        <w:t xml:space="preserve">and </w:t>
      </w:r>
      <w:r w:rsidR="00B0466E" w:rsidRPr="00CA4ABC">
        <w:rPr>
          <w:rFonts w:cstheme="minorHAnsi"/>
          <w:color w:val="000000" w:themeColor="text1"/>
        </w:rPr>
        <w:t xml:space="preserve">this </w:t>
      </w:r>
      <w:r w:rsidRPr="00CA4ABC">
        <w:rPr>
          <w:rFonts w:cstheme="minorHAnsi"/>
          <w:color w:val="000000" w:themeColor="text1"/>
        </w:rPr>
        <w:t>will be explored further in theme 3 (subtheme</w:t>
      </w:r>
      <w:r w:rsidR="00404533" w:rsidRPr="00CA4ABC">
        <w:rPr>
          <w:rFonts w:cstheme="minorHAnsi"/>
          <w:color w:val="000000" w:themeColor="text1"/>
        </w:rPr>
        <w:t>:</w:t>
      </w:r>
      <w:r w:rsidRPr="00CA4ABC">
        <w:rPr>
          <w:rFonts w:cstheme="minorHAnsi"/>
          <w:color w:val="000000" w:themeColor="text1"/>
        </w:rPr>
        <w:t xml:space="preserve"> facilitators to exercise). In total, comments linked to feeling “</w:t>
      </w:r>
      <w:r w:rsidRPr="00CA4ABC">
        <w:rPr>
          <w:rFonts w:cstheme="minorHAnsi"/>
          <w:i/>
          <w:iCs/>
          <w:color w:val="000000" w:themeColor="text1"/>
        </w:rPr>
        <w:t>better</w:t>
      </w:r>
      <w:r w:rsidRPr="00CA4ABC">
        <w:rPr>
          <w:rFonts w:cstheme="minorHAnsi"/>
          <w:color w:val="000000" w:themeColor="text1"/>
        </w:rPr>
        <w:t xml:space="preserve">” after completing an exercise session were raised by </w:t>
      </w:r>
      <w:r w:rsidR="00F621AC" w:rsidRPr="00CA4ABC">
        <w:rPr>
          <w:rFonts w:cstheme="minorHAnsi"/>
          <w:color w:val="000000" w:themeColor="text1"/>
        </w:rPr>
        <w:t>four out of the eleven p</w:t>
      </w:r>
      <w:r w:rsidRPr="00CA4ABC">
        <w:rPr>
          <w:rFonts w:cstheme="minorHAnsi"/>
          <w:color w:val="000000" w:themeColor="text1"/>
        </w:rPr>
        <w:t xml:space="preserve">articipants </w:t>
      </w:r>
      <w:r w:rsidR="00F621AC" w:rsidRPr="00CA4ABC">
        <w:rPr>
          <w:rFonts w:cstheme="minorHAnsi"/>
          <w:color w:val="000000" w:themeColor="text1"/>
        </w:rPr>
        <w:t>(P</w:t>
      </w:r>
      <w:r w:rsidRPr="00CA4ABC">
        <w:rPr>
          <w:rFonts w:cstheme="minorHAnsi"/>
          <w:color w:val="000000" w:themeColor="text1"/>
        </w:rPr>
        <w:t>110, 104, 108, 107.</w:t>
      </w:r>
      <w:r w:rsidR="00F621AC" w:rsidRPr="00CA4ABC">
        <w:rPr>
          <w:rFonts w:cstheme="minorHAnsi"/>
          <w:color w:val="000000" w:themeColor="text1"/>
        </w:rPr>
        <w:t>)</w:t>
      </w:r>
    </w:p>
    <w:p w14:paraId="2E04B6AA" w14:textId="77777777" w:rsidR="004C12CF" w:rsidRPr="00CA4ABC" w:rsidRDefault="004C12CF" w:rsidP="004053D7">
      <w:pPr>
        <w:spacing w:line="360" w:lineRule="auto"/>
        <w:rPr>
          <w:rFonts w:cstheme="minorHAnsi"/>
          <w:color w:val="000000" w:themeColor="text1"/>
        </w:rPr>
      </w:pPr>
    </w:p>
    <w:p w14:paraId="05E054FA" w14:textId="7B6F4CE5" w:rsidR="004C12CF" w:rsidRPr="00CA4ABC" w:rsidRDefault="004C12CF" w:rsidP="004053D7">
      <w:pPr>
        <w:spacing w:line="360" w:lineRule="auto"/>
        <w:rPr>
          <w:rFonts w:cstheme="minorHAnsi"/>
          <w:color w:val="000000" w:themeColor="text1"/>
        </w:rPr>
      </w:pPr>
      <w:r w:rsidRPr="00CA4ABC">
        <w:rPr>
          <w:rFonts w:cstheme="minorHAnsi"/>
          <w:color w:val="000000" w:themeColor="text1"/>
        </w:rPr>
        <w:t>On top of reflections about acute positive feelings following a workout, some participants also suggested that the programme</w:t>
      </w:r>
      <w:r w:rsidR="000B3903" w:rsidRPr="00CA4ABC">
        <w:rPr>
          <w:rFonts w:cstheme="minorHAnsi"/>
          <w:color w:val="000000" w:themeColor="text1"/>
        </w:rPr>
        <w:t>,</w:t>
      </w:r>
      <w:r w:rsidRPr="00CA4ABC">
        <w:rPr>
          <w:rFonts w:cstheme="minorHAnsi"/>
          <w:color w:val="000000" w:themeColor="text1"/>
        </w:rPr>
        <w:t xml:space="preserve"> in general, led to longer-term mental health changes. </w:t>
      </w:r>
    </w:p>
    <w:p w14:paraId="0A28BDA9" w14:textId="77777777" w:rsidR="004C12CF" w:rsidRPr="00CA4ABC" w:rsidRDefault="004C12CF" w:rsidP="004053D7">
      <w:pPr>
        <w:spacing w:line="360" w:lineRule="auto"/>
        <w:rPr>
          <w:rFonts w:cstheme="minorHAnsi"/>
          <w:color w:val="000000" w:themeColor="text1"/>
        </w:rPr>
      </w:pPr>
    </w:p>
    <w:p w14:paraId="5800B0C5"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It [the programme] has really helped me mentally and physically”</w:t>
      </w:r>
      <w:r w:rsidRPr="00CA4ABC">
        <w:rPr>
          <w:rFonts w:cstheme="minorHAnsi"/>
          <w:color w:val="000000" w:themeColor="text1"/>
        </w:rPr>
        <w:t xml:space="preserve"> (P108).</w:t>
      </w:r>
    </w:p>
    <w:p w14:paraId="2D8A4E22" w14:textId="77777777"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 xml:space="preserve"> “</w:t>
      </w:r>
      <w:r w:rsidRPr="00CA4ABC">
        <w:rPr>
          <w:rFonts w:cstheme="minorHAnsi"/>
          <w:i/>
          <w:iCs/>
          <w:color w:val="000000" w:themeColor="text1"/>
        </w:rPr>
        <w:t>Yes I am happy, it [my mindset] has improved” (P104)</w:t>
      </w:r>
    </w:p>
    <w:p w14:paraId="27F7A564" w14:textId="60DB2652"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 xml:space="preserve"> “The main feeling is that I feel better in myself, so I guess that</w:t>
      </w:r>
      <w:r w:rsidR="00404533" w:rsidRPr="00CA4ABC">
        <w:rPr>
          <w:rFonts w:cstheme="minorHAnsi"/>
          <w:i/>
          <w:iCs/>
          <w:color w:val="000000" w:themeColor="text1"/>
        </w:rPr>
        <w:t>’s</w:t>
      </w:r>
      <w:r w:rsidRPr="00CA4ABC">
        <w:rPr>
          <w:rFonts w:cstheme="minorHAnsi"/>
          <w:i/>
          <w:iCs/>
          <w:color w:val="000000" w:themeColor="text1"/>
        </w:rPr>
        <w:t xml:space="preserve"> a happier feeling” (P112).</w:t>
      </w:r>
    </w:p>
    <w:p w14:paraId="6290B52F" w14:textId="77777777" w:rsidR="004C12CF" w:rsidRPr="00CA4ABC" w:rsidRDefault="004C12CF" w:rsidP="004053D7">
      <w:pPr>
        <w:spacing w:line="360" w:lineRule="auto"/>
        <w:rPr>
          <w:rFonts w:cstheme="minorHAnsi"/>
          <w:color w:val="000000" w:themeColor="text1"/>
        </w:rPr>
      </w:pPr>
    </w:p>
    <w:p w14:paraId="6483AD54" w14:textId="0A870CA9" w:rsidR="004C12CF" w:rsidRPr="00CA4ABC" w:rsidRDefault="004C12CF" w:rsidP="004053D7">
      <w:pPr>
        <w:spacing w:line="360" w:lineRule="auto"/>
        <w:rPr>
          <w:rFonts w:cstheme="minorHAnsi"/>
          <w:color w:val="000000" w:themeColor="text1"/>
        </w:rPr>
      </w:pPr>
      <w:r w:rsidRPr="00CA4ABC">
        <w:rPr>
          <w:rFonts w:cstheme="minorHAnsi"/>
          <w:color w:val="000000" w:themeColor="text1"/>
        </w:rPr>
        <w:t>Participants also expressed feelings of satisfaction and self-respect after a workout session:</w:t>
      </w:r>
    </w:p>
    <w:p w14:paraId="2A9D66E1" w14:textId="77777777" w:rsidR="004C12CF" w:rsidRPr="00CA4ABC" w:rsidRDefault="004C12CF" w:rsidP="004053D7">
      <w:pPr>
        <w:spacing w:line="360" w:lineRule="auto"/>
        <w:rPr>
          <w:rFonts w:cstheme="minorHAnsi"/>
          <w:color w:val="000000" w:themeColor="text1"/>
        </w:rPr>
      </w:pPr>
    </w:p>
    <w:p w14:paraId="738086C6" w14:textId="77777777"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w:t>
      </w:r>
      <w:r w:rsidRPr="00CA4ABC">
        <w:rPr>
          <w:rFonts w:cstheme="minorHAnsi"/>
          <w:i/>
          <w:iCs/>
          <w:color w:val="000000" w:themeColor="text1"/>
        </w:rPr>
        <w:t>there was a little bit of, oh, give yourself a brownie point.” (</w:t>
      </w:r>
      <w:r w:rsidRPr="00CA4ABC">
        <w:rPr>
          <w:rFonts w:cstheme="minorHAnsi"/>
          <w:color w:val="000000" w:themeColor="text1"/>
        </w:rPr>
        <w:t>P113).</w:t>
      </w:r>
      <w:r w:rsidRPr="00CA4ABC">
        <w:rPr>
          <w:rFonts w:cstheme="minorHAnsi"/>
          <w:i/>
          <w:iCs/>
          <w:color w:val="000000" w:themeColor="text1"/>
        </w:rPr>
        <w:t xml:space="preserve"> </w:t>
      </w:r>
    </w:p>
    <w:p w14:paraId="24BF4D3F"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felt good about myself for doing it”(</w:t>
      </w:r>
      <w:r w:rsidRPr="00CA4ABC">
        <w:rPr>
          <w:rFonts w:cstheme="minorHAnsi"/>
          <w:color w:val="000000" w:themeColor="text1"/>
        </w:rPr>
        <w:t>P112.)</w:t>
      </w:r>
    </w:p>
    <w:p w14:paraId="5A033257" w14:textId="77777777" w:rsidR="004C12CF" w:rsidRPr="00CA4ABC" w:rsidRDefault="004C12CF" w:rsidP="004053D7">
      <w:pPr>
        <w:spacing w:line="360" w:lineRule="auto"/>
        <w:rPr>
          <w:rFonts w:cstheme="minorHAnsi"/>
          <w:i/>
          <w:iCs/>
          <w:color w:val="000000" w:themeColor="text1"/>
        </w:rPr>
      </w:pPr>
    </w:p>
    <w:p w14:paraId="47AF263F"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In addition to pride, comments relating to self-image were also made:</w:t>
      </w:r>
    </w:p>
    <w:p w14:paraId="255B1548"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p>
    <w:p w14:paraId="324C2F31" w14:textId="6318A590"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felt less self-conscious”.(</w:t>
      </w:r>
      <w:r w:rsidR="005B1798">
        <w:rPr>
          <w:rFonts w:cstheme="minorHAnsi"/>
          <w:i/>
          <w:iCs/>
          <w:color w:val="000000" w:themeColor="text1"/>
        </w:rPr>
        <w:t>P</w:t>
      </w:r>
      <w:r w:rsidRPr="00CA4ABC">
        <w:rPr>
          <w:rFonts w:cstheme="minorHAnsi"/>
          <w:i/>
          <w:iCs/>
          <w:color w:val="000000" w:themeColor="text1"/>
        </w:rPr>
        <w:t>109).</w:t>
      </w:r>
    </w:p>
    <w:p w14:paraId="2FBB41F2" w14:textId="77777777" w:rsidR="004C12CF" w:rsidRPr="00CA4ABC" w:rsidRDefault="004C12CF" w:rsidP="004053D7">
      <w:pPr>
        <w:spacing w:line="360" w:lineRule="auto"/>
        <w:rPr>
          <w:rFonts w:cstheme="minorHAnsi"/>
          <w:color w:val="000000" w:themeColor="text1"/>
        </w:rPr>
      </w:pPr>
    </w:p>
    <w:p w14:paraId="3DDD9DE8" w14:textId="0C55DD2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Statements like these </w:t>
      </w:r>
      <w:r w:rsidR="006A10C9" w:rsidRPr="00CA4ABC">
        <w:rPr>
          <w:rFonts w:cstheme="minorHAnsi"/>
          <w:color w:val="000000" w:themeColor="text1"/>
        </w:rPr>
        <w:t>c</w:t>
      </w:r>
      <w:r w:rsidRPr="00CA4ABC">
        <w:rPr>
          <w:rFonts w:cstheme="minorHAnsi"/>
          <w:color w:val="000000" w:themeColor="text1"/>
        </w:rPr>
        <w:t>ould be reinforcers to drive long-term adherence if they can be harnessed</w:t>
      </w:r>
      <w:r w:rsidR="00F621AC" w:rsidRPr="00CA4ABC">
        <w:rPr>
          <w:rFonts w:cstheme="minorHAnsi"/>
          <w:color w:val="000000" w:themeColor="text1"/>
        </w:rPr>
        <w:t xml:space="preserve">. It is possible </w:t>
      </w:r>
      <w:r w:rsidRPr="00CA4ABC">
        <w:rPr>
          <w:rFonts w:cstheme="minorHAnsi"/>
          <w:color w:val="000000" w:themeColor="text1"/>
        </w:rPr>
        <w:t xml:space="preserve">individuals may want to repeatedly seek out experiencing positive emotions and feelings. </w:t>
      </w:r>
    </w:p>
    <w:p w14:paraId="79FFA193" w14:textId="77777777" w:rsidR="004C12CF" w:rsidRPr="00CA4ABC" w:rsidRDefault="004C12CF" w:rsidP="004053D7">
      <w:pPr>
        <w:spacing w:line="360" w:lineRule="auto"/>
        <w:rPr>
          <w:rFonts w:cstheme="minorHAnsi"/>
          <w:color w:val="000000" w:themeColor="text1"/>
        </w:rPr>
      </w:pPr>
    </w:p>
    <w:p w14:paraId="5EE66B81"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still feel happy that I have done it and I felt good after doing it because you do feel good, don’t you, when you’ve done some exercise.”(P112)</w:t>
      </w:r>
      <w:r w:rsidRPr="00CA4ABC">
        <w:rPr>
          <w:rFonts w:cstheme="minorHAnsi"/>
          <w:color w:val="000000" w:themeColor="text1"/>
        </w:rPr>
        <w:t xml:space="preserve"> </w:t>
      </w:r>
    </w:p>
    <w:p w14:paraId="48B70B4E" w14:textId="77777777" w:rsidR="004C12CF" w:rsidRPr="00CA4ABC" w:rsidRDefault="004C12CF" w:rsidP="004053D7">
      <w:pPr>
        <w:spacing w:line="360" w:lineRule="auto"/>
        <w:rPr>
          <w:rFonts w:cstheme="minorHAnsi"/>
          <w:color w:val="000000" w:themeColor="text1"/>
        </w:rPr>
      </w:pPr>
    </w:p>
    <w:p w14:paraId="31398834" w14:textId="760181EA" w:rsidR="004C12CF" w:rsidRPr="00CA4ABC" w:rsidRDefault="004C12CF" w:rsidP="004053D7">
      <w:pPr>
        <w:spacing w:line="360" w:lineRule="auto"/>
        <w:rPr>
          <w:rFonts w:cstheme="minorHAnsi"/>
          <w:color w:val="000000" w:themeColor="text1"/>
        </w:rPr>
      </w:pPr>
      <w:r w:rsidRPr="00CA4ABC">
        <w:rPr>
          <w:rFonts w:cstheme="minorHAnsi"/>
          <w:color w:val="000000" w:themeColor="text1"/>
        </w:rPr>
        <w:t>The latter half of this quote, alongside other comments raised by participant</w:t>
      </w:r>
      <w:r w:rsidR="00164116" w:rsidRPr="00CA4ABC">
        <w:rPr>
          <w:rFonts w:cstheme="minorHAnsi"/>
          <w:color w:val="000000" w:themeColor="text1"/>
        </w:rPr>
        <w:t>s,</w:t>
      </w:r>
      <w:r w:rsidRPr="00CA4ABC">
        <w:rPr>
          <w:rFonts w:cstheme="minorHAnsi"/>
          <w:color w:val="000000" w:themeColor="text1"/>
        </w:rPr>
        <w:t xml:space="preserve"> appeared to demonstrate that many of them were aware of the effect of engaging in exercise, </w:t>
      </w:r>
      <w:r w:rsidR="006457F9" w:rsidRPr="00CA4ABC">
        <w:rPr>
          <w:rFonts w:cstheme="minorHAnsi"/>
          <w:color w:val="000000" w:themeColor="text1"/>
        </w:rPr>
        <w:t>before</w:t>
      </w:r>
      <w:r w:rsidRPr="00CA4ABC">
        <w:rPr>
          <w:rFonts w:cstheme="minorHAnsi"/>
          <w:color w:val="000000" w:themeColor="text1"/>
        </w:rPr>
        <w:t xml:space="preserve"> engaging with the trial. </w:t>
      </w:r>
    </w:p>
    <w:p w14:paraId="072AF6B4" w14:textId="77777777" w:rsidR="004C12CF" w:rsidRPr="00CA4ABC" w:rsidRDefault="004C12CF" w:rsidP="004053D7">
      <w:pPr>
        <w:spacing w:line="360" w:lineRule="auto"/>
        <w:rPr>
          <w:rFonts w:cstheme="minorHAnsi"/>
          <w:color w:val="000000" w:themeColor="text1"/>
        </w:rPr>
      </w:pPr>
    </w:p>
    <w:p w14:paraId="164719A1" w14:textId="3CA80A30"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w:t>
      </w:r>
      <w:r w:rsidRPr="00CA4ABC">
        <w:rPr>
          <w:rFonts w:cstheme="minorHAnsi"/>
          <w:i/>
          <w:iCs/>
          <w:color w:val="000000" w:themeColor="text1"/>
        </w:rPr>
        <w:t>I think</w:t>
      </w:r>
      <w:r w:rsidR="00F621AC" w:rsidRPr="00CA4ABC">
        <w:rPr>
          <w:rFonts w:cstheme="minorHAnsi"/>
          <w:i/>
          <w:iCs/>
          <w:color w:val="000000" w:themeColor="text1"/>
        </w:rPr>
        <w:t>,</w:t>
      </w:r>
      <w:r w:rsidRPr="00CA4ABC">
        <w:rPr>
          <w:rFonts w:cstheme="minorHAnsi"/>
          <w:i/>
          <w:iCs/>
          <w:color w:val="000000" w:themeColor="text1"/>
        </w:rPr>
        <w:t xml:space="preserve"> generally</w:t>
      </w:r>
      <w:r w:rsidR="00F621AC" w:rsidRPr="00CA4ABC">
        <w:rPr>
          <w:rFonts w:cstheme="minorHAnsi"/>
          <w:i/>
          <w:iCs/>
          <w:color w:val="000000" w:themeColor="text1"/>
        </w:rPr>
        <w:t>,</w:t>
      </w:r>
      <w:r w:rsidR="00164116" w:rsidRPr="00CA4ABC">
        <w:rPr>
          <w:rFonts w:cstheme="minorHAnsi"/>
          <w:i/>
          <w:iCs/>
          <w:color w:val="000000" w:themeColor="text1"/>
        </w:rPr>
        <w:t xml:space="preserve"> </w:t>
      </w:r>
      <w:r w:rsidRPr="00CA4ABC">
        <w:rPr>
          <w:rFonts w:cstheme="minorHAnsi"/>
          <w:i/>
          <w:iCs/>
          <w:color w:val="000000" w:themeColor="text1"/>
        </w:rPr>
        <w:t>if I do do exercise</w:t>
      </w:r>
      <w:r w:rsidR="00F621AC" w:rsidRPr="00CA4ABC">
        <w:rPr>
          <w:rFonts w:cstheme="minorHAnsi"/>
          <w:i/>
          <w:iCs/>
          <w:color w:val="000000" w:themeColor="text1"/>
        </w:rPr>
        <w:t>,</w:t>
      </w:r>
      <w:r w:rsidRPr="00CA4ABC">
        <w:rPr>
          <w:rFonts w:cstheme="minorHAnsi"/>
          <w:i/>
          <w:iCs/>
          <w:color w:val="000000" w:themeColor="text1"/>
        </w:rPr>
        <w:t xml:space="preserve"> </w:t>
      </w:r>
      <w:r w:rsidR="00F621AC" w:rsidRPr="00CA4ABC">
        <w:rPr>
          <w:rFonts w:cstheme="minorHAnsi"/>
          <w:i/>
          <w:iCs/>
          <w:color w:val="000000" w:themeColor="text1"/>
        </w:rPr>
        <w:t>t</w:t>
      </w:r>
      <w:r w:rsidRPr="00CA4ABC">
        <w:rPr>
          <w:rFonts w:cstheme="minorHAnsi"/>
          <w:i/>
          <w:iCs/>
          <w:color w:val="000000" w:themeColor="text1"/>
        </w:rPr>
        <w:t>hen I do feel better” (P110</w:t>
      </w:r>
      <w:r w:rsidR="00575B04">
        <w:rPr>
          <w:rFonts w:cstheme="minorHAnsi"/>
          <w:i/>
          <w:iCs/>
          <w:color w:val="000000" w:themeColor="text1"/>
        </w:rPr>
        <w:t>.</w:t>
      </w:r>
      <w:r w:rsidRPr="00CA4ABC">
        <w:rPr>
          <w:rFonts w:cstheme="minorHAnsi"/>
          <w:i/>
          <w:iCs/>
          <w:color w:val="000000" w:themeColor="text1"/>
        </w:rPr>
        <w:t>)</w:t>
      </w:r>
    </w:p>
    <w:p w14:paraId="40AEFED8" w14:textId="533881A5"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 xml:space="preserve"> “</w:t>
      </w:r>
      <w:r w:rsidR="00575B04">
        <w:rPr>
          <w:rFonts w:cstheme="minorHAnsi"/>
          <w:i/>
          <w:iCs/>
          <w:color w:val="000000" w:themeColor="text1"/>
        </w:rPr>
        <w:t>E</w:t>
      </w:r>
      <w:r w:rsidRPr="00CA4ABC">
        <w:rPr>
          <w:rFonts w:cstheme="minorHAnsi"/>
          <w:i/>
          <w:iCs/>
          <w:color w:val="000000" w:themeColor="text1"/>
        </w:rPr>
        <w:t>xercise is always good for you and I always feel mentally better after having done some physical exercise”(P113</w:t>
      </w:r>
      <w:r w:rsidR="00575B04">
        <w:rPr>
          <w:rFonts w:cstheme="minorHAnsi"/>
          <w:i/>
          <w:iCs/>
          <w:color w:val="000000" w:themeColor="text1"/>
        </w:rPr>
        <w:t>.</w:t>
      </w:r>
      <w:r w:rsidRPr="00CA4ABC">
        <w:rPr>
          <w:rFonts w:cstheme="minorHAnsi"/>
          <w:i/>
          <w:iCs/>
          <w:color w:val="000000" w:themeColor="text1"/>
        </w:rPr>
        <w:t>)</w:t>
      </w:r>
    </w:p>
    <w:p w14:paraId="147377A4" w14:textId="77777777" w:rsidR="004C12CF" w:rsidRPr="00CA4ABC" w:rsidRDefault="004C12CF" w:rsidP="004053D7">
      <w:pPr>
        <w:spacing w:line="360" w:lineRule="auto"/>
        <w:rPr>
          <w:rFonts w:cstheme="minorHAnsi"/>
          <w:i/>
          <w:iCs/>
          <w:color w:val="000000" w:themeColor="text1"/>
        </w:rPr>
      </w:pPr>
    </w:p>
    <w:p w14:paraId="2CC199E2" w14:textId="354CE3D5"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This may not be reflective of a less aware audience and is a consideration to make when trying to promote the research and engage a harder to reach </w:t>
      </w:r>
      <w:r w:rsidR="00F621AC" w:rsidRPr="00CA4ABC">
        <w:rPr>
          <w:rFonts w:cstheme="minorHAnsi"/>
          <w:color w:val="000000" w:themeColor="text1"/>
        </w:rPr>
        <w:t>population</w:t>
      </w:r>
      <w:r w:rsidRPr="00CA4ABC">
        <w:rPr>
          <w:rFonts w:cstheme="minorHAnsi"/>
          <w:color w:val="000000" w:themeColor="text1"/>
        </w:rPr>
        <w:t xml:space="preserve"> – a concept that will be considered in greater depth in theme 3.  </w:t>
      </w:r>
    </w:p>
    <w:p w14:paraId="1A393BA3" w14:textId="77777777" w:rsidR="004C12CF" w:rsidRPr="00CA4ABC" w:rsidRDefault="004C12CF" w:rsidP="004053D7">
      <w:pPr>
        <w:spacing w:line="360" w:lineRule="auto"/>
        <w:rPr>
          <w:rFonts w:cstheme="minorHAnsi"/>
          <w:color w:val="000000" w:themeColor="text1"/>
        </w:rPr>
      </w:pPr>
    </w:p>
    <w:p w14:paraId="55E5565A" w14:textId="44724418" w:rsidR="004C12CF" w:rsidRPr="00CA4ABC" w:rsidRDefault="004C12CF">
      <w:pPr>
        <w:pStyle w:val="ListParagraph"/>
        <w:numPr>
          <w:ilvl w:val="0"/>
          <w:numId w:val="21"/>
        </w:numPr>
        <w:spacing w:line="360" w:lineRule="auto"/>
        <w:rPr>
          <w:rFonts w:cstheme="minorHAnsi"/>
          <w:color w:val="000000" w:themeColor="text1"/>
        </w:rPr>
      </w:pPr>
      <w:r w:rsidRPr="00CA4ABC">
        <w:rPr>
          <w:rFonts w:cstheme="minorHAnsi"/>
          <w:color w:val="000000" w:themeColor="text1"/>
        </w:rPr>
        <w:t xml:space="preserve"> continuation after</w:t>
      </w:r>
      <w:r w:rsidR="00DE3D0C" w:rsidRPr="00CA4ABC">
        <w:rPr>
          <w:rFonts w:cstheme="minorHAnsi"/>
          <w:color w:val="000000" w:themeColor="text1"/>
        </w:rPr>
        <w:t xml:space="preserve"> the</w:t>
      </w:r>
      <w:r w:rsidRPr="00CA4ABC">
        <w:rPr>
          <w:rFonts w:cstheme="minorHAnsi"/>
          <w:color w:val="000000" w:themeColor="text1"/>
        </w:rPr>
        <w:t xml:space="preserve"> six</w:t>
      </w:r>
      <w:r w:rsidR="00DE3D0C" w:rsidRPr="00CA4ABC">
        <w:rPr>
          <w:rFonts w:cstheme="minorHAnsi"/>
          <w:color w:val="000000" w:themeColor="text1"/>
        </w:rPr>
        <w:t>-</w:t>
      </w:r>
      <w:r w:rsidRPr="00CA4ABC">
        <w:rPr>
          <w:rFonts w:cstheme="minorHAnsi"/>
          <w:color w:val="000000" w:themeColor="text1"/>
        </w:rPr>
        <w:t>week trial had finished.</w:t>
      </w:r>
    </w:p>
    <w:p w14:paraId="5A2EA578" w14:textId="5C317850"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Leading on from this, it was raised by participants that they </w:t>
      </w:r>
      <w:r w:rsidR="006A10C9" w:rsidRPr="00CA4ABC">
        <w:rPr>
          <w:rFonts w:cstheme="minorHAnsi"/>
          <w:color w:val="000000" w:themeColor="text1"/>
        </w:rPr>
        <w:t>had intention</w:t>
      </w:r>
      <w:r w:rsidR="00575B04">
        <w:rPr>
          <w:rFonts w:cstheme="minorHAnsi"/>
          <w:color w:val="000000" w:themeColor="text1"/>
        </w:rPr>
        <w:t>s</w:t>
      </w:r>
      <w:r w:rsidRPr="00CA4ABC">
        <w:rPr>
          <w:rFonts w:cstheme="minorHAnsi"/>
          <w:color w:val="000000" w:themeColor="text1"/>
        </w:rPr>
        <w:t xml:space="preserve"> to continue to use their bands </w:t>
      </w:r>
      <w:r w:rsidR="006A10C9" w:rsidRPr="00CA4ABC">
        <w:rPr>
          <w:rFonts w:cstheme="minorHAnsi"/>
          <w:color w:val="000000" w:themeColor="text1"/>
        </w:rPr>
        <w:t>after</w:t>
      </w:r>
      <w:r w:rsidRPr="00CA4ABC">
        <w:rPr>
          <w:rFonts w:cstheme="minorHAnsi"/>
          <w:color w:val="000000" w:themeColor="text1"/>
        </w:rPr>
        <w:t xml:space="preserve"> the trial </w:t>
      </w:r>
      <w:r w:rsidR="006A10C9" w:rsidRPr="00CA4ABC">
        <w:rPr>
          <w:rFonts w:cstheme="minorHAnsi"/>
          <w:color w:val="000000" w:themeColor="text1"/>
        </w:rPr>
        <w:t>ended</w:t>
      </w:r>
      <w:r w:rsidRPr="00CA4ABC">
        <w:rPr>
          <w:rFonts w:cstheme="minorHAnsi"/>
          <w:color w:val="000000" w:themeColor="text1"/>
        </w:rPr>
        <w:t xml:space="preserve">. In total, </w:t>
      </w:r>
      <w:r w:rsidR="006A10C9" w:rsidRPr="00CA4ABC">
        <w:rPr>
          <w:rFonts w:cstheme="minorHAnsi"/>
          <w:color w:val="000000" w:themeColor="text1"/>
        </w:rPr>
        <w:t>ten</w:t>
      </w:r>
      <w:r w:rsidRPr="00CA4ABC">
        <w:rPr>
          <w:rFonts w:cstheme="minorHAnsi"/>
          <w:color w:val="000000" w:themeColor="text1"/>
        </w:rPr>
        <w:t xml:space="preserve"> participants indicated that they had intentions of continuing to use the bands.</w:t>
      </w:r>
    </w:p>
    <w:p w14:paraId="4A8EC037" w14:textId="77777777" w:rsidR="004C12CF" w:rsidRPr="00CA4ABC" w:rsidRDefault="004C12CF" w:rsidP="004053D7">
      <w:pPr>
        <w:spacing w:line="360" w:lineRule="auto"/>
        <w:rPr>
          <w:rFonts w:cstheme="minorHAnsi"/>
          <w:color w:val="000000" w:themeColor="text1"/>
        </w:rPr>
      </w:pPr>
    </w:p>
    <w:p w14:paraId="6170CCBA"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“I’m definitely going to keep up with the resistance bands for now”</w:t>
      </w:r>
      <w:r w:rsidRPr="00CA4ABC">
        <w:rPr>
          <w:rFonts w:cstheme="minorHAnsi"/>
          <w:color w:val="000000" w:themeColor="text1"/>
        </w:rPr>
        <w:t xml:space="preserve"> (P108)</w:t>
      </w:r>
    </w:p>
    <w:p w14:paraId="3F6AF81A"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“I’ll definitely be using the bands because I really enjoyed using them” (P103)</w:t>
      </w:r>
    </w:p>
    <w:p w14:paraId="05BCD2F1" w14:textId="77777777" w:rsidR="004C12CF" w:rsidRPr="00CA4ABC" w:rsidRDefault="004C12CF" w:rsidP="004053D7">
      <w:pPr>
        <w:spacing w:line="360" w:lineRule="auto"/>
        <w:rPr>
          <w:rFonts w:cstheme="minorHAnsi"/>
          <w:i/>
          <w:iCs/>
          <w:color w:val="000000" w:themeColor="text1"/>
        </w:rPr>
      </w:pPr>
    </w:p>
    <w:p w14:paraId="37F524B1" w14:textId="4EA8B120"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 xml:space="preserve">It was agreed that a </w:t>
      </w:r>
      <w:r w:rsidR="00DE3D0C" w:rsidRPr="00CA4ABC">
        <w:rPr>
          <w:rFonts w:cstheme="minorHAnsi"/>
          <w:color w:val="000000" w:themeColor="text1"/>
        </w:rPr>
        <w:t>G</w:t>
      </w:r>
      <w:r w:rsidRPr="00CA4ABC">
        <w:rPr>
          <w:rFonts w:cstheme="minorHAnsi"/>
          <w:color w:val="000000" w:themeColor="text1"/>
        </w:rPr>
        <w:t>oogle</w:t>
      </w:r>
      <w:r w:rsidR="00DE3D0C" w:rsidRPr="00CA4ABC">
        <w:rPr>
          <w:rFonts w:cstheme="minorHAnsi"/>
          <w:color w:val="000000" w:themeColor="text1"/>
        </w:rPr>
        <w:t xml:space="preserve"> D</w:t>
      </w:r>
      <w:r w:rsidRPr="00CA4ABC">
        <w:rPr>
          <w:rFonts w:cstheme="minorHAnsi"/>
          <w:color w:val="000000" w:themeColor="text1"/>
        </w:rPr>
        <w:t>rive file would be shared with all participants after the cessation of the trial so they would still have access to the video resources. Many participants expressed a</w:t>
      </w:r>
      <w:r w:rsidR="00DE3D0C" w:rsidRPr="00CA4ABC">
        <w:rPr>
          <w:rFonts w:cstheme="minorHAnsi"/>
          <w:color w:val="000000" w:themeColor="text1"/>
        </w:rPr>
        <w:t>n</w:t>
      </w:r>
      <w:r w:rsidRPr="00CA4ABC">
        <w:rPr>
          <w:rFonts w:cstheme="minorHAnsi"/>
          <w:color w:val="000000" w:themeColor="text1"/>
        </w:rPr>
        <w:t xml:space="preserve"> interest in this provision</w:t>
      </w:r>
      <w:r w:rsidRPr="00CA4ABC">
        <w:rPr>
          <w:rFonts w:cstheme="minorHAnsi"/>
          <w:i/>
          <w:iCs/>
          <w:color w:val="000000" w:themeColor="text1"/>
        </w:rPr>
        <w:t>.</w:t>
      </w:r>
    </w:p>
    <w:p w14:paraId="528D7C88" w14:textId="77777777" w:rsidR="004C12CF" w:rsidRPr="00CA4ABC" w:rsidRDefault="004C12CF" w:rsidP="004053D7">
      <w:pPr>
        <w:spacing w:line="360" w:lineRule="auto"/>
        <w:rPr>
          <w:rFonts w:cstheme="minorHAnsi"/>
          <w:i/>
          <w:iCs/>
          <w:color w:val="000000" w:themeColor="text1"/>
        </w:rPr>
      </w:pPr>
    </w:p>
    <w:p w14:paraId="18EF4C45"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lastRenderedPageBreak/>
        <w:t xml:space="preserve"> “It would be useful to have access to the videos because I think that is more motivational than actually picking them up and using the chart. That would definitely help”</w:t>
      </w:r>
      <w:r w:rsidRPr="00CA4ABC">
        <w:rPr>
          <w:rFonts w:cstheme="minorHAnsi"/>
          <w:color w:val="000000" w:themeColor="text1"/>
        </w:rPr>
        <w:t xml:space="preserve"> (P113.) </w:t>
      </w:r>
    </w:p>
    <w:p w14:paraId="2F4DA4E5" w14:textId="18E7ECD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“Having the videos would be so helpful</w:t>
      </w:r>
      <w:r w:rsidR="00C52AD9" w:rsidRPr="00CA4ABC">
        <w:rPr>
          <w:rFonts w:cstheme="minorHAnsi"/>
          <w:i/>
          <w:iCs/>
          <w:color w:val="000000" w:themeColor="text1"/>
        </w:rPr>
        <w:t xml:space="preserve">” </w:t>
      </w:r>
      <w:r w:rsidRPr="00CA4ABC">
        <w:rPr>
          <w:rFonts w:cstheme="minorHAnsi"/>
          <w:color w:val="000000" w:themeColor="text1"/>
        </w:rPr>
        <w:t xml:space="preserve">(P106.) </w:t>
      </w:r>
    </w:p>
    <w:p w14:paraId="50BBB703" w14:textId="77777777" w:rsidR="004C12CF" w:rsidRPr="00CA4ABC" w:rsidRDefault="004C12CF" w:rsidP="004053D7">
      <w:pPr>
        <w:spacing w:line="360" w:lineRule="auto"/>
        <w:rPr>
          <w:rFonts w:cstheme="minorHAnsi"/>
          <w:i/>
          <w:iCs/>
          <w:color w:val="000000" w:themeColor="text1"/>
        </w:rPr>
      </w:pPr>
    </w:p>
    <w:p w14:paraId="4C68D56A" w14:textId="38A002E0"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Some participants even expressed an interest in further videos/workouts if they were able to be available: </w:t>
      </w:r>
    </w:p>
    <w:p w14:paraId="6CD02FDA" w14:textId="77777777"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w:t>
      </w:r>
      <w:r w:rsidRPr="00CA4ABC">
        <w:rPr>
          <w:rFonts w:cstheme="minorHAnsi"/>
          <w:i/>
          <w:iCs/>
          <w:color w:val="000000" w:themeColor="text1"/>
        </w:rPr>
        <w:t xml:space="preserve">I hope you go on and do something more permanent for us.”(P103) </w:t>
      </w:r>
    </w:p>
    <w:p w14:paraId="09C8B110" w14:textId="77777777"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 xml:space="preserve"> “I would like to see a class that is available online doing resistance band work” ”even if you’ve got a [youtube] channel I can subscribe to so I can get hold of them” (P108)</w:t>
      </w:r>
    </w:p>
    <w:p w14:paraId="733D77D2" w14:textId="77777777" w:rsidR="004C12CF" w:rsidRPr="00CA4ABC" w:rsidRDefault="004C12CF" w:rsidP="004053D7">
      <w:pPr>
        <w:spacing w:line="360" w:lineRule="auto"/>
        <w:rPr>
          <w:rFonts w:cstheme="minorHAnsi"/>
          <w:color w:val="000000" w:themeColor="text1"/>
        </w:rPr>
      </w:pPr>
    </w:p>
    <w:p w14:paraId="182A984C"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Alternatively, some individuals believed engaging in the trial gave them the tools and knowledge to effectively work out and they now felt equipped to be able to self-direct their workouts, using the resistance bands:</w:t>
      </w:r>
    </w:p>
    <w:p w14:paraId="35214964" w14:textId="77777777" w:rsidR="004C12CF" w:rsidRPr="00CA4ABC" w:rsidRDefault="004C12CF" w:rsidP="004053D7">
      <w:pPr>
        <w:spacing w:line="360" w:lineRule="auto"/>
        <w:rPr>
          <w:rFonts w:cstheme="minorHAnsi"/>
          <w:color w:val="000000" w:themeColor="text1"/>
        </w:rPr>
      </w:pPr>
    </w:p>
    <w:p w14:paraId="59095A7E"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“It has given me more ideas of stuff I can do as well in the future definitely”</w:t>
      </w:r>
      <w:r w:rsidRPr="00CA4ABC">
        <w:rPr>
          <w:rFonts w:cstheme="minorHAnsi"/>
          <w:color w:val="000000" w:themeColor="text1"/>
        </w:rPr>
        <w:t xml:space="preserve"> (P105)</w:t>
      </w:r>
    </w:p>
    <w:p w14:paraId="56E17375" w14:textId="77777777"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w:t>
      </w:r>
      <w:r w:rsidRPr="00CA4ABC">
        <w:rPr>
          <w:rFonts w:cstheme="minorHAnsi"/>
          <w:i/>
          <w:iCs/>
          <w:color w:val="000000" w:themeColor="text1"/>
        </w:rPr>
        <w:t xml:space="preserve">It feels like I will probably injure myself less” (P110). </w:t>
      </w:r>
    </w:p>
    <w:p w14:paraId="2217279F" w14:textId="77777777" w:rsidR="004C12CF" w:rsidRPr="00CA4ABC" w:rsidRDefault="004C12CF" w:rsidP="004053D7">
      <w:pPr>
        <w:spacing w:line="360" w:lineRule="auto"/>
        <w:rPr>
          <w:rFonts w:cstheme="minorHAnsi"/>
          <w:i/>
          <w:iCs/>
          <w:color w:val="000000" w:themeColor="text1"/>
        </w:rPr>
      </w:pPr>
    </w:p>
    <w:p w14:paraId="6D57C99D" w14:textId="4CBC137A" w:rsidR="004C12CF" w:rsidRPr="00CA4ABC" w:rsidRDefault="00164116" w:rsidP="004053D7">
      <w:pPr>
        <w:spacing w:line="360" w:lineRule="auto"/>
        <w:rPr>
          <w:rFonts w:cstheme="minorHAnsi"/>
          <w:color w:val="000000" w:themeColor="text1"/>
        </w:rPr>
      </w:pPr>
      <w:r w:rsidRPr="00CA4ABC">
        <w:rPr>
          <w:rFonts w:cstheme="minorHAnsi"/>
          <w:color w:val="000000" w:themeColor="text1"/>
        </w:rPr>
        <w:t>Participants</w:t>
      </w:r>
      <w:r w:rsidR="004C12CF" w:rsidRPr="00CA4ABC">
        <w:rPr>
          <w:rFonts w:cstheme="minorHAnsi"/>
          <w:color w:val="000000" w:themeColor="text1"/>
        </w:rPr>
        <w:t xml:space="preserve"> were able to keep their bands after the cessation of the trial</w:t>
      </w:r>
      <w:r w:rsidR="006A10C9" w:rsidRPr="00CA4ABC">
        <w:rPr>
          <w:rFonts w:cstheme="minorHAnsi"/>
          <w:color w:val="000000" w:themeColor="text1"/>
        </w:rPr>
        <w:t>,</w:t>
      </w:r>
      <w:r w:rsidR="004C12CF" w:rsidRPr="00CA4ABC">
        <w:rPr>
          <w:rFonts w:cstheme="minorHAnsi"/>
          <w:color w:val="000000" w:themeColor="text1"/>
        </w:rPr>
        <w:t xml:space="preserve"> and comments such as these </w:t>
      </w:r>
      <w:r w:rsidR="006A10C9" w:rsidRPr="00CA4ABC">
        <w:rPr>
          <w:rFonts w:cstheme="minorHAnsi"/>
          <w:color w:val="000000" w:themeColor="text1"/>
        </w:rPr>
        <w:t>support the resistance band’s acceptability and support their use moving forward</w:t>
      </w:r>
      <w:r w:rsidR="00513358" w:rsidRPr="00CA4ABC">
        <w:rPr>
          <w:rFonts w:cstheme="minorHAnsi"/>
          <w:color w:val="000000" w:themeColor="text1"/>
        </w:rPr>
        <w:t>.</w:t>
      </w:r>
    </w:p>
    <w:p w14:paraId="5BDE777B" w14:textId="77777777" w:rsidR="004C12CF" w:rsidRPr="00CA4ABC" w:rsidRDefault="004C12CF" w:rsidP="004053D7">
      <w:pPr>
        <w:spacing w:line="360" w:lineRule="auto"/>
        <w:rPr>
          <w:rFonts w:cstheme="minorHAnsi"/>
          <w:color w:val="000000" w:themeColor="text1"/>
        </w:rPr>
      </w:pPr>
    </w:p>
    <w:p w14:paraId="009A95CF" w14:textId="6D9B1494" w:rsidR="004C12CF" w:rsidRPr="00CA4ABC" w:rsidRDefault="004C12CF" w:rsidP="004053D7">
      <w:pPr>
        <w:spacing w:line="360" w:lineRule="auto"/>
        <w:rPr>
          <w:rFonts w:cstheme="minorHAnsi"/>
          <w:color w:val="000000" w:themeColor="text1"/>
        </w:rPr>
      </w:pPr>
      <w:r w:rsidRPr="00CA4ABC">
        <w:rPr>
          <w:rFonts w:cstheme="minorHAnsi"/>
          <w:color w:val="000000" w:themeColor="text1"/>
        </w:rPr>
        <w:t>Overall, Theme 2 demonstrated that participants felt an overall sense of improved well-being and suggest that factors other than muscle parameters may have been improved</w:t>
      </w:r>
      <w:r w:rsidR="00513358" w:rsidRPr="00CA4ABC">
        <w:rPr>
          <w:rFonts w:cstheme="minorHAnsi"/>
          <w:color w:val="000000" w:themeColor="text1"/>
        </w:rPr>
        <w:t>,</w:t>
      </w:r>
      <w:r w:rsidRPr="00CA4ABC">
        <w:rPr>
          <w:rFonts w:cstheme="minorHAnsi"/>
          <w:color w:val="000000" w:themeColor="text1"/>
        </w:rPr>
        <w:t xml:space="preserve"> indirectly</w:t>
      </w:r>
      <w:r w:rsidR="00513358" w:rsidRPr="00CA4ABC">
        <w:rPr>
          <w:rFonts w:cstheme="minorHAnsi"/>
          <w:color w:val="000000" w:themeColor="text1"/>
        </w:rPr>
        <w:t>,</w:t>
      </w:r>
      <w:r w:rsidRPr="00CA4ABC">
        <w:rPr>
          <w:rFonts w:cstheme="minorHAnsi"/>
          <w:color w:val="000000" w:themeColor="text1"/>
        </w:rPr>
        <w:t xml:space="preserve"> by engaging in the trial. It has also been suggested that positive psychological and mental health sensations could be an enhancer for promoting </w:t>
      </w:r>
      <w:r w:rsidR="002C64C5" w:rsidRPr="00CA4ABC">
        <w:rPr>
          <w:rFonts w:cstheme="minorHAnsi"/>
          <w:color w:val="000000" w:themeColor="text1"/>
        </w:rPr>
        <w:t xml:space="preserve">the </w:t>
      </w:r>
      <w:r w:rsidRPr="00CA4ABC">
        <w:rPr>
          <w:rFonts w:cstheme="minorHAnsi"/>
          <w:color w:val="000000" w:themeColor="text1"/>
        </w:rPr>
        <w:t>enjoyment of well-being and a driver for continued engagement in exercise. Moreover, providing individuals with</w:t>
      </w:r>
      <w:r w:rsidR="002C64C5" w:rsidRPr="00CA4ABC">
        <w:rPr>
          <w:rFonts w:cstheme="minorHAnsi"/>
          <w:color w:val="000000" w:themeColor="text1"/>
        </w:rPr>
        <w:t xml:space="preserve"> affordable</w:t>
      </w:r>
      <w:r w:rsidRPr="00CA4ABC">
        <w:rPr>
          <w:rFonts w:cstheme="minorHAnsi"/>
          <w:color w:val="000000" w:themeColor="text1"/>
        </w:rPr>
        <w:t xml:space="preserve"> </w:t>
      </w:r>
      <w:r w:rsidR="002C64C5" w:rsidRPr="00CA4ABC">
        <w:rPr>
          <w:rFonts w:cstheme="minorHAnsi"/>
          <w:color w:val="000000" w:themeColor="text1"/>
        </w:rPr>
        <w:t>opportunities to</w:t>
      </w:r>
      <w:r w:rsidRPr="00CA4ABC">
        <w:rPr>
          <w:rFonts w:cstheme="minorHAnsi"/>
          <w:color w:val="000000" w:themeColor="text1"/>
        </w:rPr>
        <w:t xml:space="preserve"> exercise may also enhance </w:t>
      </w:r>
      <w:r w:rsidR="002C64C5" w:rsidRPr="00CA4ABC">
        <w:rPr>
          <w:rFonts w:cstheme="minorHAnsi"/>
          <w:color w:val="000000" w:themeColor="text1"/>
        </w:rPr>
        <w:t>their</w:t>
      </w:r>
      <w:r w:rsidRPr="00CA4ABC">
        <w:rPr>
          <w:rFonts w:cstheme="minorHAnsi"/>
          <w:color w:val="000000" w:themeColor="text1"/>
        </w:rPr>
        <w:t xml:space="preserve"> long-term adherence.</w:t>
      </w:r>
    </w:p>
    <w:p w14:paraId="4571DDCC" w14:textId="77777777" w:rsidR="004C12CF" w:rsidRPr="00CA4ABC" w:rsidRDefault="004C12CF" w:rsidP="004053D7">
      <w:pPr>
        <w:spacing w:line="360" w:lineRule="auto"/>
        <w:rPr>
          <w:rFonts w:cstheme="minorHAnsi"/>
          <w:color w:val="000000" w:themeColor="text1"/>
        </w:rPr>
      </w:pPr>
    </w:p>
    <w:p w14:paraId="3C56AC69" w14:textId="115318A7" w:rsidR="004C12CF" w:rsidRPr="00CA4ABC" w:rsidRDefault="004C12CF" w:rsidP="004053D7">
      <w:pPr>
        <w:pStyle w:val="Heading3"/>
        <w:spacing w:line="360" w:lineRule="auto"/>
        <w:rPr>
          <w:rFonts w:asciiTheme="minorHAnsi" w:hAnsiTheme="minorHAnsi" w:cstheme="minorHAnsi"/>
          <w:color w:val="000000" w:themeColor="text1"/>
        </w:rPr>
      </w:pPr>
      <w:bookmarkStart w:id="353" w:name="_Toc135384387"/>
      <w:r w:rsidRPr="00CA4ABC">
        <w:rPr>
          <w:rFonts w:asciiTheme="minorHAnsi" w:hAnsiTheme="minorHAnsi" w:cstheme="minorHAnsi"/>
          <w:color w:val="000000" w:themeColor="text1"/>
        </w:rPr>
        <w:t xml:space="preserve">5.3.4.3 Theme 3: Factors that </w:t>
      </w:r>
      <w:r w:rsidR="00F621AC" w:rsidRPr="00CA4ABC">
        <w:rPr>
          <w:rFonts w:asciiTheme="minorHAnsi" w:hAnsiTheme="minorHAnsi" w:cstheme="minorHAnsi"/>
          <w:color w:val="000000" w:themeColor="text1"/>
        </w:rPr>
        <w:t>i</w:t>
      </w:r>
      <w:r w:rsidRPr="00CA4ABC">
        <w:rPr>
          <w:rFonts w:asciiTheme="minorHAnsi" w:hAnsiTheme="minorHAnsi" w:cstheme="minorHAnsi"/>
          <w:color w:val="000000" w:themeColor="text1"/>
        </w:rPr>
        <w:t>nfluenced engagement</w:t>
      </w:r>
      <w:bookmarkEnd w:id="353"/>
    </w:p>
    <w:p w14:paraId="6420FA28" w14:textId="34CFD6AA" w:rsidR="004C12CF" w:rsidRPr="00CA4ABC" w:rsidRDefault="00357DD3" w:rsidP="004053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theme="minorHAnsi"/>
          <w:color w:val="000000" w:themeColor="text1"/>
        </w:rPr>
      </w:pPr>
      <w:r w:rsidRPr="00CA4ABC">
        <w:rPr>
          <w:rFonts w:cstheme="minorHAnsi"/>
          <w:color w:val="000000" w:themeColor="text1"/>
        </w:rPr>
        <w:tab/>
      </w:r>
      <w:r w:rsidR="004C12CF" w:rsidRPr="00CA4ABC">
        <w:rPr>
          <w:rFonts w:cstheme="minorHAnsi"/>
          <w:color w:val="000000" w:themeColor="text1"/>
        </w:rPr>
        <w:t xml:space="preserve">This theme will be two-fold when exploring factors that influenced engagement. Firstly, it will address what influenced the participants to volunteer for the trial in the first place. Secondly, all participants </w:t>
      </w:r>
      <w:r w:rsidR="006A10C9" w:rsidRPr="00CA4ABC">
        <w:rPr>
          <w:rFonts w:cstheme="minorHAnsi"/>
          <w:color w:val="000000" w:themeColor="text1"/>
        </w:rPr>
        <w:t>remained</w:t>
      </w:r>
      <w:r w:rsidR="004C12CF" w:rsidRPr="00CA4ABC">
        <w:rPr>
          <w:rFonts w:cstheme="minorHAnsi"/>
          <w:color w:val="000000" w:themeColor="text1"/>
        </w:rPr>
        <w:t xml:space="preserve"> engage</w:t>
      </w:r>
      <w:r w:rsidR="006A10C9" w:rsidRPr="00CA4ABC">
        <w:rPr>
          <w:rFonts w:cstheme="minorHAnsi"/>
          <w:color w:val="000000" w:themeColor="text1"/>
        </w:rPr>
        <w:t>d</w:t>
      </w:r>
      <w:r w:rsidR="004C12CF" w:rsidRPr="00CA4ABC">
        <w:rPr>
          <w:rFonts w:cstheme="minorHAnsi"/>
          <w:color w:val="000000" w:themeColor="text1"/>
        </w:rPr>
        <w:t xml:space="preserve"> </w:t>
      </w:r>
      <w:r w:rsidR="006A10C9" w:rsidRPr="00CA4ABC">
        <w:rPr>
          <w:rFonts w:cstheme="minorHAnsi"/>
          <w:color w:val="000000" w:themeColor="text1"/>
        </w:rPr>
        <w:t>with</w:t>
      </w:r>
      <w:r w:rsidR="004C12CF" w:rsidRPr="00CA4ABC">
        <w:rPr>
          <w:rFonts w:cstheme="minorHAnsi"/>
          <w:color w:val="000000" w:themeColor="text1"/>
        </w:rPr>
        <w:t xml:space="preserve"> the trial </w:t>
      </w:r>
      <w:r w:rsidR="006A10C9" w:rsidRPr="00CA4ABC">
        <w:rPr>
          <w:rFonts w:cstheme="minorHAnsi"/>
          <w:color w:val="000000" w:themeColor="text1"/>
        </w:rPr>
        <w:t>and</w:t>
      </w:r>
      <w:r w:rsidR="004C12CF" w:rsidRPr="00CA4ABC">
        <w:rPr>
          <w:rFonts w:cstheme="minorHAnsi"/>
          <w:color w:val="000000" w:themeColor="text1"/>
        </w:rPr>
        <w:t xml:space="preserve"> no dropouts occurr</w:t>
      </w:r>
      <w:r w:rsidR="006A10C9" w:rsidRPr="00CA4ABC">
        <w:rPr>
          <w:rFonts w:cstheme="minorHAnsi"/>
          <w:color w:val="000000" w:themeColor="text1"/>
        </w:rPr>
        <w:t>ed</w:t>
      </w:r>
      <w:r w:rsidR="004C12CF" w:rsidRPr="00CA4ABC">
        <w:rPr>
          <w:rFonts w:cstheme="minorHAnsi"/>
          <w:color w:val="000000" w:themeColor="text1"/>
        </w:rPr>
        <w:t xml:space="preserve"> </w:t>
      </w:r>
      <w:r w:rsidR="004C12CF" w:rsidRPr="00CA4ABC">
        <w:rPr>
          <w:rFonts w:cstheme="minorHAnsi"/>
          <w:color w:val="000000" w:themeColor="text1"/>
        </w:rPr>
        <w:lastRenderedPageBreak/>
        <w:t xml:space="preserve">during the intervention. </w:t>
      </w:r>
      <w:r w:rsidR="00DE3D0C" w:rsidRPr="00CA4ABC">
        <w:rPr>
          <w:rFonts w:cstheme="minorHAnsi"/>
          <w:color w:val="000000"/>
          <w:shd w:val="clear" w:color="auto" w:fill="FFFFFF"/>
        </w:rPr>
        <w:t xml:space="preserve">As such, the features that encouraged continued trial participation will also be outlined. </w:t>
      </w:r>
      <w:r w:rsidR="004C12CF" w:rsidRPr="00CA4ABC">
        <w:rPr>
          <w:rFonts w:cstheme="minorHAnsi"/>
          <w:color w:val="000000" w:themeColor="text1"/>
        </w:rPr>
        <w:t xml:space="preserve">Understanding facilitators to engagement will be advantageous </w:t>
      </w:r>
      <w:r w:rsidR="006A10C9" w:rsidRPr="00CA4ABC">
        <w:rPr>
          <w:rFonts w:cstheme="minorHAnsi"/>
          <w:color w:val="000000" w:themeColor="text1"/>
        </w:rPr>
        <w:t xml:space="preserve">for </w:t>
      </w:r>
      <w:r w:rsidR="00520B69" w:rsidRPr="00CA4ABC">
        <w:rPr>
          <w:rFonts w:cstheme="minorHAnsi"/>
          <w:color w:val="000000" w:themeColor="text1"/>
        </w:rPr>
        <w:t>achieving</w:t>
      </w:r>
      <w:r w:rsidR="006A10C9" w:rsidRPr="00CA4ABC">
        <w:rPr>
          <w:rFonts w:cstheme="minorHAnsi"/>
          <w:color w:val="000000" w:themeColor="text1"/>
        </w:rPr>
        <w:t xml:space="preserve"> </w:t>
      </w:r>
      <w:r w:rsidR="004C12CF" w:rsidRPr="00CA4ABC">
        <w:rPr>
          <w:rFonts w:cstheme="minorHAnsi"/>
          <w:color w:val="000000" w:themeColor="text1"/>
        </w:rPr>
        <w:t>high</w:t>
      </w:r>
      <w:r w:rsidR="006A10C9" w:rsidRPr="00CA4ABC">
        <w:rPr>
          <w:rFonts w:cstheme="minorHAnsi"/>
          <w:color w:val="000000" w:themeColor="text1"/>
        </w:rPr>
        <w:t>er</w:t>
      </w:r>
      <w:r w:rsidR="004C12CF" w:rsidRPr="00CA4ABC">
        <w:rPr>
          <w:rFonts w:cstheme="minorHAnsi"/>
          <w:color w:val="000000" w:themeColor="text1"/>
        </w:rPr>
        <w:t xml:space="preserve"> levels of adherence </w:t>
      </w:r>
      <w:r w:rsidR="00520B69" w:rsidRPr="00CA4ABC">
        <w:rPr>
          <w:rFonts w:cstheme="minorHAnsi"/>
          <w:color w:val="000000" w:themeColor="text1"/>
        </w:rPr>
        <w:t>in future, larger-scale trials</w:t>
      </w:r>
      <w:r w:rsidR="004C12CF" w:rsidRPr="00CA4ABC">
        <w:rPr>
          <w:rFonts w:cstheme="minorHAnsi"/>
          <w:color w:val="000000" w:themeColor="text1"/>
        </w:rPr>
        <w:t xml:space="preserve">. </w:t>
      </w:r>
      <w:r w:rsidR="00DE3D0C" w:rsidRPr="00CA4ABC">
        <w:rPr>
          <w:rFonts w:cstheme="minorHAnsi"/>
          <w:color w:val="000000"/>
          <w:shd w:val="clear" w:color="auto" w:fill="FFFFFF"/>
        </w:rPr>
        <w:t xml:space="preserve">However, it is important to remember that the characteristics of the participants likely influenced their decisions to engage in the trial and their continued participation, so this will also be addressed. </w:t>
      </w:r>
      <w:r w:rsidR="00DE3D0C" w:rsidRPr="00CA4ABC">
        <w:rPr>
          <w:rFonts w:cstheme="minorHAnsi"/>
          <w:color w:val="000000" w:themeColor="text1"/>
        </w:rPr>
        <w:t>S</w:t>
      </w:r>
      <w:r w:rsidR="004C12CF" w:rsidRPr="00CA4ABC">
        <w:rPr>
          <w:rFonts w:cstheme="minorHAnsi"/>
          <w:color w:val="000000" w:themeColor="text1"/>
        </w:rPr>
        <w:t>even sub-themes</w:t>
      </w:r>
      <w:r w:rsidR="00F621AC" w:rsidRPr="00CA4ABC">
        <w:rPr>
          <w:rFonts w:cstheme="minorHAnsi"/>
          <w:color w:val="000000" w:themeColor="text1"/>
        </w:rPr>
        <w:t>, split across the two categories,</w:t>
      </w:r>
      <w:r w:rsidR="004C12CF" w:rsidRPr="00CA4ABC">
        <w:rPr>
          <w:rFonts w:cstheme="minorHAnsi"/>
          <w:color w:val="000000" w:themeColor="text1"/>
        </w:rPr>
        <w:t xml:space="preserve"> will </w:t>
      </w:r>
      <w:r w:rsidR="004C2989" w:rsidRPr="00CA4ABC">
        <w:rPr>
          <w:rFonts w:cstheme="minorHAnsi"/>
          <w:color w:val="000000" w:themeColor="text1"/>
        </w:rPr>
        <w:t>break down</w:t>
      </w:r>
      <w:r w:rsidR="004C12CF" w:rsidRPr="00CA4ABC">
        <w:rPr>
          <w:rFonts w:cstheme="minorHAnsi"/>
          <w:color w:val="000000" w:themeColor="text1"/>
        </w:rPr>
        <w:t xml:space="preserve"> this large, overarching theme. Subthemes include: decisions behind trial engagement, participant’s characteristics, worrying/fear about</w:t>
      </w:r>
      <w:r w:rsidR="00DE3D0C" w:rsidRPr="00CA4ABC">
        <w:rPr>
          <w:rFonts w:cstheme="minorHAnsi"/>
          <w:color w:val="000000" w:themeColor="text1"/>
        </w:rPr>
        <w:t xml:space="preserve"> the</w:t>
      </w:r>
      <w:r w:rsidR="004C12CF" w:rsidRPr="00CA4ABC">
        <w:rPr>
          <w:rFonts w:cstheme="minorHAnsi"/>
          <w:color w:val="000000" w:themeColor="text1"/>
        </w:rPr>
        <w:t xml:space="preserve"> ageing process and menopause, </w:t>
      </w:r>
      <w:r w:rsidR="004C2989" w:rsidRPr="00CA4ABC">
        <w:rPr>
          <w:rFonts w:cstheme="minorHAnsi"/>
          <w:color w:val="000000" w:themeColor="text1"/>
        </w:rPr>
        <w:t>i</w:t>
      </w:r>
      <w:r w:rsidR="004C12CF" w:rsidRPr="00CA4ABC">
        <w:rPr>
          <w:rFonts w:cstheme="minorHAnsi"/>
          <w:color w:val="000000" w:themeColor="text1"/>
        </w:rPr>
        <w:t>nstructor</w:t>
      </w:r>
      <w:r w:rsidR="004C2989" w:rsidRPr="00CA4ABC">
        <w:rPr>
          <w:rFonts w:cstheme="minorHAnsi"/>
          <w:color w:val="000000" w:themeColor="text1"/>
        </w:rPr>
        <w:t>-</w:t>
      </w:r>
      <w:r w:rsidR="004C12CF" w:rsidRPr="00CA4ABC">
        <w:rPr>
          <w:rFonts w:cstheme="minorHAnsi"/>
          <w:color w:val="000000" w:themeColor="text1"/>
        </w:rPr>
        <w:t xml:space="preserve">led sessions, the effect of engaging in a research project </w:t>
      </w:r>
      <w:r w:rsidR="001829C5" w:rsidRPr="00CA4ABC">
        <w:rPr>
          <w:rFonts w:cstheme="minorHAnsi"/>
          <w:color w:val="000000" w:themeColor="text1"/>
        </w:rPr>
        <w:t xml:space="preserve">and </w:t>
      </w:r>
      <w:r w:rsidR="004C12CF" w:rsidRPr="00CA4ABC">
        <w:rPr>
          <w:rFonts w:cstheme="minorHAnsi"/>
          <w:color w:val="000000" w:themeColor="text1"/>
        </w:rPr>
        <w:t>overcoming barriers to exercise.</w:t>
      </w:r>
    </w:p>
    <w:p w14:paraId="6029AB58" w14:textId="476C7738" w:rsidR="004C12CF" w:rsidRPr="00CA4ABC" w:rsidRDefault="004C12CF" w:rsidP="004053D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theme="minorHAnsi"/>
          <w:color w:val="000000" w:themeColor="text1"/>
        </w:rPr>
      </w:pPr>
    </w:p>
    <w:p w14:paraId="0B4B8302" w14:textId="22611E76" w:rsidR="00F621AC" w:rsidRPr="00CA4ABC" w:rsidRDefault="00F621AC" w:rsidP="00F621AC">
      <w:pPr>
        <w:tabs>
          <w:tab w:val="left" w:pos="2267"/>
        </w:tabs>
        <w:spacing w:line="360" w:lineRule="auto"/>
        <w:rPr>
          <w:rFonts w:cstheme="minorHAnsi"/>
          <w:i/>
          <w:iCs/>
          <w:color w:val="000000" w:themeColor="text1"/>
        </w:rPr>
      </w:pPr>
      <w:r w:rsidRPr="00CA4ABC">
        <w:rPr>
          <w:rFonts w:cstheme="minorHAnsi"/>
          <w:i/>
          <w:iCs/>
          <w:color w:val="000000" w:themeColor="text1"/>
        </w:rPr>
        <w:t>Decisions behind initial trial engagement:</w:t>
      </w:r>
    </w:p>
    <w:p w14:paraId="272681BA" w14:textId="2E0AE0A3" w:rsidR="00F621AC" w:rsidRPr="00CA4ABC" w:rsidRDefault="00F621AC" w:rsidP="00F621AC">
      <w:pPr>
        <w:pStyle w:val="ListParagraph"/>
        <w:numPr>
          <w:ilvl w:val="1"/>
          <w:numId w:val="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theme="minorHAnsi"/>
          <w:color w:val="000000" w:themeColor="text1"/>
        </w:rPr>
      </w:pPr>
      <w:r w:rsidRPr="00CA4ABC">
        <w:rPr>
          <w:rFonts w:cstheme="minorHAnsi"/>
          <w:color w:val="000000" w:themeColor="text1"/>
        </w:rPr>
        <w:t>Covid</w:t>
      </w:r>
      <w:r w:rsidR="00DE3D0C" w:rsidRPr="00CA4ABC">
        <w:rPr>
          <w:rFonts w:cstheme="minorHAnsi"/>
          <w:color w:val="000000" w:themeColor="text1"/>
        </w:rPr>
        <w:t>-</w:t>
      </w:r>
      <w:r w:rsidRPr="00CA4ABC">
        <w:rPr>
          <w:rFonts w:cstheme="minorHAnsi"/>
          <w:color w:val="000000" w:themeColor="text1"/>
        </w:rPr>
        <w:t>related factors</w:t>
      </w:r>
    </w:p>
    <w:p w14:paraId="2AC7D50B" w14:textId="6D3BFB19"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Participants were asked to explain their </w:t>
      </w:r>
      <w:r w:rsidR="00C52AD9" w:rsidRPr="00CA4ABC">
        <w:rPr>
          <w:rFonts w:cstheme="minorHAnsi"/>
          <w:color w:val="000000" w:themeColor="text1"/>
        </w:rPr>
        <w:t>reasons</w:t>
      </w:r>
      <w:r w:rsidRPr="00CA4ABC">
        <w:rPr>
          <w:rFonts w:cstheme="minorHAnsi"/>
          <w:color w:val="000000" w:themeColor="text1"/>
        </w:rPr>
        <w:t xml:space="preserve"> for engaging in the trial. </w:t>
      </w:r>
    </w:p>
    <w:p w14:paraId="4F44DA17" w14:textId="6D09D4C2"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One strong moti</w:t>
      </w:r>
      <w:r w:rsidR="00F621AC" w:rsidRPr="00CA4ABC">
        <w:rPr>
          <w:rFonts w:cstheme="minorHAnsi"/>
          <w:color w:val="000000" w:themeColor="text1"/>
        </w:rPr>
        <w:t>ve</w:t>
      </w:r>
      <w:r w:rsidRPr="00CA4ABC">
        <w:rPr>
          <w:rFonts w:cstheme="minorHAnsi"/>
          <w:color w:val="000000" w:themeColor="text1"/>
        </w:rPr>
        <w:t xml:space="preserve"> was the impact of COVID-19, lockdown, working from home and</w:t>
      </w:r>
      <w:r w:rsidR="001829C5" w:rsidRPr="00CA4ABC">
        <w:rPr>
          <w:rFonts w:cstheme="minorHAnsi"/>
          <w:color w:val="000000" w:themeColor="text1"/>
        </w:rPr>
        <w:t>,</w:t>
      </w:r>
      <w:r w:rsidRPr="00CA4ABC">
        <w:rPr>
          <w:rFonts w:cstheme="minorHAnsi"/>
          <w:color w:val="000000" w:themeColor="text1"/>
        </w:rPr>
        <w:t xml:space="preserve"> consequentially the impact this had on activity levels and fitness.</w:t>
      </w:r>
    </w:p>
    <w:p w14:paraId="1F6F8F0E" w14:textId="257CF17E" w:rsidR="004C12CF" w:rsidRPr="00CA4ABC" w:rsidRDefault="004C12CF" w:rsidP="004053D7">
      <w:pPr>
        <w:tabs>
          <w:tab w:val="left" w:pos="2267"/>
        </w:tabs>
        <w:spacing w:line="360" w:lineRule="auto"/>
        <w:rPr>
          <w:rFonts w:cstheme="minorHAnsi"/>
          <w:i/>
          <w:iCs/>
          <w:color w:val="000000" w:themeColor="text1"/>
        </w:rPr>
      </w:pPr>
      <w:r w:rsidRPr="00CA4ABC">
        <w:rPr>
          <w:rFonts w:cstheme="minorHAnsi"/>
          <w:color w:val="000000" w:themeColor="text1"/>
        </w:rPr>
        <w:t xml:space="preserve"> </w:t>
      </w:r>
      <w:r w:rsidRPr="00CA4ABC">
        <w:rPr>
          <w:rFonts w:cstheme="minorHAnsi"/>
          <w:i/>
          <w:iCs/>
          <w:color w:val="000000" w:themeColor="text1"/>
        </w:rPr>
        <w:t>“We had just gone through covid, my gym was closed, I was feeling very unmotivated. I was feeling very low and didn’t know how to get back into some sort of fitness regime. I thought this would be a good kickstart to discipline myself. Covid was a very bad phase for nearly everybody that I’ve spoken to and you got into that routine of just nothingness and it was hard to get motivated, especially when you weren’t working</w:t>
      </w:r>
      <w:r w:rsidR="001829C5" w:rsidRPr="00CA4ABC">
        <w:rPr>
          <w:rFonts w:cstheme="minorHAnsi"/>
          <w:i/>
          <w:iCs/>
          <w:color w:val="000000" w:themeColor="text1"/>
        </w:rPr>
        <w:t>. I</w:t>
      </w:r>
      <w:r w:rsidRPr="00CA4ABC">
        <w:rPr>
          <w:rFonts w:cstheme="minorHAnsi"/>
          <w:i/>
          <w:iCs/>
          <w:color w:val="000000" w:themeColor="text1"/>
        </w:rPr>
        <w:t>t was hard to find something to boost you up.”</w:t>
      </w:r>
      <w:r w:rsidRPr="00CA4ABC">
        <w:rPr>
          <w:rFonts w:cstheme="minorHAnsi"/>
          <w:color w:val="000000" w:themeColor="text1"/>
        </w:rPr>
        <w:t xml:space="preserve"> (P103). </w:t>
      </w:r>
    </w:p>
    <w:p w14:paraId="15CFD8BE" w14:textId="5476E50F"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“Because I’d started working from home a few month</w:t>
      </w:r>
      <w:r w:rsidR="001829C5" w:rsidRPr="00CA4ABC">
        <w:rPr>
          <w:rFonts w:cstheme="minorHAnsi"/>
          <w:i/>
          <w:iCs/>
          <w:color w:val="000000" w:themeColor="text1"/>
        </w:rPr>
        <w:t>s</w:t>
      </w:r>
      <w:r w:rsidRPr="00CA4ABC">
        <w:rPr>
          <w:rFonts w:cstheme="minorHAnsi"/>
          <w:i/>
          <w:iCs/>
          <w:color w:val="000000" w:themeColor="text1"/>
        </w:rPr>
        <w:t xml:space="preserve"> ago and put on weight and noticed that I was much less physically active. I’d probably gone from doing 10,000 steps a day just from working in a busy hospital department to sort of probably just doing hundreds, if </w:t>
      </w:r>
      <w:r w:rsidR="00DE3D0C" w:rsidRPr="00CA4ABC">
        <w:rPr>
          <w:rFonts w:cstheme="minorHAnsi"/>
          <w:i/>
          <w:iCs/>
          <w:color w:val="000000" w:themeColor="text1"/>
        </w:rPr>
        <w:t>thousands</w:t>
      </w:r>
      <w:r w:rsidRPr="00CA4ABC">
        <w:rPr>
          <w:rFonts w:cstheme="minorHAnsi"/>
          <w:i/>
          <w:iCs/>
          <w:color w:val="000000" w:themeColor="text1"/>
        </w:rPr>
        <w:t xml:space="preserve"> and I felt unfit and I’d put on weight”</w:t>
      </w:r>
      <w:r w:rsidRPr="00CA4ABC">
        <w:rPr>
          <w:rFonts w:cstheme="minorHAnsi"/>
          <w:color w:val="000000" w:themeColor="text1"/>
        </w:rPr>
        <w:t xml:space="preserve"> (P110.) </w:t>
      </w:r>
    </w:p>
    <w:p w14:paraId="61BA9D87" w14:textId="77777777" w:rsidR="004C12CF" w:rsidRPr="00CA4ABC" w:rsidRDefault="004C12CF" w:rsidP="004053D7">
      <w:pPr>
        <w:tabs>
          <w:tab w:val="left" w:pos="2267"/>
        </w:tabs>
        <w:spacing w:line="360" w:lineRule="auto"/>
        <w:rPr>
          <w:rFonts w:cstheme="minorHAnsi"/>
          <w:i/>
          <w:iCs/>
          <w:color w:val="000000" w:themeColor="text1"/>
        </w:rPr>
      </w:pPr>
    </w:p>
    <w:p w14:paraId="4F3A4033" w14:textId="3107FB41"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Working from home meant daily commutes, which may have been on foot, were removed, in addition to</w:t>
      </w:r>
      <w:r w:rsidR="00520B69" w:rsidRPr="00CA4ABC">
        <w:rPr>
          <w:rFonts w:cstheme="minorHAnsi"/>
          <w:color w:val="000000" w:themeColor="text1"/>
        </w:rPr>
        <w:t xml:space="preserve"> the loss of</w:t>
      </w:r>
      <w:r w:rsidRPr="00CA4ABC">
        <w:rPr>
          <w:rFonts w:cstheme="minorHAnsi"/>
          <w:color w:val="000000" w:themeColor="text1"/>
        </w:rPr>
        <w:t xml:space="preserve"> steps undertaking whilst at work. These comments also suggest that a lack of motivation and desire to engage in physical activity was present as a result of </w:t>
      </w:r>
      <w:r w:rsidR="00DE3D0C" w:rsidRPr="00CA4ABC">
        <w:rPr>
          <w:rFonts w:cstheme="minorHAnsi"/>
          <w:color w:val="000000" w:themeColor="text1"/>
        </w:rPr>
        <w:t xml:space="preserve">the </w:t>
      </w:r>
      <w:r w:rsidRPr="00CA4ABC">
        <w:rPr>
          <w:rFonts w:cstheme="minorHAnsi"/>
          <w:color w:val="000000" w:themeColor="text1"/>
        </w:rPr>
        <w:t xml:space="preserve">lockdown, possibly due to the turbulent time. This could be counteracted by having a well-designed programme and will be explored more when the facilitators to exercise are discussed. </w:t>
      </w:r>
    </w:p>
    <w:p w14:paraId="08BDBD8C" w14:textId="5C881084"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lastRenderedPageBreak/>
        <w:t>Working from home also appeared to disrupt routines and it was mentioned that the exercise programme could be utilised to reintroduce a sense of routine</w:t>
      </w:r>
      <w:r w:rsidR="00DF5F37" w:rsidRPr="00CA4ABC">
        <w:rPr>
          <w:rFonts w:cstheme="minorHAnsi"/>
          <w:color w:val="000000" w:themeColor="text1"/>
        </w:rPr>
        <w:t>.</w:t>
      </w:r>
      <w:r w:rsidRPr="00CA4ABC">
        <w:rPr>
          <w:rFonts w:cstheme="minorHAnsi"/>
          <w:color w:val="000000" w:themeColor="text1"/>
        </w:rPr>
        <w:t xml:space="preserve"> </w:t>
      </w:r>
    </w:p>
    <w:p w14:paraId="721D4F3D" w14:textId="77777777" w:rsidR="004C12CF" w:rsidRPr="00CA4ABC" w:rsidRDefault="004C12CF" w:rsidP="004053D7">
      <w:pPr>
        <w:tabs>
          <w:tab w:val="left" w:pos="2267"/>
        </w:tabs>
        <w:spacing w:line="360" w:lineRule="auto"/>
        <w:rPr>
          <w:rFonts w:cstheme="minorHAnsi"/>
          <w:color w:val="000000" w:themeColor="text1"/>
        </w:rPr>
      </w:pPr>
    </w:p>
    <w:p w14:paraId="6975DDE1" w14:textId="2503160B"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 was trying to use health, I mean, this is actually very relevant, because I think that people when they get out of a routine, it can be problematic for people who are at home</w:t>
      </w:r>
      <w:r w:rsidRPr="00CA4ABC">
        <w:rPr>
          <w:rFonts w:cstheme="minorHAnsi"/>
          <w:color w:val="000000" w:themeColor="text1"/>
        </w:rPr>
        <w:t>” (P109)</w:t>
      </w:r>
    </w:p>
    <w:p w14:paraId="69CDF15A" w14:textId="77777777" w:rsidR="004C12CF" w:rsidRPr="00CA4ABC" w:rsidRDefault="004C12CF" w:rsidP="004053D7">
      <w:pPr>
        <w:tabs>
          <w:tab w:val="left" w:pos="2267"/>
        </w:tabs>
        <w:spacing w:line="360" w:lineRule="auto"/>
        <w:rPr>
          <w:rFonts w:cstheme="minorHAnsi"/>
          <w:color w:val="000000" w:themeColor="text1"/>
        </w:rPr>
      </w:pPr>
    </w:p>
    <w:p w14:paraId="4EDE2DD7" w14:textId="3B078EBC" w:rsidR="004C12CF" w:rsidRPr="00CA4ABC" w:rsidRDefault="004C12CF">
      <w:pPr>
        <w:pStyle w:val="ListParagraph"/>
        <w:numPr>
          <w:ilvl w:val="1"/>
          <w:numId w:val="4"/>
        </w:numPr>
        <w:tabs>
          <w:tab w:val="left" w:pos="2267"/>
        </w:tabs>
        <w:spacing w:line="360" w:lineRule="auto"/>
        <w:rPr>
          <w:rFonts w:cstheme="minorHAnsi"/>
          <w:color w:val="000000" w:themeColor="text1"/>
        </w:rPr>
      </w:pPr>
      <w:r w:rsidRPr="00CA4ABC">
        <w:rPr>
          <w:rFonts w:cstheme="minorHAnsi"/>
          <w:color w:val="000000" w:themeColor="text1"/>
        </w:rPr>
        <w:t>Participant’s characteristics</w:t>
      </w:r>
    </w:p>
    <w:p w14:paraId="3C915E22" w14:textId="6A92DA26"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Overall, participants describe</w:t>
      </w:r>
      <w:r w:rsidR="00DF5F37" w:rsidRPr="00CA4ABC">
        <w:rPr>
          <w:rFonts w:cstheme="minorHAnsi"/>
          <w:color w:val="000000" w:themeColor="text1"/>
        </w:rPr>
        <w:t>d</w:t>
      </w:r>
      <w:r w:rsidRPr="00CA4ABC">
        <w:rPr>
          <w:rFonts w:cstheme="minorHAnsi"/>
          <w:color w:val="000000" w:themeColor="text1"/>
        </w:rPr>
        <w:t xml:space="preserve"> their general fitness as poor to moderate, often stating that they felt they should/could do more to improve this, which was, in several cases, a prompter behind their trial engagement decisions.</w:t>
      </w:r>
    </w:p>
    <w:p w14:paraId="2FD50DB4" w14:textId="77777777" w:rsidR="004C12CF" w:rsidRPr="00CA4ABC" w:rsidRDefault="004C12CF" w:rsidP="004053D7">
      <w:pPr>
        <w:tabs>
          <w:tab w:val="left" w:pos="2267"/>
        </w:tabs>
        <w:spacing w:line="360" w:lineRule="auto"/>
        <w:rPr>
          <w:rFonts w:cstheme="minorHAnsi"/>
          <w:color w:val="000000" w:themeColor="text1"/>
        </w:rPr>
      </w:pPr>
    </w:p>
    <w:p w14:paraId="1B7B7395"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“Probably not as it could be, perhaps I couldn’t lift quite as much as I used to, picking up things.”</w:t>
      </w:r>
      <w:r w:rsidRPr="00CA4ABC">
        <w:rPr>
          <w:rFonts w:cstheme="minorHAnsi"/>
          <w:color w:val="000000" w:themeColor="text1"/>
        </w:rPr>
        <w:t xml:space="preserve"> (P106.) </w:t>
      </w:r>
    </w:p>
    <w:p w14:paraId="6A0DCFA7"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“Some would say for my age it is probably not bad, but you know, it feels fairly poor because I am a smoker as well. I am aware that I don’t do enough exercise and I am very poor in terms of my upper body strength, very poor.” </w:t>
      </w:r>
      <w:r w:rsidRPr="00CA4ABC">
        <w:rPr>
          <w:rFonts w:cstheme="minorHAnsi"/>
          <w:color w:val="000000" w:themeColor="text1"/>
        </w:rPr>
        <w:t xml:space="preserve">(P104).  </w:t>
      </w:r>
    </w:p>
    <w:p w14:paraId="2EE4202C" w14:textId="77777777" w:rsidR="004C12CF" w:rsidRPr="00CA4ABC" w:rsidRDefault="004C12CF" w:rsidP="004053D7">
      <w:pPr>
        <w:tabs>
          <w:tab w:val="left" w:pos="2267"/>
        </w:tabs>
        <w:spacing w:line="360" w:lineRule="auto"/>
        <w:rPr>
          <w:rFonts w:cstheme="minorHAnsi"/>
          <w:color w:val="000000" w:themeColor="text1"/>
        </w:rPr>
      </w:pPr>
    </w:p>
    <w:p w14:paraId="00B2FE0C" w14:textId="54A12C8A"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Despite these comments, it is likely that many of the participant’s benchmark</w:t>
      </w:r>
      <w:r w:rsidR="00DF5F37" w:rsidRPr="00CA4ABC">
        <w:rPr>
          <w:rFonts w:cstheme="minorHAnsi"/>
          <w:color w:val="000000" w:themeColor="text1"/>
        </w:rPr>
        <w:t>s</w:t>
      </w:r>
      <w:r w:rsidRPr="00CA4ABC">
        <w:rPr>
          <w:rFonts w:cstheme="minorHAnsi"/>
          <w:color w:val="000000" w:themeColor="text1"/>
        </w:rPr>
        <w:t xml:space="preserve"> for “poor” fitness may have been higher than average, as most participants appeared to meet physical activity guidelines</w:t>
      </w:r>
      <w:r w:rsidR="00513358" w:rsidRPr="00CA4ABC">
        <w:rPr>
          <w:rFonts w:cstheme="minorHAnsi"/>
          <w:color w:val="000000" w:themeColor="text1"/>
        </w:rPr>
        <w:t>.</w:t>
      </w:r>
      <w:r w:rsidRPr="00CA4ABC">
        <w:rPr>
          <w:rFonts w:cstheme="minorHAnsi"/>
          <w:color w:val="000000" w:themeColor="text1"/>
        </w:rPr>
        <w:t xml:space="preserve"> Despite this, it does appear that most of their baseline physical activity was aerobic-focused rather than resistance training, per se, with only one participant describing undertaking</w:t>
      </w:r>
      <w:r w:rsidR="0075148F">
        <w:rPr>
          <w:rFonts w:cstheme="minorHAnsi"/>
          <w:color w:val="000000" w:themeColor="text1"/>
        </w:rPr>
        <w:t xml:space="preserve"> structured</w:t>
      </w:r>
      <w:r w:rsidRPr="00CA4ABC">
        <w:rPr>
          <w:rFonts w:cstheme="minorHAnsi"/>
          <w:color w:val="000000" w:themeColor="text1"/>
        </w:rPr>
        <w:t xml:space="preserve"> resistance training,</w:t>
      </w:r>
      <w:r w:rsidR="00520B69" w:rsidRPr="00CA4ABC">
        <w:rPr>
          <w:rFonts w:cstheme="minorHAnsi"/>
          <w:color w:val="000000" w:themeColor="text1"/>
        </w:rPr>
        <w:t xml:space="preserve"> on their RAPA questionnaire,</w:t>
      </w:r>
      <w:r w:rsidRPr="00CA4ABC">
        <w:rPr>
          <w:rFonts w:cstheme="minorHAnsi"/>
          <w:color w:val="000000" w:themeColor="text1"/>
        </w:rPr>
        <w:t xml:space="preserve"> </w:t>
      </w:r>
      <w:r w:rsidR="001718A5" w:rsidRPr="00CA4ABC">
        <w:rPr>
          <w:rFonts w:cstheme="minorHAnsi"/>
          <w:color w:val="000000" w:themeColor="text1"/>
        </w:rPr>
        <w:t>before</w:t>
      </w:r>
      <w:r w:rsidRPr="00CA4ABC">
        <w:rPr>
          <w:rFonts w:cstheme="minorHAnsi"/>
          <w:color w:val="000000" w:themeColor="text1"/>
        </w:rPr>
        <w:t xml:space="preserve"> the intervention.</w:t>
      </w:r>
    </w:p>
    <w:p w14:paraId="6DC8BF77" w14:textId="77777777" w:rsidR="004C12CF" w:rsidRPr="00CA4ABC" w:rsidRDefault="004C12CF" w:rsidP="004053D7">
      <w:pPr>
        <w:tabs>
          <w:tab w:val="left" w:pos="2267"/>
        </w:tabs>
        <w:spacing w:line="360" w:lineRule="auto"/>
        <w:rPr>
          <w:rFonts w:cstheme="minorHAnsi"/>
          <w:color w:val="000000" w:themeColor="text1"/>
        </w:rPr>
      </w:pPr>
    </w:p>
    <w:p w14:paraId="49661F68"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 understood that I was doing aerobics work. I was getting into jogging a bit but wasn’t balancing this was any strength-based things”</w:t>
      </w:r>
      <w:r w:rsidRPr="00CA4ABC">
        <w:rPr>
          <w:rFonts w:cstheme="minorHAnsi"/>
          <w:color w:val="000000" w:themeColor="text1"/>
        </w:rPr>
        <w:t xml:space="preserve"> (P109). </w:t>
      </w:r>
    </w:p>
    <w:p w14:paraId="6DCFC2CD" w14:textId="77777777" w:rsidR="004C12CF" w:rsidRPr="00CA4ABC" w:rsidRDefault="004C12CF" w:rsidP="004053D7">
      <w:pPr>
        <w:tabs>
          <w:tab w:val="left" w:pos="2267"/>
        </w:tabs>
        <w:spacing w:line="360" w:lineRule="auto"/>
        <w:rPr>
          <w:rFonts w:cstheme="minorHAnsi"/>
          <w:color w:val="000000" w:themeColor="text1"/>
        </w:rPr>
      </w:pPr>
    </w:p>
    <w:p w14:paraId="4FD1873F" w14:textId="5924BB91"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Despite their habitual fitness levels being high</w:t>
      </w:r>
      <w:r w:rsidR="00520B69" w:rsidRPr="00CA4ABC">
        <w:rPr>
          <w:rFonts w:cstheme="minorHAnsi"/>
          <w:color w:val="000000" w:themeColor="text1"/>
        </w:rPr>
        <w:t>er than average</w:t>
      </w:r>
      <w:r w:rsidRPr="00CA4ABC">
        <w:rPr>
          <w:rFonts w:cstheme="minorHAnsi"/>
          <w:color w:val="000000" w:themeColor="text1"/>
        </w:rPr>
        <w:t xml:space="preserve">, these participants still </w:t>
      </w:r>
      <w:r w:rsidR="00520B69" w:rsidRPr="00CA4ABC">
        <w:rPr>
          <w:rFonts w:cstheme="minorHAnsi"/>
          <w:color w:val="000000" w:themeColor="text1"/>
        </w:rPr>
        <w:t xml:space="preserve">appeared to </w:t>
      </w:r>
      <w:r w:rsidRPr="00CA4ABC">
        <w:rPr>
          <w:rFonts w:cstheme="minorHAnsi"/>
          <w:color w:val="000000" w:themeColor="text1"/>
        </w:rPr>
        <w:t>be strength training novices</w:t>
      </w:r>
      <w:r w:rsidR="00520B69" w:rsidRPr="00CA4ABC">
        <w:rPr>
          <w:rFonts w:cstheme="minorHAnsi"/>
          <w:color w:val="000000" w:themeColor="text1"/>
        </w:rPr>
        <w:t>,</w:t>
      </w:r>
      <w:r w:rsidRPr="00CA4ABC">
        <w:rPr>
          <w:rFonts w:cstheme="minorHAnsi"/>
          <w:color w:val="000000" w:themeColor="text1"/>
        </w:rPr>
        <w:t xml:space="preserve"> and this type of training should still be undertaken twice weekly. This could suggest that even active individuals may not have the knowledge or confidence to do resistance training and addressing this is </w:t>
      </w:r>
      <w:r w:rsidR="00513358" w:rsidRPr="00CA4ABC">
        <w:rPr>
          <w:rFonts w:cstheme="minorHAnsi"/>
          <w:color w:val="000000" w:themeColor="text1"/>
        </w:rPr>
        <w:t>warranted</w:t>
      </w:r>
      <w:r w:rsidRPr="00CA4ABC">
        <w:rPr>
          <w:rFonts w:cstheme="minorHAnsi"/>
          <w:color w:val="000000" w:themeColor="text1"/>
        </w:rPr>
        <w:t>.</w:t>
      </w:r>
    </w:p>
    <w:p w14:paraId="1F76FD73" w14:textId="77777777" w:rsidR="00513358" w:rsidRPr="00CA4ABC" w:rsidRDefault="00513358" w:rsidP="004053D7">
      <w:pPr>
        <w:tabs>
          <w:tab w:val="left" w:pos="2267"/>
        </w:tabs>
        <w:spacing w:line="360" w:lineRule="auto"/>
        <w:rPr>
          <w:rFonts w:cstheme="minorHAnsi"/>
          <w:color w:val="000000" w:themeColor="text1"/>
        </w:rPr>
      </w:pPr>
    </w:p>
    <w:p w14:paraId="343E5C3F" w14:textId="7E001601" w:rsidR="004C12CF" w:rsidRPr="00CA4ABC" w:rsidRDefault="004C12CF">
      <w:pPr>
        <w:pStyle w:val="ListParagraph"/>
        <w:numPr>
          <w:ilvl w:val="1"/>
          <w:numId w:val="4"/>
        </w:numPr>
        <w:tabs>
          <w:tab w:val="left" w:pos="2267"/>
        </w:tabs>
        <w:spacing w:line="360" w:lineRule="auto"/>
        <w:rPr>
          <w:rFonts w:cstheme="minorHAnsi"/>
          <w:color w:val="000000" w:themeColor="text1"/>
        </w:rPr>
      </w:pPr>
      <w:r w:rsidRPr="00CA4ABC">
        <w:rPr>
          <w:rFonts w:cstheme="minorHAnsi"/>
          <w:color w:val="000000" w:themeColor="text1"/>
        </w:rPr>
        <w:lastRenderedPageBreak/>
        <w:t>worrying/fear about</w:t>
      </w:r>
      <w:r w:rsidR="001718A5" w:rsidRPr="00CA4ABC">
        <w:rPr>
          <w:rFonts w:cstheme="minorHAnsi"/>
          <w:color w:val="000000" w:themeColor="text1"/>
        </w:rPr>
        <w:t xml:space="preserve"> the</w:t>
      </w:r>
      <w:r w:rsidRPr="00CA4ABC">
        <w:rPr>
          <w:rFonts w:cstheme="minorHAnsi"/>
          <w:color w:val="000000" w:themeColor="text1"/>
        </w:rPr>
        <w:t xml:space="preserve"> ageing process and menopause</w:t>
      </w:r>
    </w:p>
    <w:p w14:paraId="71C42A66" w14:textId="39F4FE6F"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Participants also raised concerns and worries surrounding getting older. All participants were </w:t>
      </w:r>
      <w:r w:rsidR="00DF73CE" w:rsidRPr="00CA4ABC">
        <w:rPr>
          <w:rFonts w:cstheme="minorHAnsi"/>
          <w:color w:val="000000" w:themeColor="text1"/>
        </w:rPr>
        <w:t xml:space="preserve">women </w:t>
      </w:r>
      <w:r w:rsidRPr="00CA4ABC">
        <w:rPr>
          <w:rFonts w:cstheme="minorHAnsi"/>
          <w:color w:val="000000" w:themeColor="text1"/>
        </w:rPr>
        <w:t xml:space="preserve">aged between 40-65 years, meaning they were nearing or had undergone menopause. </w:t>
      </w:r>
    </w:p>
    <w:p w14:paraId="0D9B79E1" w14:textId="713C8C22"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“I’m aware that my Mum and Granny sort of as they got older were taking vitamin D supplement</w:t>
      </w:r>
      <w:r w:rsidR="00520B69" w:rsidRPr="00CA4ABC">
        <w:rPr>
          <w:rFonts w:cstheme="minorHAnsi"/>
          <w:i/>
          <w:iCs/>
          <w:color w:val="000000" w:themeColor="text1"/>
        </w:rPr>
        <w:t>s</w:t>
      </w:r>
      <w:r w:rsidRPr="00CA4ABC">
        <w:rPr>
          <w:rFonts w:cstheme="minorHAnsi"/>
          <w:i/>
          <w:iCs/>
          <w:color w:val="000000" w:themeColor="text1"/>
        </w:rPr>
        <w:t xml:space="preserve"> and when they did fall they broke things so I was aware of issues with your bone strength as you got older”</w:t>
      </w:r>
      <w:r w:rsidRPr="00CA4ABC">
        <w:rPr>
          <w:rFonts w:cstheme="minorHAnsi"/>
          <w:color w:val="000000" w:themeColor="text1"/>
        </w:rPr>
        <w:t xml:space="preserve">  (P110). </w:t>
      </w:r>
    </w:p>
    <w:p w14:paraId="209F52BB" w14:textId="4F3F3FF1"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I play netball so I kind of though</w:t>
      </w:r>
      <w:r w:rsidR="003A3B9E" w:rsidRPr="00CA4ABC">
        <w:rPr>
          <w:rFonts w:cstheme="minorHAnsi"/>
          <w:i/>
          <w:iCs/>
          <w:color w:val="000000" w:themeColor="text1"/>
        </w:rPr>
        <w:t>t</w:t>
      </w:r>
      <w:r w:rsidRPr="00CA4ABC">
        <w:rPr>
          <w:rFonts w:cstheme="minorHAnsi"/>
          <w:i/>
          <w:iCs/>
          <w:color w:val="000000" w:themeColor="text1"/>
        </w:rPr>
        <w:t xml:space="preserve"> I just needed to do something and I kind of read that women of my age need to do more resistance work than aerobic so I thought it would be good to get some resistance training.”</w:t>
      </w:r>
      <w:r w:rsidRPr="00CA4ABC">
        <w:rPr>
          <w:rFonts w:cstheme="minorHAnsi"/>
          <w:color w:val="000000" w:themeColor="text1"/>
        </w:rPr>
        <w:t xml:space="preserve"> (P105). </w:t>
      </w:r>
    </w:p>
    <w:p w14:paraId="1B3586EF" w14:textId="77777777" w:rsidR="004C12CF" w:rsidRPr="00CA4ABC" w:rsidRDefault="004C12CF" w:rsidP="004053D7">
      <w:pPr>
        <w:tabs>
          <w:tab w:val="left" w:pos="2267"/>
        </w:tabs>
        <w:spacing w:line="360" w:lineRule="auto"/>
        <w:rPr>
          <w:rFonts w:cstheme="minorHAnsi"/>
          <w:color w:val="000000" w:themeColor="text1"/>
        </w:rPr>
      </w:pPr>
    </w:p>
    <w:p w14:paraId="6F863EBC" w14:textId="767102F1"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Some prior knowledge appears to be present relating</w:t>
      </w:r>
      <w:r w:rsidR="003A3B9E" w:rsidRPr="00CA4ABC">
        <w:rPr>
          <w:rFonts w:cstheme="minorHAnsi"/>
          <w:color w:val="000000" w:themeColor="text1"/>
        </w:rPr>
        <w:t xml:space="preserve"> to</w:t>
      </w:r>
      <w:r w:rsidRPr="00CA4ABC">
        <w:rPr>
          <w:rFonts w:cstheme="minorHAnsi"/>
          <w:color w:val="000000" w:themeColor="text1"/>
        </w:rPr>
        <w:t xml:space="preserve"> strength</w:t>
      </w:r>
      <w:r w:rsidR="005E26AA" w:rsidRPr="00CA4ABC">
        <w:rPr>
          <w:rFonts w:cstheme="minorHAnsi"/>
          <w:color w:val="000000" w:themeColor="text1"/>
        </w:rPr>
        <w:t>-</w:t>
      </w:r>
      <w:r w:rsidRPr="00CA4ABC">
        <w:rPr>
          <w:rFonts w:cstheme="minorHAnsi"/>
          <w:color w:val="000000" w:themeColor="text1"/>
        </w:rPr>
        <w:t>losses, associated with ageing and these appear to be another spurring factor which influenced participant’s decision to volunteer. It was suggested by some participants that the programme could have been a productive wa</w:t>
      </w:r>
      <w:r w:rsidR="006470ED" w:rsidRPr="00CA4ABC">
        <w:rPr>
          <w:rFonts w:cstheme="minorHAnsi"/>
          <w:color w:val="000000" w:themeColor="text1"/>
        </w:rPr>
        <w:t>y</w:t>
      </w:r>
      <w:r w:rsidRPr="00CA4ABC">
        <w:rPr>
          <w:rFonts w:cstheme="minorHAnsi"/>
          <w:color w:val="000000" w:themeColor="text1"/>
        </w:rPr>
        <w:t xml:space="preserve"> to improve strength.</w:t>
      </w:r>
    </w:p>
    <w:p w14:paraId="0C21B02E" w14:textId="77777777" w:rsidR="004C12CF" w:rsidRPr="00CA4ABC" w:rsidRDefault="004C12CF" w:rsidP="004053D7">
      <w:pPr>
        <w:tabs>
          <w:tab w:val="left" w:pos="2267"/>
        </w:tabs>
        <w:spacing w:line="360" w:lineRule="auto"/>
        <w:rPr>
          <w:rFonts w:cstheme="minorHAnsi"/>
          <w:color w:val="000000" w:themeColor="text1"/>
        </w:rPr>
      </w:pPr>
    </w:p>
    <w:p w14:paraId="03708E2F" w14:textId="2C004D3D"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“So I thought it just seemed really interesting to see how good or bad I was, but then interesting to see after six week</w:t>
      </w:r>
      <w:r w:rsidR="003A3B9E" w:rsidRPr="00CA4ABC">
        <w:rPr>
          <w:rFonts w:cstheme="minorHAnsi"/>
          <w:i/>
          <w:iCs/>
          <w:color w:val="000000" w:themeColor="text1"/>
        </w:rPr>
        <w:t>s</w:t>
      </w:r>
      <w:r w:rsidRPr="00CA4ABC">
        <w:rPr>
          <w:rFonts w:cstheme="minorHAnsi"/>
          <w:i/>
          <w:iCs/>
          <w:color w:val="000000" w:themeColor="text1"/>
        </w:rPr>
        <w:t xml:space="preserve">, </w:t>
      </w:r>
      <w:r w:rsidR="00520B69" w:rsidRPr="00CA4ABC">
        <w:rPr>
          <w:rFonts w:cstheme="minorHAnsi"/>
          <w:i/>
          <w:iCs/>
          <w:color w:val="000000" w:themeColor="text1"/>
        </w:rPr>
        <w:t>i</w:t>
      </w:r>
      <w:r w:rsidRPr="00CA4ABC">
        <w:rPr>
          <w:rFonts w:cstheme="minorHAnsi"/>
          <w:i/>
          <w:iCs/>
          <w:color w:val="000000" w:themeColor="text1"/>
        </w:rPr>
        <w:t>f I’ve actually improved my muscle strength and then maybe continue, obviously, using the bands.”</w:t>
      </w:r>
      <w:r w:rsidRPr="00CA4ABC">
        <w:rPr>
          <w:rFonts w:cstheme="minorHAnsi"/>
          <w:color w:val="000000" w:themeColor="text1"/>
        </w:rPr>
        <w:t xml:space="preserve"> (P112) </w:t>
      </w:r>
    </w:p>
    <w:p w14:paraId="100B60C4" w14:textId="2DD7E313"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“I’ve been thinking about my general health the last couple of year</w:t>
      </w:r>
      <w:r w:rsidR="003A3B9E" w:rsidRPr="00CA4ABC">
        <w:rPr>
          <w:rFonts w:cstheme="minorHAnsi"/>
          <w:i/>
          <w:iCs/>
          <w:color w:val="000000" w:themeColor="text1"/>
        </w:rPr>
        <w:t>s</w:t>
      </w:r>
      <w:r w:rsidRPr="00CA4ABC">
        <w:rPr>
          <w:rFonts w:cstheme="minorHAnsi"/>
          <w:i/>
          <w:iCs/>
          <w:color w:val="000000" w:themeColor="text1"/>
        </w:rPr>
        <w:t xml:space="preserve"> and I knew that I wasn’t doing anything to do with weights and that I needed to add that and this might be positive” </w:t>
      </w:r>
      <w:r w:rsidRPr="00CA4ABC">
        <w:rPr>
          <w:rFonts w:cstheme="minorHAnsi"/>
          <w:color w:val="000000" w:themeColor="text1"/>
        </w:rPr>
        <w:t>(P109)</w:t>
      </w:r>
    </w:p>
    <w:p w14:paraId="1F8C01D1" w14:textId="609F7A3C" w:rsidR="004C12CF" w:rsidRPr="00CA4ABC" w:rsidRDefault="004C12CF" w:rsidP="004053D7">
      <w:pPr>
        <w:tabs>
          <w:tab w:val="left" w:pos="2267"/>
        </w:tabs>
        <w:spacing w:line="360" w:lineRule="auto"/>
        <w:rPr>
          <w:rFonts w:cstheme="minorHAnsi"/>
          <w:color w:val="000000" w:themeColor="text1"/>
        </w:rPr>
      </w:pPr>
    </w:p>
    <w:p w14:paraId="6121382C" w14:textId="6F4794F3" w:rsidR="00F621AC" w:rsidRPr="00CA4ABC" w:rsidRDefault="00F621AC" w:rsidP="004053D7">
      <w:pPr>
        <w:tabs>
          <w:tab w:val="left" w:pos="2267"/>
        </w:tabs>
        <w:spacing w:line="360" w:lineRule="auto"/>
        <w:rPr>
          <w:rFonts w:cstheme="minorHAnsi"/>
          <w:i/>
          <w:iCs/>
          <w:color w:val="000000" w:themeColor="text1"/>
        </w:rPr>
      </w:pPr>
      <w:r w:rsidRPr="00CA4ABC">
        <w:rPr>
          <w:rFonts w:cstheme="minorHAnsi"/>
          <w:i/>
          <w:iCs/>
          <w:color w:val="000000" w:themeColor="text1"/>
        </w:rPr>
        <w:t>Factors which influence continued trial engagement:</w:t>
      </w:r>
    </w:p>
    <w:p w14:paraId="592E74C2" w14:textId="58ED7FF3"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In addition to elements that caused the participants to initially agree to volunteer for the trial</w:t>
      </w:r>
      <w:r w:rsidR="006470ED" w:rsidRPr="00CA4ABC">
        <w:rPr>
          <w:rFonts w:cstheme="minorHAnsi"/>
          <w:color w:val="000000" w:themeColor="text1"/>
        </w:rPr>
        <w:t>,</w:t>
      </w:r>
      <w:r w:rsidRPr="00CA4ABC">
        <w:rPr>
          <w:rFonts w:cstheme="minorHAnsi"/>
          <w:color w:val="000000" w:themeColor="text1"/>
        </w:rPr>
        <w:t xml:space="preserve"> </w:t>
      </w:r>
      <w:r w:rsidR="006470ED" w:rsidRPr="00CA4ABC">
        <w:rPr>
          <w:rFonts w:cstheme="minorHAnsi"/>
          <w:color w:val="000000" w:themeColor="text1"/>
        </w:rPr>
        <w:t>exploring</w:t>
      </w:r>
      <w:r w:rsidRPr="00CA4ABC">
        <w:rPr>
          <w:rFonts w:cstheme="minorHAnsi"/>
          <w:color w:val="000000" w:themeColor="text1"/>
        </w:rPr>
        <w:t xml:space="preserve"> what they enjoyed during the trial and if </w:t>
      </w:r>
      <w:r w:rsidR="00950AD3" w:rsidRPr="00CA4ABC">
        <w:rPr>
          <w:rFonts w:cstheme="minorHAnsi"/>
          <w:color w:val="000000" w:themeColor="text1"/>
        </w:rPr>
        <w:t>any particular elements facilitated</w:t>
      </w:r>
      <w:r w:rsidRPr="00CA4ABC">
        <w:rPr>
          <w:rFonts w:cstheme="minorHAnsi"/>
          <w:color w:val="000000" w:themeColor="text1"/>
        </w:rPr>
        <w:t xml:space="preserve"> </w:t>
      </w:r>
      <w:r w:rsidR="00950AD3" w:rsidRPr="00CA4ABC">
        <w:rPr>
          <w:rFonts w:cstheme="minorHAnsi"/>
          <w:color w:val="000000" w:themeColor="text1"/>
        </w:rPr>
        <w:t>their continued</w:t>
      </w:r>
      <w:r w:rsidRPr="00CA4ABC">
        <w:rPr>
          <w:rFonts w:cstheme="minorHAnsi"/>
          <w:color w:val="000000" w:themeColor="text1"/>
        </w:rPr>
        <w:t xml:space="preserve"> engage</w:t>
      </w:r>
      <w:r w:rsidR="00950AD3" w:rsidRPr="00CA4ABC">
        <w:rPr>
          <w:rFonts w:cstheme="minorHAnsi"/>
          <w:color w:val="000000" w:themeColor="text1"/>
        </w:rPr>
        <w:t>ment</w:t>
      </w:r>
      <w:r w:rsidRPr="00CA4ABC">
        <w:rPr>
          <w:rFonts w:cstheme="minorHAnsi"/>
          <w:color w:val="000000" w:themeColor="text1"/>
        </w:rPr>
        <w:t xml:space="preserve"> with the programme </w:t>
      </w:r>
      <w:r w:rsidR="006470ED" w:rsidRPr="00CA4ABC">
        <w:rPr>
          <w:rFonts w:cstheme="minorHAnsi"/>
          <w:color w:val="000000" w:themeColor="text1"/>
        </w:rPr>
        <w:t>was of interest</w:t>
      </w:r>
      <w:r w:rsidRPr="00CA4ABC">
        <w:rPr>
          <w:rFonts w:cstheme="minorHAnsi"/>
          <w:color w:val="000000" w:themeColor="text1"/>
        </w:rPr>
        <w:t xml:space="preserve">. </w:t>
      </w:r>
    </w:p>
    <w:p w14:paraId="66421B67" w14:textId="77777777" w:rsidR="004C12CF" w:rsidRPr="00CA4ABC" w:rsidRDefault="004C12CF" w:rsidP="004053D7">
      <w:pPr>
        <w:tabs>
          <w:tab w:val="left" w:pos="2267"/>
        </w:tabs>
        <w:spacing w:line="360" w:lineRule="auto"/>
        <w:rPr>
          <w:rFonts w:cstheme="minorHAnsi"/>
          <w:color w:val="000000" w:themeColor="text1"/>
        </w:rPr>
      </w:pPr>
    </w:p>
    <w:p w14:paraId="67E3614A" w14:textId="030AC812" w:rsidR="004C12CF" w:rsidRPr="00CA4ABC" w:rsidRDefault="003A3B9E">
      <w:pPr>
        <w:pStyle w:val="ListParagraph"/>
        <w:numPr>
          <w:ilvl w:val="1"/>
          <w:numId w:val="4"/>
        </w:numPr>
        <w:tabs>
          <w:tab w:val="left" w:pos="2267"/>
        </w:tabs>
        <w:spacing w:line="360" w:lineRule="auto"/>
        <w:rPr>
          <w:rFonts w:cstheme="minorHAnsi"/>
          <w:color w:val="000000" w:themeColor="text1"/>
        </w:rPr>
      </w:pPr>
      <w:r w:rsidRPr="00CA4ABC">
        <w:rPr>
          <w:rFonts w:cstheme="minorHAnsi"/>
          <w:color w:val="000000" w:themeColor="text1"/>
        </w:rPr>
        <w:t>Instructor-led</w:t>
      </w:r>
      <w:r w:rsidR="004C12CF" w:rsidRPr="00CA4ABC">
        <w:rPr>
          <w:rFonts w:cstheme="minorHAnsi"/>
          <w:color w:val="000000" w:themeColor="text1"/>
        </w:rPr>
        <w:t xml:space="preserve"> sessions </w:t>
      </w:r>
    </w:p>
    <w:p w14:paraId="19183332" w14:textId="5E7C7495"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One of the elements of the trial</w:t>
      </w:r>
      <w:r w:rsidR="00520B69" w:rsidRPr="00CA4ABC">
        <w:rPr>
          <w:rFonts w:cstheme="minorHAnsi"/>
          <w:color w:val="000000" w:themeColor="text1"/>
        </w:rPr>
        <w:t xml:space="preserve"> that</w:t>
      </w:r>
      <w:r w:rsidRPr="00CA4ABC">
        <w:rPr>
          <w:rFonts w:cstheme="minorHAnsi"/>
          <w:color w:val="000000" w:themeColor="text1"/>
        </w:rPr>
        <w:t xml:space="preserve"> participant described enjoying was the instructor-led element, regardless of whether this was on the video, or at the live sessions. It was outlined </w:t>
      </w:r>
      <w:r w:rsidRPr="00CA4ABC">
        <w:rPr>
          <w:rFonts w:cstheme="minorHAnsi"/>
          <w:color w:val="000000" w:themeColor="text1"/>
        </w:rPr>
        <w:lastRenderedPageBreak/>
        <w:t>that having an instructor design and deliver the workout program</w:t>
      </w:r>
      <w:r w:rsidR="003A3B9E" w:rsidRPr="00CA4ABC">
        <w:rPr>
          <w:rFonts w:cstheme="minorHAnsi"/>
          <w:color w:val="000000" w:themeColor="text1"/>
        </w:rPr>
        <w:t xml:space="preserve"> </w:t>
      </w:r>
      <w:r w:rsidRPr="00CA4ABC">
        <w:rPr>
          <w:rFonts w:cstheme="minorHAnsi"/>
          <w:color w:val="000000" w:themeColor="text1"/>
        </w:rPr>
        <w:t>was prefe</w:t>
      </w:r>
      <w:r w:rsidR="003A3B9E" w:rsidRPr="00CA4ABC">
        <w:rPr>
          <w:rFonts w:cstheme="minorHAnsi"/>
          <w:color w:val="000000" w:themeColor="text1"/>
        </w:rPr>
        <w:t>rable</w:t>
      </w:r>
      <w:r w:rsidRPr="00CA4ABC">
        <w:rPr>
          <w:rFonts w:cstheme="minorHAnsi"/>
          <w:color w:val="000000" w:themeColor="text1"/>
        </w:rPr>
        <w:t xml:space="preserve"> to self-directed workouts. </w:t>
      </w:r>
    </w:p>
    <w:p w14:paraId="5070BA70" w14:textId="77777777" w:rsidR="004C12CF" w:rsidRPr="00CA4ABC" w:rsidRDefault="004C12CF" w:rsidP="004053D7">
      <w:pPr>
        <w:tabs>
          <w:tab w:val="left" w:pos="2267"/>
        </w:tabs>
        <w:spacing w:line="360" w:lineRule="auto"/>
        <w:rPr>
          <w:rFonts w:cstheme="minorHAnsi"/>
          <w:color w:val="000000" w:themeColor="text1"/>
        </w:rPr>
      </w:pPr>
    </w:p>
    <w:p w14:paraId="0FAD3A26"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“It’s the formalinising it into not just using the bands but formalising it into a session. It’s not just about doing the exercises, it’s about the prep work so raising your heart rate, and so to actually have somebody go through that with you, that is what I think is missing from a sheet, isn’t it?” </w:t>
      </w:r>
      <w:r w:rsidRPr="00CA4ABC">
        <w:rPr>
          <w:rFonts w:cstheme="minorHAnsi"/>
          <w:color w:val="000000" w:themeColor="text1"/>
        </w:rPr>
        <w:t>(P106).</w:t>
      </w:r>
    </w:p>
    <w:p w14:paraId="039C8705" w14:textId="77777777" w:rsidR="004C12CF" w:rsidRPr="00CA4ABC" w:rsidRDefault="004C12CF" w:rsidP="004053D7">
      <w:pPr>
        <w:tabs>
          <w:tab w:val="left" w:pos="2267"/>
        </w:tabs>
        <w:spacing w:line="360" w:lineRule="auto"/>
        <w:rPr>
          <w:rFonts w:cstheme="minorHAnsi"/>
          <w:color w:val="000000" w:themeColor="text1"/>
        </w:rPr>
      </w:pPr>
    </w:p>
    <w:p w14:paraId="26F47BAC" w14:textId="0F726344" w:rsidR="004C12CF" w:rsidRPr="00CA4ABC" w:rsidRDefault="003A3B9E" w:rsidP="004053D7">
      <w:pPr>
        <w:tabs>
          <w:tab w:val="left" w:pos="2267"/>
        </w:tabs>
        <w:spacing w:line="360" w:lineRule="auto"/>
        <w:rPr>
          <w:rFonts w:cstheme="minorHAnsi"/>
          <w:color w:val="000000" w:themeColor="text1"/>
        </w:rPr>
      </w:pPr>
      <w:r w:rsidRPr="00CA4ABC">
        <w:rPr>
          <w:rFonts w:cstheme="minorHAnsi"/>
          <w:color w:val="000000" w:themeColor="text1"/>
        </w:rPr>
        <w:t>Resistance training may likely</w:t>
      </w:r>
      <w:r w:rsidR="004C12CF" w:rsidRPr="00CA4ABC">
        <w:rPr>
          <w:rFonts w:cstheme="minorHAnsi"/>
          <w:color w:val="000000" w:themeColor="text1"/>
        </w:rPr>
        <w:t xml:space="preserve"> be considered more difficult to complete without the correct knowledge or guidance, especially compared to aerobic training. This could be why many people do not undertake this training frequently, despite having </w:t>
      </w:r>
      <w:r w:rsidRPr="00CA4ABC">
        <w:rPr>
          <w:rFonts w:cstheme="minorHAnsi"/>
          <w:color w:val="000000" w:themeColor="text1"/>
        </w:rPr>
        <w:t>the</w:t>
      </w:r>
      <w:r w:rsidR="004C12CF" w:rsidRPr="00CA4ABC">
        <w:rPr>
          <w:rFonts w:cstheme="minorHAnsi"/>
          <w:color w:val="000000" w:themeColor="text1"/>
        </w:rPr>
        <w:t xml:space="preserve"> desire to give it a go. Having instructors present can help address any concerns or fears surrounding this and help people to feel </w:t>
      </w:r>
      <w:r w:rsidR="00513358" w:rsidRPr="00CA4ABC">
        <w:rPr>
          <w:rFonts w:cstheme="minorHAnsi"/>
          <w:color w:val="000000" w:themeColor="text1"/>
        </w:rPr>
        <w:t>safer when</w:t>
      </w:r>
      <w:r w:rsidR="004C12CF" w:rsidRPr="00CA4ABC">
        <w:rPr>
          <w:rFonts w:cstheme="minorHAnsi"/>
          <w:color w:val="000000" w:themeColor="text1"/>
        </w:rPr>
        <w:t xml:space="preserve"> engaging in resistance training.</w:t>
      </w:r>
    </w:p>
    <w:p w14:paraId="0C393973" w14:textId="77777777" w:rsidR="004C12CF" w:rsidRPr="00CA4ABC" w:rsidRDefault="004C12CF" w:rsidP="004053D7">
      <w:pPr>
        <w:tabs>
          <w:tab w:val="left" w:pos="2267"/>
        </w:tabs>
        <w:spacing w:line="360" w:lineRule="auto"/>
        <w:rPr>
          <w:rFonts w:cstheme="minorHAnsi"/>
          <w:color w:val="000000" w:themeColor="text1"/>
        </w:rPr>
      </w:pPr>
    </w:p>
    <w:p w14:paraId="7672CEB6" w14:textId="3256F242"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“So, I thought it would be useful to have structured discipline in terms of giving that a go, really. I bought weights and things myself and I just don’t do it because I’m frightened or it hurts</w:t>
      </w:r>
      <w:r w:rsidR="003A3B9E" w:rsidRPr="00CA4ABC">
        <w:rPr>
          <w:rFonts w:cstheme="minorHAnsi"/>
          <w:i/>
          <w:iCs/>
          <w:color w:val="000000" w:themeColor="text1"/>
        </w:rPr>
        <w:t>,</w:t>
      </w:r>
      <w:r w:rsidRPr="00CA4ABC">
        <w:rPr>
          <w:rFonts w:cstheme="minorHAnsi"/>
          <w:i/>
          <w:iCs/>
          <w:color w:val="000000" w:themeColor="text1"/>
        </w:rPr>
        <w:t xml:space="preserve"> or whatever. So I thought I would hand myself over and see how it went”</w:t>
      </w:r>
      <w:r w:rsidRPr="00CA4ABC">
        <w:rPr>
          <w:rFonts w:cstheme="minorHAnsi"/>
          <w:color w:val="000000" w:themeColor="text1"/>
        </w:rPr>
        <w:t xml:space="preserve"> (P104) </w:t>
      </w:r>
    </w:p>
    <w:p w14:paraId="2D71082A" w14:textId="56A865CD"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So I wanted to</w:t>
      </w:r>
      <w:r w:rsidR="00520B69" w:rsidRPr="00CA4ABC">
        <w:rPr>
          <w:rFonts w:cstheme="minorHAnsi"/>
          <w:i/>
          <w:iCs/>
          <w:color w:val="000000" w:themeColor="text1"/>
        </w:rPr>
        <w:t xml:space="preserve"> do</w:t>
      </w:r>
      <w:r w:rsidRPr="00CA4ABC">
        <w:rPr>
          <w:rFonts w:cstheme="minorHAnsi"/>
          <w:i/>
          <w:iCs/>
          <w:color w:val="000000" w:themeColor="text1"/>
        </w:rPr>
        <w:t xml:space="preserve"> some exercise but I just needed something that would challenge me and make me do it”</w:t>
      </w:r>
      <w:r w:rsidRPr="00CA4ABC">
        <w:rPr>
          <w:rFonts w:cstheme="minorHAnsi"/>
          <w:color w:val="000000" w:themeColor="text1"/>
        </w:rPr>
        <w:t xml:space="preserve"> (P105.)</w:t>
      </w:r>
    </w:p>
    <w:p w14:paraId="64530A66" w14:textId="77777777" w:rsidR="004C12CF" w:rsidRPr="00CA4ABC" w:rsidRDefault="004C12CF" w:rsidP="004053D7">
      <w:pPr>
        <w:tabs>
          <w:tab w:val="left" w:pos="2267"/>
        </w:tabs>
        <w:spacing w:line="360" w:lineRule="auto"/>
        <w:rPr>
          <w:rFonts w:cstheme="minorHAnsi"/>
          <w:color w:val="000000" w:themeColor="text1"/>
        </w:rPr>
      </w:pPr>
    </w:p>
    <w:p w14:paraId="60C2CE68" w14:textId="3C961AE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Motivation may not be the </w:t>
      </w:r>
      <w:r w:rsidR="006470ED" w:rsidRPr="00CA4ABC">
        <w:rPr>
          <w:rFonts w:cstheme="minorHAnsi"/>
          <w:color w:val="000000" w:themeColor="text1"/>
        </w:rPr>
        <w:t>factor that determines</w:t>
      </w:r>
      <w:r w:rsidRPr="00CA4ABC">
        <w:rPr>
          <w:rFonts w:cstheme="minorHAnsi"/>
          <w:color w:val="000000" w:themeColor="text1"/>
        </w:rPr>
        <w:t xml:space="preserve"> </w:t>
      </w:r>
      <w:r w:rsidR="00947531" w:rsidRPr="00CA4ABC">
        <w:rPr>
          <w:rFonts w:cstheme="minorHAnsi"/>
          <w:color w:val="000000" w:themeColor="text1"/>
        </w:rPr>
        <w:t>engagement</w:t>
      </w:r>
      <w:r w:rsidRPr="00CA4ABC">
        <w:rPr>
          <w:rFonts w:cstheme="minorHAnsi"/>
          <w:color w:val="000000" w:themeColor="text1"/>
        </w:rPr>
        <w:t xml:space="preserve"> with resistance training, as suggested by these comments, but instead</w:t>
      </w:r>
      <w:r w:rsidR="003E68DD" w:rsidRPr="00CA4ABC">
        <w:rPr>
          <w:rFonts w:cstheme="minorHAnsi"/>
          <w:color w:val="000000" w:themeColor="text1"/>
        </w:rPr>
        <w:t>,</w:t>
      </w:r>
      <w:r w:rsidRPr="00CA4ABC">
        <w:rPr>
          <w:rFonts w:cstheme="minorHAnsi"/>
          <w:color w:val="000000" w:themeColor="text1"/>
        </w:rPr>
        <w:t xml:space="preserve"> the </w:t>
      </w:r>
      <w:r w:rsidR="00513358" w:rsidRPr="00CA4ABC">
        <w:rPr>
          <w:rFonts w:cstheme="minorHAnsi"/>
          <w:color w:val="000000" w:themeColor="text1"/>
        </w:rPr>
        <w:t xml:space="preserve">acquisition of the appropriate </w:t>
      </w:r>
      <w:r w:rsidRPr="00CA4ABC">
        <w:rPr>
          <w:rFonts w:cstheme="minorHAnsi"/>
          <w:color w:val="000000" w:themeColor="text1"/>
        </w:rPr>
        <w:t>skills</w:t>
      </w:r>
      <w:r w:rsidR="003E68DD" w:rsidRPr="00CA4ABC">
        <w:rPr>
          <w:rFonts w:cstheme="minorHAnsi"/>
          <w:color w:val="000000" w:themeColor="text1"/>
        </w:rPr>
        <w:t xml:space="preserve"> (capabilities)</w:t>
      </w:r>
      <w:r w:rsidRPr="00CA4ABC">
        <w:rPr>
          <w:rFonts w:cstheme="minorHAnsi"/>
          <w:color w:val="000000" w:themeColor="text1"/>
        </w:rPr>
        <w:t xml:space="preserve"> and opportunities could be a barrier. This programme may have addressed these factor</w:t>
      </w:r>
      <w:r w:rsidR="004A77E3" w:rsidRPr="00CA4ABC">
        <w:rPr>
          <w:rFonts w:cstheme="minorHAnsi"/>
          <w:color w:val="000000" w:themeColor="text1"/>
        </w:rPr>
        <w:t>s</w:t>
      </w:r>
      <w:r w:rsidRPr="00CA4ABC">
        <w:rPr>
          <w:rFonts w:cstheme="minorHAnsi"/>
          <w:color w:val="000000" w:themeColor="text1"/>
        </w:rPr>
        <w:t xml:space="preserve"> and </w:t>
      </w:r>
      <w:r w:rsidR="003E68DD" w:rsidRPr="00CA4ABC">
        <w:rPr>
          <w:rFonts w:cstheme="minorHAnsi"/>
          <w:color w:val="000000" w:themeColor="text1"/>
        </w:rPr>
        <w:t xml:space="preserve">helps to </w:t>
      </w:r>
      <w:r w:rsidRPr="00CA4ABC">
        <w:rPr>
          <w:rFonts w:cstheme="minorHAnsi"/>
          <w:color w:val="000000" w:themeColor="text1"/>
        </w:rPr>
        <w:t>support its roll</w:t>
      </w:r>
      <w:r w:rsidR="004A77E3" w:rsidRPr="00CA4ABC">
        <w:rPr>
          <w:rFonts w:cstheme="minorHAnsi"/>
          <w:color w:val="000000" w:themeColor="text1"/>
        </w:rPr>
        <w:t>-</w:t>
      </w:r>
      <w:r w:rsidRPr="00CA4ABC">
        <w:rPr>
          <w:rFonts w:cstheme="minorHAnsi"/>
          <w:color w:val="000000" w:themeColor="text1"/>
        </w:rPr>
        <w:t>out</w:t>
      </w:r>
      <w:r w:rsidR="00513358" w:rsidRPr="00CA4ABC">
        <w:rPr>
          <w:rFonts w:cstheme="minorHAnsi"/>
          <w:color w:val="000000" w:themeColor="text1"/>
        </w:rPr>
        <w:t>.</w:t>
      </w:r>
      <w:r w:rsidR="003E68DD" w:rsidRPr="00CA4ABC">
        <w:rPr>
          <w:rFonts w:cstheme="minorHAnsi"/>
          <w:color w:val="000000" w:themeColor="text1"/>
        </w:rPr>
        <w:t xml:space="preserve"> This also ties into behaviour change models.</w:t>
      </w:r>
    </w:p>
    <w:p w14:paraId="2C756671" w14:textId="77777777" w:rsidR="004C12CF" w:rsidRPr="00CA4ABC" w:rsidRDefault="004C12CF" w:rsidP="004053D7">
      <w:pPr>
        <w:tabs>
          <w:tab w:val="left" w:pos="2267"/>
        </w:tabs>
        <w:spacing w:line="360" w:lineRule="auto"/>
        <w:rPr>
          <w:rFonts w:cstheme="minorHAnsi"/>
          <w:color w:val="000000" w:themeColor="text1"/>
        </w:rPr>
      </w:pPr>
    </w:p>
    <w:p w14:paraId="0B68C5D4" w14:textId="1FAB9120" w:rsidR="004C12CF" w:rsidRPr="00CA4ABC" w:rsidRDefault="006513FF" w:rsidP="004053D7">
      <w:pPr>
        <w:tabs>
          <w:tab w:val="left" w:pos="2267"/>
        </w:tabs>
        <w:spacing w:line="360" w:lineRule="auto"/>
        <w:rPr>
          <w:rFonts w:cstheme="minorHAnsi"/>
          <w:color w:val="000000"/>
          <w:shd w:val="clear" w:color="auto" w:fill="FFFFFF"/>
        </w:rPr>
      </w:pPr>
      <w:r w:rsidRPr="00CA4ABC">
        <w:rPr>
          <w:rFonts w:cstheme="minorHAnsi"/>
          <w:color w:val="000000"/>
          <w:shd w:val="clear" w:color="auto" w:fill="FFFFFF"/>
        </w:rPr>
        <w:t xml:space="preserve">Positive comments about the instructor’s delivery style may have aided the </w:t>
      </w:r>
      <w:r w:rsidR="003E68DD" w:rsidRPr="00CA4ABC">
        <w:rPr>
          <w:rFonts w:cstheme="minorHAnsi"/>
          <w:color w:val="000000"/>
          <w:shd w:val="clear" w:color="auto" w:fill="FFFFFF"/>
        </w:rPr>
        <w:t>participants' continued</w:t>
      </w:r>
      <w:r w:rsidRPr="00CA4ABC">
        <w:rPr>
          <w:rFonts w:cstheme="minorHAnsi"/>
          <w:color w:val="000000"/>
          <w:shd w:val="clear" w:color="auto" w:fill="FFFFFF"/>
        </w:rPr>
        <w:t xml:space="preserve"> engagement, especially if they felt they were gaining positive reinforcing feedback.</w:t>
      </w:r>
    </w:p>
    <w:p w14:paraId="5B82ECD7" w14:textId="77777777" w:rsidR="006513FF" w:rsidRPr="00CA4ABC" w:rsidRDefault="006513FF" w:rsidP="004053D7">
      <w:pPr>
        <w:tabs>
          <w:tab w:val="left" w:pos="2267"/>
        </w:tabs>
        <w:spacing w:line="360" w:lineRule="auto"/>
        <w:rPr>
          <w:rFonts w:cstheme="minorHAnsi"/>
          <w:color w:val="000000" w:themeColor="text1"/>
        </w:rPr>
      </w:pPr>
    </w:p>
    <w:p w14:paraId="4D7A0884" w14:textId="1CDB2F39"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“You were encouraging and cheery</w:t>
      </w:r>
      <w:r w:rsidR="006513FF" w:rsidRPr="00CA4ABC">
        <w:rPr>
          <w:rFonts w:cstheme="minorHAnsi"/>
          <w:i/>
          <w:iCs/>
          <w:color w:val="000000" w:themeColor="text1"/>
        </w:rPr>
        <w:t>,</w:t>
      </w:r>
      <w:r w:rsidRPr="00CA4ABC">
        <w:rPr>
          <w:rFonts w:cstheme="minorHAnsi"/>
          <w:i/>
          <w:iCs/>
          <w:color w:val="000000" w:themeColor="text1"/>
        </w:rPr>
        <w:t xml:space="preserve"> and I think that make</w:t>
      </w:r>
      <w:r w:rsidR="00947531" w:rsidRPr="00CA4ABC">
        <w:rPr>
          <w:rFonts w:cstheme="minorHAnsi"/>
          <w:i/>
          <w:iCs/>
          <w:color w:val="000000" w:themeColor="text1"/>
        </w:rPr>
        <w:t>s</w:t>
      </w:r>
      <w:r w:rsidRPr="00CA4ABC">
        <w:rPr>
          <w:rFonts w:cstheme="minorHAnsi"/>
          <w:i/>
          <w:iCs/>
          <w:color w:val="000000" w:themeColor="text1"/>
        </w:rPr>
        <w:t xml:space="preserve"> quite a lot of difference”</w:t>
      </w:r>
      <w:r w:rsidRPr="00CA4ABC">
        <w:rPr>
          <w:rFonts w:cstheme="minorHAnsi"/>
          <w:color w:val="000000" w:themeColor="text1"/>
        </w:rPr>
        <w:t xml:space="preserve"> (P110).</w:t>
      </w:r>
    </w:p>
    <w:p w14:paraId="5DA59A20" w14:textId="77777777" w:rsidR="004C12CF" w:rsidRPr="00CA4ABC" w:rsidRDefault="004C12CF" w:rsidP="004053D7">
      <w:pPr>
        <w:tabs>
          <w:tab w:val="left" w:pos="2267"/>
        </w:tabs>
        <w:spacing w:line="360" w:lineRule="auto"/>
        <w:rPr>
          <w:rFonts w:cstheme="minorHAnsi"/>
          <w:color w:val="000000" w:themeColor="text1"/>
        </w:rPr>
      </w:pPr>
    </w:p>
    <w:p w14:paraId="3516A63A" w14:textId="466E9F1E"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lastRenderedPageBreak/>
        <w:t>“It was very calming somehow, something with the way you did it. It felt very systematic and calm</w:t>
      </w:r>
      <w:r w:rsidR="006513FF" w:rsidRPr="00CA4ABC">
        <w:rPr>
          <w:rFonts w:cstheme="minorHAnsi"/>
          <w:i/>
          <w:iCs/>
          <w:color w:val="000000" w:themeColor="text1"/>
        </w:rPr>
        <w:t>,</w:t>
      </w:r>
      <w:r w:rsidRPr="00CA4ABC">
        <w:rPr>
          <w:rFonts w:cstheme="minorHAnsi"/>
          <w:i/>
          <w:iCs/>
          <w:color w:val="000000" w:themeColor="text1"/>
        </w:rPr>
        <w:t xml:space="preserve"> and I thought it was a bit relaxing actually”</w:t>
      </w:r>
      <w:r w:rsidRPr="00CA4ABC">
        <w:rPr>
          <w:rFonts w:cstheme="minorHAnsi"/>
          <w:color w:val="000000" w:themeColor="text1"/>
        </w:rPr>
        <w:t xml:space="preserve"> (P101)</w:t>
      </w:r>
    </w:p>
    <w:p w14:paraId="40F3C86D" w14:textId="77777777" w:rsidR="004C12CF" w:rsidRPr="00CA4ABC" w:rsidRDefault="004C12CF" w:rsidP="004053D7">
      <w:pPr>
        <w:tabs>
          <w:tab w:val="left" w:pos="2267"/>
        </w:tabs>
        <w:spacing w:line="360" w:lineRule="auto"/>
        <w:rPr>
          <w:rFonts w:cstheme="minorHAnsi"/>
          <w:color w:val="000000" w:themeColor="text1"/>
        </w:rPr>
      </w:pPr>
    </w:p>
    <w:p w14:paraId="635CD0C4" w14:textId="5077A523"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These comments show that participants appear</w:t>
      </w:r>
      <w:r w:rsidR="003E68DD" w:rsidRPr="00CA4ABC">
        <w:rPr>
          <w:rFonts w:cstheme="minorHAnsi"/>
          <w:color w:val="000000" w:themeColor="text1"/>
        </w:rPr>
        <w:t>ed</w:t>
      </w:r>
      <w:r w:rsidRPr="00CA4ABC">
        <w:rPr>
          <w:rFonts w:cstheme="minorHAnsi"/>
          <w:color w:val="000000" w:themeColor="text1"/>
        </w:rPr>
        <w:t xml:space="preserve"> to have enjoyed the workout sessions as a result of </w:t>
      </w:r>
      <w:r w:rsidR="00D66668" w:rsidRPr="00CA4ABC">
        <w:rPr>
          <w:rFonts w:cstheme="minorHAnsi"/>
          <w:color w:val="000000" w:themeColor="text1"/>
        </w:rPr>
        <w:t>how</w:t>
      </w:r>
      <w:r w:rsidRPr="00CA4ABC">
        <w:rPr>
          <w:rFonts w:cstheme="minorHAnsi"/>
          <w:color w:val="000000" w:themeColor="text1"/>
        </w:rPr>
        <w:t xml:space="preserve"> the sessions were delivered</w:t>
      </w:r>
      <w:r w:rsidR="004A2353" w:rsidRPr="00CA4ABC">
        <w:rPr>
          <w:rFonts w:cstheme="minorHAnsi"/>
          <w:color w:val="000000" w:themeColor="text1"/>
        </w:rPr>
        <w:t xml:space="preserve"> and</w:t>
      </w:r>
      <w:r w:rsidRPr="00CA4ABC">
        <w:rPr>
          <w:rFonts w:cstheme="minorHAnsi"/>
          <w:color w:val="000000" w:themeColor="text1"/>
        </w:rPr>
        <w:t xml:space="preserve"> were looking forward to them, rather than seeing them as a requirement</w:t>
      </w:r>
      <w:r w:rsidR="004A2353" w:rsidRPr="00CA4ABC">
        <w:rPr>
          <w:rFonts w:cstheme="minorHAnsi"/>
          <w:color w:val="000000" w:themeColor="text1"/>
        </w:rPr>
        <w:t xml:space="preserve"> or burden</w:t>
      </w:r>
      <w:r w:rsidRPr="00CA4ABC">
        <w:rPr>
          <w:rFonts w:cstheme="minorHAnsi"/>
          <w:color w:val="000000" w:themeColor="text1"/>
        </w:rPr>
        <w:t>.</w:t>
      </w:r>
    </w:p>
    <w:p w14:paraId="7AC1E0DE" w14:textId="77777777" w:rsidR="004C12CF" w:rsidRPr="00CA4ABC" w:rsidRDefault="004C12CF" w:rsidP="004053D7">
      <w:pPr>
        <w:tabs>
          <w:tab w:val="left" w:pos="2267"/>
        </w:tabs>
        <w:spacing w:line="360" w:lineRule="auto"/>
        <w:rPr>
          <w:rFonts w:cstheme="minorHAnsi"/>
          <w:color w:val="000000" w:themeColor="text1"/>
        </w:rPr>
      </w:pPr>
    </w:p>
    <w:p w14:paraId="7ADC938A" w14:textId="1FAF51B6"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Nevertheless, some felt obligated to honour a commitment, which was heightened by having an instructor present. Whether this is positive or negative, is unclear, but </w:t>
      </w:r>
      <w:r w:rsidR="00D66668" w:rsidRPr="00CA4ABC">
        <w:rPr>
          <w:rFonts w:cstheme="minorHAnsi"/>
          <w:color w:val="000000" w:themeColor="text1"/>
        </w:rPr>
        <w:t xml:space="preserve">it </w:t>
      </w:r>
      <w:r w:rsidR="004A2353" w:rsidRPr="00CA4ABC">
        <w:rPr>
          <w:rFonts w:cstheme="minorHAnsi"/>
          <w:color w:val="000000" w:themeColor="text1"/>
        </w:rPr>
        <w:t xml:space="preserve">could </w:t>
      </w:r>
      <w:r w:rsidRPr="00CA4ABC">
        <w:rPr>
          <w:rFonts w:cstheme="minorHAnsi"/>
          <w:color w:val="000000" w:themeColor="text1"/>
        </w:rPr>
        <w:t xml:space="preserve">suggest </w:t>
      </w:r>
      <w:r w:rsidR="00D66668" w:rsidRPr="00CA4ABC">
        <w:rPr>
          <w:rFonts w:cstheme="minorHAnsi"/>
          <w:color w:val="000000" w:themeColor="text1"/>
        </w:rPr>
        <w:t xml:space="preserve">that </w:t>
      </w:r>
      <w:r w:rsidRPr="00CA4ABC">
        <w:rPr>
          <w:rFonts w:cstheme="minorHAnsi"/>
          <w:color w:val="000000" w:themeColor="text1"/>
        </w:rPr>
        <w:t xml:space="preserve">motivation is more extrinsic than intrinsic. </w:t>
      </w:r>
    </w:p>
    <w:p w14:paraId="7B150EBD" w14:textId="77777777" w:rsidR="004C12CF" w:rsidRPr="00CA4ABC" w:rsidRDefault="004C12CF" w:rsidP="004053D7">
      <w:pPr>
        <w:tabs>
          <w:tab w:val="left" w:pos="2267"/>
        </w:tabs>
        <w:spacing w:line="360" w:lineRule="auto"/>
        <w:rPr>
          <w:rFonts w:cstheme="minorHAnsi"/>
          <w:color w:val="000000" w:themeColor="text1"/>
        </w:rPr>
      </w:pPr>
    </w:p>
    <w:p w14:paraId="71E3615E"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It is more difficult if you’ve made a promise to somebody else, isn’t it? Self-motivation is a lot harder, isn’t it”</w:t>
      </w:r>
      <w:r w:rsidRPr="00CA4ABC">
        <w:rPr>
          <w:rFonts w:cstheme="minorHAnsi"/>
          <w:color w:val="000000" w:themeColor="text1"/>
        </w:rPr>
        <w:t xml:space="preserve"> (P107)</w:t>
      </w:r>
    </w:p>
    <w:p w14:paraId="3B1B44F7" w14:textId="77777777" w:rsidR="004C12CF" w:rsidRPr="00CA4ABC" w:rsidRDefault="004C12CF" w:rsidP="004053D7">
      <w:pPr>
        <w:tabs>
          <w:tab w:val="left" w:pos="2267"/>
        </w:tabs>
        <w:spacing w:line="360" w:lineRule="auto"/>
        <w:rPr>
          <w:rFonts w:cstheme="minorHAnsi"/>
          <w:color w:val="000000" w:themeColor="text1"/>
        </w:rPr>
      </w:pPr>
    </w:p>
    <w:p w14:paraId="282BE567" w14:textId="7E44A741" w:rsidR="004C12CF" w:rsidRPr="00CA4ABC" w:rsidRDefault="004C12CF">
      <w:pPr>
        <w:pStyle w:val="ListParagraph"/>
        <w:numPr>
          <w:ilvl w:val="1"/>
          <w:numId w:val="4"/>
        </w:numPr>
        <w:tabs>
          <w:tab w:val="left" w:pos="2267"/>
        </w:tabs>
        <w:spacing w:line="360" w:lineRule="auto"/>
        <w:rPr>
          <w:rFonts w:cstheme="minorHAnsi"/>
          <w:color w:val="000000" w:themeColor="text1"/>
        </w:rPr>
      </w:pPr>
      <w:r w:rsidRPr="00CA4ABC">
        <w:rPr>
          <w:rFonts w:cstheme="minorHAnsi"/>
          <w:color w:val="000000" w:themeColor="text1"/>
        </w:rPr>
        <w:t>Motivations</w:t>
      </w:r>
    </w:p>
    <w:p w14:paraId="370C6F51"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Some participants also appear to require little persuasion to complete the workouts, regardless of external factors.</w:t>
      </w:r>
    </w:p>
    <w:p w14:paraId="73175A87" w14:textId="77777777" w:rsidR="004C12CF" w:rsidRPr="00CA4ABC" w:rsidRDefault="004C12CF" w:rsidP="004053D7">
      <w:pPr>
        <w:tabs>
          <w:tab w:val="left" w:pos="2267"/>
        </w:tabs>
        <w:spacing w:line="360" w:lineRule="auto"/>
        <w:rPr>
          <w:rFonts w:cstheme="minorHAnsi"/>
          <w:color w:val="000000" w:themeColor="text1"/>
        </w:rPr>
      </w:pPr>
    </w:p>
    <w:p w14:paraId="61F8E0A8" w14:textId="22A3C7B5"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 “</w:t>
      </w:r>
      <w:r w:rsidR="00D66668" w:rsidRPr="00CA4ABC">
        <w:rPr>
          <w:rFonts w:cstheme="minorHAnsi"/>
          <w:i/>
          <w:iCs/>
          <w:color w:val="000000" w:themeColor="text1"/>
        </w:rPr>
        <w:t>M</w:t>
      </w:r>
      <w:r w:rsidRPr="00CA4ABC">
        <w:rPr>
          <w:rFonts w:cstheme="minorHAnsi"/>
          <w:i/>
          <w:iCs/>
          <w:color w:val="000000" w:themeColor="text1"/>
        </w:rPr>
        <w:t xml:space="preserve">y motivation is high. Once I set my mind to it, I usually carry on” </w:t>
      </w:r>
      <w:r w:rsidRPr="00CA4ABC">
        <w:rPr>
          <w:rFonts w:cstheme="minorHAnsi"/>
          <w:color w:val="000000" w:themeColor="text1"/>
        </w:rPr>
        <w:t xml:space="preserve">(P108) </w:t>
      </w:r>
    </w:p>
    <w:p w14:paraId="23CF715D" w14:textId="77777777" w:rsidR="004C12CF" w:rsidRPr="00CA4ABC" w:rsidRDefault="004C12CF" w:rsidP="004053D7">
      <w:pPr>
        <w:tabs>
          <w:tab w:val="left" w:pos="2267"/>
        </w:tabs>
        <w:spacing w:line="360" w:lineRule="auto"/>
        <w:rPr>
          <w:rFonts w:cstheme="minorHAnsi"/>
          <w:color w:val="000000" w:themeColor="text1"/>
        </w:rPr>
      </w:pPr>
    </w:p>
    <w:p w14:paraId="683CB893" w14:textId="7557CCED"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Positive changes, as a result of the interventions, may have been a reaffirming influence to promote desires for further engagement</w:t>
      </w:r>
      <w:r w:rsidR="00D66668" w:rsidRPr="00CA4ABC">
        <w:rPr>
          <w:rFonts w:cstheme="minorHAnsi"/>
          <w:color w:val="000000" w:themeColor="text1"/>
        </w:rPr>
        <w:t>.</w:t>
      </w:r>
    </w:p>
    <w:p w14:paraId="7C81DDA7" w14:textId="77777777" w:rsidR="004C12CF" w:rsidRPr="00CA4ABC" w:rsidRDefault="004C12CF" w:rsidP="004053D7">
      <w:pPr>
        <w:tabs>
          <w:tab w:val="left" w:pos="2267"/>
        </w:tabs>
        <w:spacing w:line="360" w:lineRule="auto"/>
        <w:rPr>
          <w:rFonts w:cstheme="minorHAnsi"/>
          <w:color w:val="000000" w:themeColor="text1"/>
        </w:rPr>
      </w:pPr>
    </w:p>
    <w:p w14:paraId="1D215258"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definitely feel stronger and more motivated now”</w:t>
      </w:r>
      <w:r w:rsidRPr="00CA4ABC">
        <w:rPr>
          <w:rFonts w:cstheme="minorHAnsi"/>
          <w:color w:val="000000" w:themeColor="text1"/>
        </w:rPr>
        <w:t xml:space="preserve"> (P108).</w:t>
      </w:r>
    </w:p>
    <w:p w14:paraId="2260CB6B" w14:textId="77777777" w:rsidR="004C12CF" w:rsidRPr="00CA4ABC" w:rsidRDefault="004C12CF" w:rsidP="004053D7">
      <w:pPr>
        <w:tabs>
          <w:tab w:val="left" w:pos="2267"/>
        </w:tabs>
        <w:spacing w:line="360" w:lineRule="auto"/>
        <w:rPr>
          <w:rFonts w:cstheme="minorHAnsi"/>
          <w:color w:val="000000" w:themeColor="text1"/>
        </w:rPr>
      </w:pPr>
    </w:p>
    <w:p w14:paraId="76688C5A" w14:textId="7252F7B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Some of the positive changes participants stated experiencing have already been described previously, both </w:t>
      </w:r>
      <w:r w:rsidR="00D66668" w:rsidRPr="00CA4ABC">
        <w:rPr>
          <w:rFonts w:cstheme="minorHAnsi"/>
          <w:color w:val="000000" w:themeColor="text1"/>
        </w:rPr>
        <w:t>physical</w:t>
      </w:r>
      <w:r w:rsidRPr="00CA4ABC">
        <w:rPr>
          <w:rFonts w:cstheme="minorHAnsi"/>
          <w:color w:val="000000" w:themeColor="text1"/>
        </w:rPr>
        <w:t xml:space="preserve"> (theme one) and psychologica</w:t>
      </w:r>
      <w:r w:rsidR="00D66668" w:rsidRPr="00CA4ABC">
        <w:rPr>
          <w:rFonts w:cstheme="minorHAnsi"/>
          <w:color w:val="000000" w:themeColor="text1"/>
        </w:rPr>
        <w:t>l</w:t>
      </w:r>
      <w:r w:rsidRPr="00CA4ABC">
        <w:rPr>
          <w:rFonts w:cstheme="minorHAnsi"/>
          <w:color w:val="000000" w:themeColor="text1"/>
        </w:rPr>
        <w:t xml:space="preserve"> (theme 2);</w:t>
      </w:r>
      <w:r w:rsidR="003E68DD" w:rsidRPr="00CA4ABC">
        <w:rPr>
          <w:rFonts w:cstheme="minorHAnsi"/>
          <w:color w:val="000000" w:themeColor="text1"/>
        </w:rPr>
        <w:t xml:space="preserve"> both of</w:t>
      </w:r>
      <w:r w:rsidRPr="00CA4ABC">
        <w:rPr>
          <w:rFonts w:cstheme="minorHAnsi"/>
          <w:color w:val="000000" w:themeColor="text1"/>
        </w:rPr>
        <w:t xml:space="preserve"> these are likely to feed into desires for continued participation.</w:t>
      </w:r>
    </w:p>
    <w:p w14:paraId="23DD59A6" w14:textId="77777777" w:rsidR="004C12CF" w:rsidRPr="00CA4ABC" w:rsidRDefault="004C12CF" w:rsidP="004053D7">
      <w:pPr>
        <w:tabs>
          <w:tab w:val="left" w:pos="2267"/>
        </w:tabs>
        <w:spacing w:line="360" w:lineRule="auto"/>
        <w:rPr>
          <w:rFonts w:cstheme="minorHAnsi"/>
          <w:color w:val="000000" w:themeColor="text1"/>
        </w:rPr>
      </w:pPr>
    </w:p>
    <w:p w14:paraId="7DC50001" w14:textId="1E35177D"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People who are less enthusiastic may require further encouragement. Understanding motivation and harnessing it may be an effective way to promote behaviour change associated with participation. The use of behaviour change models should be utilised to </w:t>
      </w:r>
      <w:r w:rsidRPr="00CA4ABC">
        <w:rPr>
          <w:rFonts w:cstheme="minorHAnsi"/>
          <w:color w:val="000000" w:themeColor="text1"/>
        </w:rPr>
        <w:lastRenderedPageBreak/>
        <w:t xml:space="preserve">promote optimum engagement, rather than just relying on the accounts given by the participants who volunteered for the feasibility trial, due to the evidence </w:t>
      </w:r>
      <w:r w:rsidR="006513FF" w:rsidRPr="00CA4ABC">
        <w:rPr>
          <w:rFonts w:cstheme="minorHAnsi"/>
          <w:color w:val="000000" w:themeColor="text1"/>
        </w:rPr>
        <w:t>suggesting</w:t>
      </w:r>
      <w:r w:rsidRPr="00CA4ABC">
        <w:rPr>
          <w:rFonts w:cstheme="minorHAnsi"/>
          <w:color w:val="000000" w:themeColor="text1"/>
        </w:rPr>
        <w:t xml:space="preserve"> that</w:t>
      </w:r>
      <w:r w:rsidR="003E68DD" w:rsidRPr="00CA4ABC">
        <w:rPr>
          <w:rFonts w:cstheme="minorHAnsi"/>
          <w:color w:val="000000" w:themeColor="text1"/>
        </w:rPr>
        <w:t xml:space="preserve"> they</w:t>
      </w:r>
      <w:r w:rsidRPr="00CA4ABC">
        <w:rPr>
          <w:rFonts w:cstheme="minorHAnsi"/>
          <w:color w:val="000000" w:themeColor="text1"/>
        </w:rPr>
        <w:t xml:space="preserve"> are already motivated individuals. </w:t>
      </w:r>
    </w:p>
    <w:p w14:paraId="099E2A3E" w14:textId="77777777" w:rsidR="004C12CF" w:rsidRPr="00CA4ABC" w:rsidRDefault="004C12CF" w:rsidP="004053D7">
      <w:pPr>
        <w:tabs>
          <w:tab w:val="left" w:pos="2267"/>
        </w:tabs>
        <w:spacing w:line="360" w:lineRule="auto"/>
        <w:rPr>
          <w:rFonts w:cstheme="minorHAnsi"/>
          <w:color w:val="000000" w:themeColor="text1"/>
        </w:rPr>
      </w:pPr>
    </w:p>
    <w:p w14:paraId="5C23265D" w14:textId="469F3E38" w:rsidR="004C12CF" w:rsidRPr="00CA4ABC" w:rsidRDefault="004C12CF">
      <w:pPr>
        <w:pStyle w:val="ListParagraph"/>
        <w:numPr>
          <w:ilvl w:val="1"/>
          <w:numId w:val="4"/>
        </w:numPr>
        <w:tabs>
          <w:tab w:val="left" w:pos="2267"/>
        </w:tabs>
        <w:spacing w:line="360" w:lineRule="auto"/>
        <w:rPr>
          <w:rFonts w:cstheme="minorHAnsi"/>
          <w:color w:val="000000" w:themeColor="text1"/>
        </w:rPr>
      </w:pPr>
      <w:r w:rsidRPr="00CA4ABC">
        <w:rPr>
          <w:rFonts w:cstheme="minorHAnsi"/>
          <w:color w:val="000000" w:themeColor="text1"/>
        </w:rPr>
        <w:t>The effect of engaging in a research project</w:t>
      </w:r>
    </w:p>
    <w:p w14:paraId="4B839E5E" w14:textId="2D1683F2"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Feelings of obligation are also a reflection of the characteristics of the participants and their desire to help others. The participants have agreed to engage in a research trial and this sense of altruism, particularly to the instructor/researcher, </w:t>
      </w:r>
      <w:r w:rsidR="003E68DD" w:rsidRPr="00CA4ABC">
        <w:rPr>
          <w:rFonts w:cstheme="minorHAnsi"/>
          <w:color w:val="000000" w:themeColor="text1"/>
        </w:rPr>
        <w:t>was likely an</w:t>
      </w:r>
      <w:r w:rsidRPr="00CA4ABC">
        <w:rPr>
          <w:rFonts w:cstheme="minorHAnsi"/>
          <w:color w:val="000000" w:themeColor="text1"/>
        </w:rPr>
        <w:t xml:space="preserve"> influential factor which motivated them to continue. </w:t>
      </w:r>
    </w:p>
    <w:p w14:paraId="135F5B29" w14:textId="77777777" w:rsidR="004C12CF" w:rsidRPr="00CA4ABC" w:rsidRDefault="004C12CF" w:rsidP="004053D7">
      <w:pPr>
        <w:tabs>
          <w:tab w:val="left" w:pos="2267"/>
        </w:tabs>
        <w:spacing w:line="360" w:lineRule="auto"/>
        <w:rPr>
          <w:rFonts w:cstheme="minorHAnsi"/>
          <w:color w:val="000000" w:themeColor="text1"/>
        </w:rPr>
      </w:pPr>
    </w:p>
    <w:p w14:paraId="4C38F3A8"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 didn’t want to let you down”</w:t>
      </w:r>
      <w:r w:rsidRPr="00CA4ABC">
        <w:rPr>
          <w:rFonts w:cstheme="minorHAnsi"/>
          <w:color w:val="000000" w:themeColor="text1"/>
        </w:rPr>
        <w:t xml:space="preserve"> (P110) </w:t>
      </w:r>
    </w:p>
    <w:p w14:paraId="3FE863F9" w14:textId="349DCA45"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So, doing it just for me, I’m not bothered, but actually doing it for someone else, that</w:t>
      </w:r>
      <w:r w:rsidR="003E68DD" w:rsidRPr="00CA4ABC">
        <w:rPr>
          <w:rFonts w:cstheme="minorHAnsi"/>
          <w:i/>
          <w:iCs/>
          <w:color w:val="000000" w:themeColor="text1"/>
        </w:rPr>
        <w:t>’s</w:t>
      </w:r>
      <w:r w:rsidRPr="00CA4ABC">
        <w:rPr>
          <w:rFonts w:cstheme="minorHAnsi"/>
          <w:i/>
          <w:iCs/>
          <w:color w:val="000000" w:themeColor="text1"/>
        </w:rPr>
        <w:t xml:space="preserve"> more of</w:t>
      </w:r>
      <w:r w:rsidR="003E68DD" w:rsidRPr="00CA4ABC">
        <w:rPr>
          <w:rFonts w:cstheme="minorHAnsi"/>
          <w:i/>
          <w:iCs/>
          <w:color w:val="000000" w:themeColor="text1"/>
        </w:rPr>
        <w:t xml:space="preserve"> an</w:t>
      </w:r>
      <w:r w:rsidRPr="00CA4ABC">
        <w:rPr>
          <w:rFonts w:cstheme="minorHAnsi"/>
          <w:i/>
          <w:iCs/>
          <w:color w:val="000000" w:themeColor="text1"/>
        </w:rPr>
        <w:t xml:space="preserve"> interest for me.”</w:t>
      </w:r>
      <w:r w:rsidRPr="00CA4ABC">
        <w:rPr>
          <w:rFonts w:cstheme="minorHAnsi"/>
          <w:color w:val="000000" w:themeColor="text1"/>
        </w:rPr>
        <w:t xml:space="preserve"> (P106). </w:t>
      </w:r>
    </w:p>
    <w:p w14:paraId="51502F88"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“Well because we’ve got an obligation to you, that’s all, really. I promised you I would do it, so I did it.” </w:t>
      </w:r>
      <w:r w:rsidRPr="00CA4ABC">
        <w:rPr>
          <w:rFonts w:cstheme="minorHAnsi"/>
          <w:color w:val="000000" w:themeColor="text1"/>
        </w:rPr>
        <w:t>(P104).</w:t>
      </w:r>
    </w:p>
    <w:p w14:paraId="0C3C59B6" w14:textId="77777777" w:rsidR="004C12CF" w:rsidRPr="00CA4ABC" w:rsidRDefault="004C12CF" w:rsidP="004053D7">
      <w:pPr>
        <w:tabs>
          <w:tab w:val="left" w:pos="2267"/>
        </w:tabs>
        <w:spacing w:line="360" w:lineRule="auto"/>
        <w:rPr>
          <w:rFonts w:cstheme="minorHAnsi"/>
          <w:color w:val="000000" w:themeColor="text1"/>
        </w:rPr>
      </w:pPr>
    </w:p>
    <w:p w14:paraId="024A64C7" w14:textId="77777777" w:rsidR="004C12CF" w:rsidRPr="00CA4ABC" w:rsidRDefault="004C12CF" w:rsidP="004053D7">
      <w:pPr>
        <w:tabs>
          <w:tab w:val="left" w:pos="2267"/>
        </w:tabs>
        <w:spacing w:line="360" w:lineRule="auto"/>
        <w:rPr>
          <w:rFonts w:cstheme="minorHAnsi"/>
          <w:i/>
          <w:iCs/>
          <w:color w:val="000000" w:themeColor="text1"/>
        </w:rPr>
      </w:pPr>
      <w:r w:rsidRPr="00CA4ABC">
        <w:rPr>
          <w:rFonts w:cstheme="minorHAnsi"/>
          <w:color w:val="000000" w:themeColor="text1"/>
        </w:rPr>
        <w:t>Moreover, knowing that they were contributing to scientific findings may have also been a motivating factor</w:t>
      </w:r>
      <w:r w:rsidRPr="00CA4ABC">
        <w:rPr>
          <w:rFonts w:cstheme="minorHAnsi"/>
          <w:i/>
          <w:iCs/>
          <w:color w:val="000000" w:themeColor="text1"/>
        </w:rPr>
        <w:t>.</w:t>
      </w:r>
    </w:p>
    <w:p w14:paraId="7B08C89B" w14:textId="77777777" w:rsidR="004C12CF" w:rsidRPr="00CA4ABC" w:rsidRDefault="004C12CF" w:rsidP="004053D7">
      <w:pPr>
        <w:tabs>
          <w:tab w:val="left" w:pos="2267"/>
        </w:tabs>
        <w:spacing w:line="360" w:lineRule="auto"/>
        <w:rPr>
          <w:rFonts w:cstheme="minorHAnsi"/>
          <w:i/>
          <w:iCs/>
          <w:color w:val="000000" w:themeColor="text1"/>
        </w:rPr>
      </w:pPr>
    </w:p>
    <w:p w14:paraId="1B04E9DC"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 “I think it is quite motivating to take part in a research project.”</w:t>
      </w:r>
      <w:r w:rsidRPr="00CA4ABC">
        <w:rPr>
          <w:rFonts w:cstheme="minorHAnsi"/>
          <w:color w:val="000000" w:themeColor="text1"/>
        </w:rPr>
        <w:t xml:space="preserve"> (P109). </w:t>
      </w:r>
    </w:p>
    <w:p w14:paraId="268C5798"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“Yes, because I know that you wanted us to attend live if we could, so you could see the progress or to see if we’re doing it right. So that’s why I attended” </w:t>
      </w:r>
      <w:r w:rsidRPr="00CA4ABC">
        <w:rPr>
          <w:rFonts w:cstheme="minorHAnsi"/>
          <w:color w:val="000000" w:themeColor="text1"/>
        </w:rPr>
        <w:t xml:space="preserve">(P108.) </w:t>
      </w:r>
    </w:p>
    <w:p w14:paraId="71091E4F" w14:textId="77777777" w:rsidR="004C12CF" w:rsidRPr="00CA4ABC" w:rsidRDefault="004C12CF" w:rsidP="004053D7">
      <w:pPr>
        <w:tabs>
          <w:tab w:val="left" w:pos="2267"/>
        </w:tabs>
        <w:spacing w:line="360" w:lineRule="auto"/>
        <w:rPr>
          <w:rFonts w:cstheme="minorHAnsi"/>
          <w:color w:val="000000" w:themeColor="text1"/>
        </w:rPr>
      </w:pPr>
    </w:p>
    <w:p w14:paraId="7E6A9121" w14:textId="6CC10452"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The participants likely came from well-educated backgrounds, many of whom have achieved higher education qualifications, thus influencing their opinions about the importance of research. This attitude may not be held by the general population, so engaging others without these viewpoints is necessary for representation. Furthermore, to extend the findings of the trial to real-world settings, the removal of the research element is needed</w:t>
      </w:r>
      <w:r w:rsidR="003E68DD" w:rsidRPr="00CA4ABC">
        <w:rPr>
          <w:rFonts w:cstheme="minorHAnsi"/>
          <w:color w:val="000000" w:themeColor="text1"/>
        </w:rPr>
        <w:t>.</w:t>
      </w:r>
    </w:p>
    <w:p w14:paraId="594E9F44" w14:textId="77777777" w:rsidR="004C12CF" w:rsidRPr="00CA4ABC" w:rsidRDefault="004C12CF" w:rsidP="004053D7">
      <w:pPr>
        <w:tabs>
          <w:tab w:val="left" w:pos="2267"/>
        </w:tabs>
        <w:spacing w:line="360" w:lineRule="auto"/>
        <w:rPr>
          <w:rFonts w:cstheme="minorHAnsi"/>
          <w:color w:val="000000" w:themeColor="text1"/>
        </w:rPr>
      </w:pPr>
    </w:p>
    <w:p w14:paraId="3840CC58" w14:textId="77777777" w:rsidR="004C12CF" w:rsidRPr="00CA4ABC" w:rsidRDefault="004C12CF">
      <w:pPr>
        <w:pStyle w:val="ListParagraph"/>
        <w:numPr>
          <w:ilvl w:val="1"/>
          <w:numId w:val="4"/>
        </w:numPr>
        <w:tabs>
          <w:tab w:val="left" w:pos="2267"/>
        </w:tabs>
        <w:spacing w:line="360" w:lineRule="auto"/>
        <w:rPr>
          <w:rFonts w:cstheme="minorHAnsi"/>
          <w:color w:val="000000" w:themeColor="text1"/>
        </w:rPr>
      </w:pPr>
      <w:r w:rsidRPr="00CA4ABC">
        <w:rPr>
          <w:rFonts w:cstheme="minorHAnsi"/>
          <w:color w:val="000000" w:themeColor="text1"/>
        </w:rPr>
        <w:t>facilitators/over-coming barriers to exercise</w:t>
      </w:r>
    </w:p>
    <w:p w14:paraId="28EC213D" w14:textId="4ADD7E00" w:rsidR="004C12CF" w:rsidRPr="00CA4ABC" w:rsidRDefault="006513FF" w:rsidP="004053D7">
      <w:pPr>
        <w:tabs>
          <w:tab w:val="left" w:pos="2267"/>
        </w:tabs>
        <w:spacing w:line="360" w:lineRule="auto"/>
        <w:rPr>
          <w:rFonts w:cstheme="minorHAnsi"/>
          <w:color w:val="000000" w:themeColor="text1"/>
        </w:rPr>
      </w:pPr>
      <w:r w:rsidRPr="00CA4ABC">
        <w:rPr>
          <w:rFonts w:cstheme="minorHAnsi"/>
          <w:color w:val="000000" w:themeColor="text1"/>
        </w:rPr>
        <w:lastRenderedPageBreak/>
        <w:t>To</w:t>
      </w:r>
      <w:r w:rsidR="004C12CF" w:rsidRPr="00CA4ABC">
        <w:rPr>
          <w:rFonts w:cstheme="minorHAnsi"/>
          <w:color w:val="000000" w:themeColor="text1"/>
        </w:rPr>
        <w:t xml:space="preserve"> encourage exercise engagement, understanding barriers individuals have which can hinder participation is important so that strategies can be put in place to mitigate these circumstances.</w:t>
      </w:r>
    </w:p>
    <w:p w14:paraId="05C3EFC4" w14:textId="77777777" w:rsidR="004C12CF" w:rsidRPr="00CA4ABC" w:rsidRDefault="004C12CF" w:rsidP="004053D7">
      <w:pPr>
        <w:tabs>
          <w:tab w:val="left" w:pos="2267"/>
        </w:tabs>
        <w:spacing w:line="360" w:lineRule="auto"/>
        <w:rPr>
          <w:rFonts w:cstheme="minorHAnsi"/>
          <w:color w:val="000000" w:themeColor="text1"/>
        </w:rPr>
      </w:pPr>
    </w:p>
    <w:p w14:paraId="48D1D412" w14:textId="7FACBF2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The home-based sessions may have been a solution to </w:t>
      </w:r>
      <w:r w:rsidR="00C46E20" w:rsidRPr="00CA4ABC">
        <w:rPr>
          <w:rFonts w:cstheme="minorHAnsi"/>
          <w:color w:val="000000" w:themeColor="text1"/>
        </w:rPr>
        <w:t>time commitments</w:t>
      </w:r>
      <w:r w:rsidRPr="00CA4ABC">
        <w:rPr>
          <w:rFonts w:cstheme="minorHAnsi"/>
          <w:color w:val="000000" w:themeColor="text1"/>
        </w:rPr>
        <w:t xml:space="preserve"> associated with exercise, as travel time is removed.</w:t>
      </w:r>
    </w:p>
    <w:p w14:paraId="34C19446" w14:textId="77777777" w:rsidR="004C12CF" w:rsidRPr="00CA4ABC" w:rsidRDefault="004C12CF" w:rsidP="004053D7">
      <w:pPr>
        <w:tabs>
          <w:tab w:val="left" w:pos="2267"/>
        </w:tabs>
        <w:spacing w:line="360" w:lineRule="auto"/>
        <w:rPr>
          <w:rFonts w:cstheme="minorHAnsi"/>
          <w:color w:val="000000" w:themeColor="text1"/>
        </w:rPr>
      </w:pPr>
    </w:p>
    <w:p w14:paraId="01622430"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prefer doing them at home. It’s just quick, more convenient. You don’t have to go to the gym</w:t>
      </w:r>
      <w:r w:rsidRPr="00CA4ABC">
        <w:rPr>
          <w:rFonts w:cstheme="minorHAnsi"/>
          <w:color w:val="000000" w:themeColor="text1"/>
        </w:rPr>
        <w:t xml:space="preserve">.” (P105). </w:t>
      </w:r>
    </w:p>
    <w:p w14:paraId="2D13085A" w14:textId="77777777" w:rsidR="004C12CF" w:rsidRPr="00CA4ABC" w:rsidRDefault="004C12CF" w:rsidP="004053D7">
      <w:pPr>
        <w:tabs>
          <w:tab w:val="left" w:pos="2267"/>
        </w:tabs>
        <w:spacing w:line="360" w:lineRule="auto"/>
        <w:rPr>
          <w:rFonts w:cstheme="minorHAnsi"/>
          <w:i/>
          <w:iCs/>
          <w:color w:val="000000" w:themeColor="text1"/>
        </w:rPr>
      </w:pPr>
      <w:r w:rsidRPr="00CA4ABC">
        <w:rPr>
          <w:rFonts w:cstheme="minorHAnsi"/>
          <w:i/>
          <w:iCs/>
          <w:color w:val="000000" w:themeColor="text1"/>
        </w:rPr>
        <w:t>“because it was at home I was working at home and really, really busy working full-time and studying I thought this was a way I could get some exercise in for the time being conveniently” (P110)</w:t>
      </w:r>
    </w:p>
    <w:p w14:paraId="4E34200A" w14:textId="77777777" w:rsidR="004C12CF" w:rsidRPr="00CA4ABC" w:rsidRDefault="004C12CF" w:rsidP="004053D7">
      <w:pPr>
        <w:tabs>
          <w:tab w:val="left" w:pos="2267"/>
        </w:tabs>
        <w:spacing w:line="360" w:lineRule="auto"/>
        <w:rPr>
          <w:rFonts w:cstheme="minorHAnsi"/>
          <w:color w:val="000000" w:themeColor="text1"/>
        </w:rPr>
      </w:pPr>
    </w:p>
    <w:p w14:paraId="40BDFF94" w14:textId="267792BA"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In addition to this, it was the preference of some people to do the workout videos in their own time rather than attend a live session so that they could fit it in with their daily routine. </w:t>
      </w:r>
    </w:p>
    <w:p w14:paraId="5402AE20" w14:textId="77777777" w:rsidR="004C12CF" w:rsidRPr="00CA4ABC" w:rsidRDefault="004C12CF" w:rsidP="004053D7">
      <w:pPr>
        <w:tabs>
          <w:tab w:val="left" w:pos="2267"/>
        </w:tabs>
        <w:spacing w:line="360" w:lineRule="auto"/>
        <w:rPr>
          <w:rFonts w:cstheme="minorHAnsi"/>
          <w:color w:val="000000" w:themeColor="text1"/>
        </w:rPr>
      </w:pPr>
    </w:p>
    <w:p w14:paraId="05DEE7E8"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“But the fact that you had given us the recording, it was good that you could catch up and just do it in your own time.”</w:t>
      </w:r>
      <w:r w:rsidRPr="00CA4ABC">
        <w:rPr>
          <w:rFonts w:cstheme="minorHAnsi"/>
          <w:color w:val="000000" w:themeColor="text1"/>
        </w:rPr>
        <w:t xml:space="preserve"> (P103.)</w:t>
      </w:r>
    </w:p>
    <w:p w14:paraId="5373606F"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 xml:space="preserve">“I’m just glad you had the recording because that is what I was basically using was the recordings to do it when I could do it. It would be when I had the time because I had different things happening on different days so, it’s not with me anyway, it’s not the same routine every day” </w:t>
      </w:r>
      <w:r w:rsidRPr="00CA4ABC">
        <w:rPr>
          <w:rFonts w:cstheme="minorHAnsi"/>
          <w:color w:val="000000" w:themeColor="text1"/>
        </w:rPr>
        <w:t>(P112).</w:t>
      </w:r>
    </w:p>
    <w:p w14:paraId="0C476229" w14:textId="77777777" w:rsidR="004C12CF" w:rsidRPr="00CA4ABC" w:rsidRDefault="004C12CF" w:rsidP="004053D7">
      <w:pPr>
        <w:tabs>
          <w:tab w:val="left" w:pos="2267"/>
        </w:tabs>
        <w:spacing w:line="360" w:lineRule="auto"/>
        <w:rPr>
          <w:rFonts w:cstheme="minorHAnsi"/>
          <w:color w:val="000000" w:themeColor="text1"/>
        </w:rPr>
      </w:pPr>
    </w:p>
    <w:p w14:paraId="77A3749C" w14:textId="5F05FE9C" w:rsidR="004A2353"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Furthermore, participant</w:t>
      </w:r>
      <w:r w:rsidR="00C46E20" w:rsidRPr="00CA4ABC">
        <w:rPr>
          <w:rFonts w:cstheme="minorHAnsi"/>
          <w:color w:val="000000" w:themeColor="text1"/>
        </w:rPr>
        <w:t>s</w:t>
      </w:r>
      <w:r w:rsidRPr="00CA4ABC">
        <w:rPr>
          <w:rFonts w:cstheme="minorHAnsi"/>
          <w:color w:val="000000" w:themeColor="text1"/>
        </w:rPr>
        <w:t xml:space="preserve"> also demonstrated a preference for doing the videos on their own as they could </w:t>
      </w:r>
      <w:r w:rsidR="003E68DD" w:rsidRPr="00CA4ABC">
        <w:rPr>
          <w:rFonts w:cstheme="minorHAnsi"/>
          <w:color w:val="000000" w:themeColor="text1"/>
        </w:rPr>
        <w:t>do</w:t>
      </w:r>
      <w:r w:rsidRPr="00CA4ABC">
        <w:rPr>
          <w:rFonts w:cstheme="minorHAnsi"/>
          <w:color w:val="000000" w:themeColor="text1"/>
        </w:rPr>
        <w:t xml:space="preserve"> them at their own pace</w:t>
      </w:r>
      <w:r w:rsidR="004A2353" w:rsidRPr="00CA4ABC">
        <w:rPr>
          <w:rFonts w:cstheme="minorHAnsi"/>
          <w:color w:val="000000" w:themeColor="text1"/>
        </w:rPr>
        <w:t>.</w:t>
      </w:r>
    </w:p>
    <w:p w14:paraId="298D7E96" w14:textId="4B14CA58"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p>
    <w:p w14:paraId="343E031B"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“I’m always rushing around so I felt like when I was doing it live I was waiting a lot so instead I was trying to learn what you did, watch what you did and just did it a bit, a little bit kind of with no gaps in the middle.”</w:t>
      </w:r>
      <w:r w:rsidRPr="00CA4ABC">
        <w:rPr>
          <w:rFonts w:cstheme="minorHAnsi"/>
          <w:color w:val="000000" w:themeColor="text1"/>
        </w:rPr>
        <w:t xml:space="preserve"> (P105) </w:t>
      </w:r>
    </w:p>
    <w:p w14:paraId="4A09E8A4"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“For me it worked very well with the pre-recorded. I really, really enjoyed participating in the pre-recorded sessions. I think that was actually much better for me than the live sessions. For </w:t>
      </w:r>
      <w:r w:rsidRPr="00CA4ABC">
        <w:rPr>
          <w:rFonts w:cstheme="minorHAnsi"/>
          <w:i/>
          <w:iCs/>
          <w:color w:val="000000" w:themeColor="text1"/>
        </w:rPr>
        <w:lastRenderedPageBreak/>
        <w:t>it would be better because it was so simple and nice and I could stop if something happened, which it did, often, and then continue</w:t>
      </w:r>
      <w:r w:rsidRPr="00CA4ABC">
        <w:rPr>
          <w:rFonts w:cstheme="minorHAnsi"/>
          <w:color w:val="000000" w:themeColor="text1"/>
        </w:rPr>
        <w:t>” (P101.)</w:t>
      </w:r>
    </w:p>
    <w:p w14:paraId="792EC081" w14:textId="77777777" w:rsidR="004C12CF" w:rsidRPr="00CA4ABC" w:rsidRDefault="004C12CF" w:rsidP="004053D7">
      <w:pPr>
        <w:tabs>
          <w:tab w:val="left" w:pos="2267"/>
        </w:tabs>
        <w:spacing w:line="360" w:lineRule="auto"/>
        <w:rPr>
          <w:rFonts w:cstheme="minorHAnsi"/>
          <w:color w:val="000000" w:themeColor="text1"/>
        </w:rPr>
      </w:pPr>
    </w:p>
    <w:p w14:paraId="62E4D327" w14:textId="77777777" w:rsidR="004A2353"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Conversely, some stated there could be drawbacks to simply only having a recorded workout</w:t>
      </w:r>
      <w:r w:rsidR="004A2353" w:rsidRPr="00CA4ABC">
        <w:rPr>
          <w:rFonts w:cstheme="minorHAnsi"/>
          <w:color w:val="000000" w:themeColor="text1"/>
        </w:rPr>
        <w:t>.</w:t>
      </w:r>
    </w:p>
    <w:p w14:paraId="119C0868" w14:textId="03800FA5"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p>
    <w:p w14:paraId="29FB34DB"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“I think with the knowing what I’m like not very much willpower and quite, not scatty, but disorganised I think the recording and making yourself do them a couple of times a week, it could easily slip off. So maybe a programme where you did the recordings but there was some motivation that made you sort of have to do it and report it”</w:t>
      </w:r>
      <w:r w:rsidRPr="00CA4ABC">
        <w:rPr>
          <w:rFonts w:cstheme="minorHAnsi"/>
          <w:color w:val="000000" w:themeColor="text1"/>
        </w:rPr>
        <w:t xml:space="preserve"> (P110) </w:t>
      </w:r>
    </w:p>
    <w:p w14:paraId="25277C71" w14:textId="77777777" w:rsidR="004C12CF" w:rsidRPr="00CA4ABC" w:rsidRDefault="004C12CF" w:rsidP="004053D7">
      <w:pPr>
        <w:tabs>
          <w:tab w:val="left" w:pos="2267"/>
        </w:tabs>
        <w:spacing w:line="360" w:lineRule="auto"/>
        <w:rPr>
          <w:rFonts w:cstheme="minorHAnsi"/>
          <w:color w:val="000000" w:themeColor="text1"/>
        </w:rPr>
      </w:pPr>
    </w:p>
    <w:p w14:paraId="76DDCE71" w14:textId="0920C3EC" w:rsidR="004C12CF" w:rsidRPr="00CA4ABC" w:rsidRDefault="00365F74" w:rsidP="004053D7">
      <w:pPr>
        <w:tabs>
          <w:tab w:val="left" w:pos="2267"/>
        </w:tabs>
        <w:spacing w:line="360" w:lineRule="auto"/>
        <w:rPr>
          <w:rFonts w:cstheme="minorHAnsi"/>
          <w:color w:val="000000" w:themeColor="text1"/>
        </w:rPr>
      </w:pPr>
      <w:r w:rsidRPr="00CA4ABC">
        <w:rPr>
          <w:rFonts w:cstheme="minorHAnsi"/>
          <w:color w:val="000000" w:themeColor="text1"/>
        </w:rPr>
        <w:t>The</w:t>
      </w:r>
      <w:r w:rsidR="004C12CF" w:rsidRPr="00CA4ABC">
        <w:rPr>
          <w:rFonts w:cstheme="minorHAnsi"/>
          <w:color w:val="000000" w:themeColor="text1"/>
        </w:rPr>
        <w:t xml:space="preserve"> contradictory nature of these comments suggests that it may be important to design the programme to suit many different traits, including a variety of time</w:t>
      </w:r>
      <w:r w:rsidRPr="00CA4ABC">
        <w:rPr>
          <w:rFonts w:cstheme="minorHAnsi"/>
          <w:color w:val="000000" w:themeColor="text1"/>
        </w:rPr>
        <w:t xml:space="preserve"> </w:t>
      </w:r>
      <w:r w:rsidR="004C12CF" w:rsidRPr="00CA4ABC">
        <w:rPr>
          <w:rFonts w:cstheme="minorHAnsi"/>
          <w:color w:val="000000" w:themeColor="text1"/>
        </w:rPr>
        <w:t xml:space="preserve">commitments and motivation levels. </w:t>
      </w:r>
    </w:p>
    <w:p w14:paraId="3645CB9F" w14:textId="4908E8C6"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Comments to support the delivery of live sessions were provided, particularly in relation to their enjoyability and enhanced motivation, including stating that having an instructor present increased their effort levels</w:t>
      </w:r>
      <w:r w:rsidR="00365F74" w:rsidRPr="00CA4ABC">
        <w:rPr>
          <w:rFonts w:cstheme="minorHAnsi"/>
          <w:color w:val="000000" w:themeColor="text1"/>
        </w:rPr>
        <w:t>.</w:t>
      </w:r>
    </w:p>
    <w:p w14:paraId="2EA1754B" w14:textId="77777777" w:rsidR="004C12CF" w:rsidRPr="00CA4ABC" w:rsidRDefault="004C12CF" w:rsidP="004053D7">
      <w:pPr>
        <w:tabs>
          <w:tab w:val="left" w:pos="2267"/>
        </w:tabs>
        <w:spacing w:line="360" w:lineRule="auto"/>
        <w:rPr>
          <w:rFonts w:cstheme="minorHAnsi"/>
          <w:color w:val="000000" w:themeColor="text1"/>
        </w:rPr>
      </w:pPr>
    </w:p>
    <w:p w14:paraId="031D929F"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i/>
          <w:iCs/>
          <w:color w:val="000000" w:themeColor="text1"/>
        </w:rPr>
        <w:t xml:space="preserve">“It was good, those zoom calls because you could see us and you were monitoring us” </w:t>
      </w:r>
      <w:r w:rsidRPr="00CA4ABC">
        <w:rPr>
          <w:rFonts w:cstheme="minorHAnsi"/>
          <w:color w:val="000000" w:themeColor="text1"/>
        </w:rPr>
        <w:t xml:space="preserve">(P113). </w:t>
      </w:r>
    </w:p>
    <w:p w14:paraId="208E7F1B"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like having the live ones. I liked doing it because you had someone, because you were quite encouraging it was nice to have the instructor and it was nice to see someone else doing it and I think you do try a bit more if someone’s watching.”</w:t>
      </w:r>
      <w:r w:rsidRPr="00CA4ABC">
        <w:rPr>
          <w:rFonts w:cstheme="minorHAnsi"/>
          <w:color w:val="000000" w:themeColor="text1"/>
        </w:rPr>
        <w:t xml:space="preserve"> (P110.)  </w:t>
      </w:r>
    </w:p>
    <w:p w14:paraId="15AF0222" w14:textId="77777777"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In a way, having it live, that you’re there, is a good motivator to get you actually doing it. So there is someone there. I think if it was completely that you followed this at your own pace, you might not. Because somebody is there, they might be waiting and this gives you a bit of impetus to do it”</w:t>
      </w:r>
      <w:r w:rsidRPr="00CA4ABC">
        <w:rPr>
          <w:rFonts w:cstheme="minorHAnsi"/>
          <w:color w:val="000000" w:themeColor="text1"/>
        </w:rPr>
        <w:t xml:space="preserve"> (P106.)</w:t>
      </w:r>
    </w:p>
    <w:p w14:paraId="75F19C3A" w14:textId="77777777" w:rsidR="004C12CF" w:rsidRPr="00CA4ABC" w:rsidRDefault="004C12CF" w:rsidP="004053D7">
      <w:pPr>
        <w:tabs>
          <w:tab w:val="left" w:pos="2267"/>
        </w:tabs>
        <w:spacing w:line="360" w:lineRule="auto"/>
        <w:rPr>
          <w:rFonts w:cstheme="minorHAnsi"/>
          <w:color w:val="000000" w:themeColor="text1"/>
        </w:rPr>
      </w:pPr>
    </w:p>
    <w:p w14:paraId="51036105" w14:textId="41150266" w:rsidR="004C12CF" w:rsidRPr="00CA4ABC" w:rsidRDefault="004C12CF" w:rsidP="004053D7">
      <w:pPr>
        <w:tabs>
          <w:tab w:val="left" w:pos="2267"/>
        </w:tabs>
        <w:spacing w:line="360" w:lineRule="auto"/>
        <w:rPr>
          <w:rFonts w:cstheme="minorHAnsi"/>
          <w:color w:val="000000" w:themeColor="text1"/>
        </w:rPr>
      </w:pPr>
      <w:r w:rsidRPr="00CA4ABC">
        <w:rPr>
          <w:rFonts w:cstheme="minorHAnsi"/>
          <w:color w:val="000000" w:themeColor="text1"/>
        </w:rPr>
        <w:t>Overall, a split in preferences w</w:t>
      </w:r>
      <w:r w:rsidR="00365F74" w:rsidRPr="00CA4ABC">
        <w:rPr>
          <w:rFonts w:cstheme="minorHAnsi"/>
          <w:color w:val="000000" w:themeColor="text1"/>
        </w:rPr>
        <w:t>as</w:t>
      </w:r>
      <w:r w:rsidRPr="00CA4ABC">
        <w:rPr>
          <w:rFonts w:cstheme="minorHAnsi"/>
          <w:color w:val="000000" w:themeColor="text1"/>
        </w:rPr>
        <w:t xml:space="preserve"> expressed </w:t>
      </w:r>
      <w:r w:rsidR="009D3EF4" w:rsidRPr="00CA4ABC">
        <w:rPr>
          <w:rFonts w:cstheme="minorHAnsi"/>
          <w:color w:val="000000" w:themeColor="text1"/>
        </w:rPr>
        <w:t>by</w:t>
      </w:r>
      <w:r w:rsidRPr="00CA4ABC">
        <w:rPr>
          <w:rFonts w:cstheme="minorHAnsi"/>
          <w:color w:val="000000" w:themeColor="text1"/>
        </w:rPr>
        <w:t xml:space="preserve"> participants for live vs doing the recorded workouts</w:t>
      </w:r>
      <w:r w:rsidR="009D3EF4" w:rsidRPr="00CA4ABC">
        <w:rPr>
          <w:rFonts w:cstheme="minorHAnsi"/>
          <w:color w:val="000000" w:themeColor="text1"/>
        </w:rPr>
        <w:t>. T</w:t>
      </w:r>
      <w:r w:rsidRPr="00CA4ABC">
        <w:rPr>
          <w:rFonts w:cstheme="minorHAnsi"/>
          <w:color w:val="000000" w:themeColor="text1"/>
        </w:rPr>
        <w:t>aking into account these individual factors and preferences may be beneficial for maximising the effectiveness of the training programme</w:t>
      </w:r>
      <w:r w:rsidR="009D3EF4" w:rsidRPr="00CA4ABC">
        <w:rPr>
          <w:rFonts w:cstheme="minorHAnsi"/>
          <w:color w:val="000000" w:themeColor="text1"/>
        </w:rPr>
        <w:t xml:space="preserve"> and having multiple options may be a practical solution for addressing this.</w:t>
      </w:r>
      <w:r w:rsidRPr="00CA4ABC">
        <w:rPr>
          <w:rFonts w:cstheme="minorHAnsi"/>
          <w:color w:val="000000" w:themeColor="text1"/>
        </w:rPr>
        <w:t xml:space="preserve"> </w:t>
      </w:r>
      <w:r w:rsidR="009D3EF4" w:rsidRPr="00CA4ABC">
        <w:rPr>
          <w:rFonts w:cstheme="minorHAnsi"/>
          <w:color w:val="000000" w:themeColor="text1"/>
        </w:rPr>
        <w:t xml:space="preserve">Monitoring engagement, particularly for those doing </w:t>
      </w:r>
      <w:r w:rsidR="009D3EF4" w:rsidRPr="00CA4ABC">
        <w:rPr>
          <w:rFonts w:cstheme="minorHAnsi"/>
          <w:color w:val="000000" w:themeColor="text1"/>
        </w:rPr>
        <w:lastRenderedPageBreak/>
        <w:t>recorded workouts would be necessary</w:t>
      </w:r>
      <w:r w:rsidR="00634EE3">
        <w:rPr>
          <w:rFonts w:cstheme="minorHAnsi"/>
          <w:color w:val="000000" w:themeColor="text1"/>
        </w:rPr>
        <w:t>.</w:t>
      </w:r>
      <w:r w:rsidR="009D3EF4" w:rsidRPr="00CA4ABC">
        <w:rPr>
          <w:rFonts w:cstheme="minorHAnsi"/>
          <w:color w:val="000000" w:themeColor="text1"/>
        </w:rPr>
        <w:t xml:space="preserve"> </w:t>
      </w:r>
      <w:r w:rsidR="00634EE3">
        <w:rPr>
          <w:rFonts w:cstheme="minorHAnsi"/>
          <w:color w:val="000000" w:themeColor="text1"/>
        </w:rPr>
        <w:t>I</w:t>
      </w:r>
      <w:r w:rsidR="009D3EF4" w:rsidRPr="00CA4ABC">
        <w:rPr>
          <w:rFonts w:cstheme="minorHAnsi"/>
          <w:color w:val="000000" w:themeColor="text1"/>
        </w:rPr>
        <w:t>nstructor check in points</w:t>
      </w:r>
      <w:r w:rsidR="00634EE3">
        <w:rPr>
          <w:rFonts w:cstheme="minorHAnsi"/>
          <w:color w:val="000000" w:themeColor="text1"/>
        </w:rPr>
        <w:t xml:space="preserve"> should be considered</w:t>
      </w:r>
      <w:r w:rsidR="009D3EF4" w:rsidRPr="00CA4ABC">
        <w:rPr>
          <w:rFonts w:cstheme="minorHAnsi"/>
          <w:color w:val="000000" w:themeColor="text1"/>
        </w:rPr>
        <w:t xml:space="preserve">. </w:t>
      </w:r>
      <w:r w:rsidRPr="00CA4ABC">
        <w:rPr>
          <w:rFonts w:cstheme="minorHAnsi"/>
          <w:color w:val="000000" w:themeColor="text1"/>
        </w:rPr>
        <w:t xml:space="preserve">These views also highlight how valuable feasibility work can be for identifying </w:t>
      </w:r>
      <w:r w:rsidR="009D3EF4" w:rsidRPr="00CA4ABC">
        <w:rPr>
          <w:rFonts w:cstheme="minorHAnsi"/>
          <w:color w:val="000000" w:themeColor="text1"/>
        </w:rPr>
        <w:t xml:space="preserve">important </w:t>
      </w:r>
      <w:r w:rsidRPr="00CA4ABC">
        <w:rPr>
          <w:rFonts w:cstheme="minorHAnsi"/>
          <w:color w:val="000000" w:themeColor="text1"/>
        </w:rPr>
        <w:t>factor</w:t>
      </w:r>
      <w:r w:rsidR="006513FF" w:rsidRPr="00CA4ABC">
        <w:rPr>
          <w:rFonts w:cstheme="minorHAnsi"/>
          <w:color w:val="000000" w:themeColor="text1"/>
        </w:rPr>
        <w:t>s</w:t>
      </w:r>
      <w:r w:rsidRPr="00CA4ABC">
        <w:rPr>
          <w:rFonts w:cstheme="minorHAnsi"/>
          <w:color w:val="000000" w:themeColor="text1"/>
        </w:rPr>
        <w:t xml:space="preserve"> </w:t>
      </w:r>
      <w:r w:rsidR="009D3EF4" w:rsidRPr="00CA4ABC">
        <w:rPr>
          <w:rFonts w:cstheme="minorHAnsi"/>
          <w:color w:val="000000" w:themeColor="text1"/>
        </w:rPr>
        <w:t>that need to be included</w:t>
      </w:r>
      <w:r w:rsidR="00634EE3">
        <w:rPr>
          <w:rFonts w:cstheme="minorHAnsi"/>
          <w:color w:val="000000" w:themeColor="text1"/>
        </w:rPr>
        <w:t xml:space="preserve"> in</w:t>
      </w:r>
      <w:r w:rsidRPr="00CA4ABC">
        <w:rPr>
          <w:rFonts w:cstheme="minorHAnsi"/>
          <w:color w:val="000000" w:themeColor="text1"/>
        </w:rPr>
        <w:t xml:space="preserve"> future trial design. Further insights for this are provided in theme four. </w:t>
      </w:r>
    </w:p>
    <w:p w14:paraId="6C53053C" w14:textId="77777777" w:rsidR="004C12CF" w:rsidRPr="00CA4ABC" w:rsidRDefault="004C12CF" w:rsidP="004053D7">
      <w:pPr>
        <w:spacing w:line="360" w:lineRule="auto"/>
        <w:rPr>
          <w:rFonts w:cstheme="minorHAnsi"/>
          <w:color w:val="000000" w:themeColor="text1"/>
        </w:rPr>
      </w:pPr>
    </w:p>
    <w:p w14:paraId="4910FF93" w14:textId="01D600A7" w:rsidR="004C12CF" w:rsidRPr="00CA4ABC" w:rsidRDefault="004C12CF" w:rsidP="00357DD3">
      <w:pPr>
        <w:pStyle w:val="Heading3"/>
        <w:spacing w:line="360" w:lineRule="auto"/>
        <w:rPr>
          <w:rFonts w:asciiTheme="minorHAnsi" w:hAnsiTheme="minorHAnsi" w:cstheme="minorHAnsi"/>
          <w:color w:val="000000" w:themeColor="text1"/>
        </w:rPr>
      </w:pPr>
      <w:bookmarkStart w:id="354" w:name="_Toc135384388"/>
      <w:r w:rsidRPr="00CA4ABC">
        <w:rPr>
          <w:rFonts w:asciiTheme="minorHAnsi" w:hAnsiTheme="minorHAnsi" w:cstheme="minorHAnsi"/>
          <w:color w:val="000000" w:themeColor="text1"/>
        </w:rPr>
        <w:t>5.</w:t>
      </w:r>
      <w:r w:rsidR="007F5B0B" w:rsidRPr="00CA4ABC">
        <w:rPr>
          <w:rFonts w:asciiTheme="minorHAnsi" w:hAnsiTheme="minorHAnsi" w:cstheme="minorHAnsi"/>
          <w:color w:val="000000" w:themeColor="text1"/>
        </w:rPr>
        <w:t>4</w:t>
      </w:r>
      <w:r w:rsidRPr="00CA4ABC">
        <w:rPr>
          <w:rFonts w:asciiTheme="minorHAnsi" w:hAnsiTheme="minorHAnsi" w:cstheme="minorHAnsi"/>
          <w:color w:val="000000" w:themeColor="text1"/>
        </w:rPr>
        <w:t>.4.4 Theme 4: Areas not enjoyed by the participants</w:t>
      </w:r>
      <w:bookmarkEnd w:id="354"/>
    </w:p>
    <w:p w14:paraId="2C297F5F" w14:textId="24732A25" w:rsidR="004C12CF" w:rsidRPr="00CA4ABC" w:rsidRDefault="006513FF" w:rsidP="00357DD3">
      <w:pPr>
        <w:spacing w:line="360" w:lineRule="auto"/>
        <w:ind w:firstLine="360"/>
        <w:rPr>
          <w:rFonts w:cstheme="minorHAnsi"/>
          <w:color w:val="000000" w:themeColor="text1"/>
        </w:rPr>
      </w:pPr>
      <w:r w:rsidRPr="00CA4ABC">
        <w:rPr>
          <w:rFonts w:cstheme="minorHAnsi"/>
          <w:color w:val="000000" w:themeColor="text1"/>
        </w:rPr>
        <w:t>Some element</w:t>
      </w:r>
      <w:r w:rsidR="00F63AEC">
        <w:rPr>
          <w:rFonts w:cstheme="minorHAnsi"/>
          <w:color w:val="000000" w:themeColor="text1"/>
        </w:rPr>
        <w:t>s</w:t>
      </w:r>
      <w:r w:rsidRPr="00CA4ABC">
        <w:rPr>
          <w:rFonts w:cstheme="minorHAnsi"/>
          <w:color w:val="000000" w:themeColor="text1"/>
        </w:rPr>
        <w:t xml:space="preserve"> of the trial</w:t>
      </w:r>
      <w:r w:rsidR="004C12CF" w:rsidRPr="00CA4ABC">
        <w:rPr>
          <w:rFonts w:cstheme="minorHAnsi"/>
          <w:color w:val="000000" w:themeColor="text1"/>
        </w:rPr>
        <w:t xml:space="preserve"> were less liked</w:t>
      </w:r>
      <w:r w:rsidR="009D3EF4" w:rsidRPr="00CA4ABC">
        <w:rPr>
          <w:rFonts w:cstheme="minorHAnsi"/>
          <w:color w:val="000000" w:themeColor="text1"/>
        </w:rPr>
        <w:t xml:space="preserve"> by the participants</w:t>
      </w:r>
      <w:r w:rsidR="004A2353" w:rsidRPr="00CA4ABC">
        <w:rPr>
          <w:rFonts w:cstheme="minorHAnsi"/>
          <w:color w:val="000000" w:themeColor="text1"/>
        </w:rPr>
        <w:t>,</w:t>
      </w:r>
      <w:r w:rsidR="004C12CF" w:rsidRPr="00CA4ABC">
        <w:rPr>
          <w:rFonts w:cstheme="minorHAnsi"/>
          <w:color w:val="000000" w:themeColor="text1"/>
        </w:rPr>
        <w:t xml:space="preserve"> or they felt could be improved. </w:t>
      </w:r>
      <w:r w:rsidR="009D3EF4" w:rsidRPr="00CA4ABC">
        <w:rPr>
          <w:rFonts w:cstheme="minorHAnsi"/>
          <w:color w:val="000000" w:themeColor="text1"/>
        </w:rPr>
        <w:t>It will be</w:t>
      </w:r>
      <w:r w:rsidR="004C12CF" w:rsidRPr="00CA4ABC">
        <w:rPr>
          <w:rFonts w:cstheme="minorHAnsi"/>
          <w:color w:val="000000" w:themeColor="text1"/>
        </w:rPr>
        <w:t xml:space="preserve"> important to take these comments and utilise the feedback for developing and improving the trial</w:t>
      </w:r>
      <w:r w:rsidR="004A2353" w:rsidRPr="00CA4ABC">
        <w:rPr>
          <w:rFonts w:cstheme="minorHAnsi"/>
          <w:color w:val="000000" w:themeColor="text1"/>
        </w:rPr>
        <w:t xml:space="preserve"> design</w:t>
      </w:r>
      <w:r w:rsidR="004C12CF" w:rsidRPr="00CA4ABC">
        <w:rPr>
          <w:rFonts w:cstheme="minorHAnsi"/>
          <w:color w:val="000000" w:themeColor="text1"/>
        </w:rPr>
        <w:t xml:space="preserve"> before it is rolled out on a larger scale as an RCT. The subthemes include intervention dislikes, adverse events, factors that decreased engagement, and feedback/suggestions for improvement.</w:t>
      </w:r>
    </w:p>
    <w:p w14:paraId="4F08389A" w14:textId="77777777" w:rsidR="004C12CF" w:rsidRPr="00CA4ABC" w:rsidRDefault="004C12CF" w:rsidP="004053D7">
      <w:pPr>
        <w:spacing w:line="360" w:lineRule="auto"/>
        <w:rPr>
          <w:rFonts w:cstheme="minorHAnsi"/>
          <w:color w:val="000000" w:themeColor="text1"/>
        </w:rPr>
      </w:pPr>
    </w:p>
    <w:p w14:paraId="3306E3A2" w14:textId="4E71D076" w:rsidR="004C12CF" w:rsidRPr="00CA4ABC" w:rsidRDefault="004C12CF">
      <w:pPr>
        <w:pStyle w:val="ListParagraph"/>
        <w:numPr>
          <w:ilvl w:val="0"/>
          <w:numId w:val="22"/>
        </w:numPr>
        <w:spacing w:line="360" w:lineRule="auto"/>
        <w:rPr>
          <w:rFonts w:cstheme="minorHAnsi"/>
          <w:color w:val="000000" w:themeColor="text1"/>
        </w:rPr>
      </w:pPr>
      <w:r w:rsidRPr="00CA4ABC">
        <w:rPr>
          <w:rFonts w:cstheme="minorHAnsi"/>
          <w:color w:val="000000" w:themeColor="text1"/>
        </w:rPr>
        <w:t>Intervention dislikes</w:t>
      </w:r>
    </w:p>
    <w:p w14:paraId="2A578855" w14:textId="3FA2F1FF"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Almost all the participants made negative comments about the protein supplement used. </w:t>
      </w:r>
      <w:r w:rsidR="006513FF" w:rsidRPr="00CA4ABC">
        <w:rPr>
          <w:rFonts w:cstheme="minorHAnsi"/>
          <w:color w:val="000000" w:themeColor="text1"/>
        </w:rPr>
        <w:t>Most</w:t>
      </w:r>
      <w:r w:rsidRPr="00CA4ABC">
        <w:rPr>
          <w:rFonts w:cstheme="minorHAnsi"/>
          <w:color w:val="000000" w:themeColor="text1"/>
        </w:rPr>
        <w:t xml:space="preserve"> of these comments focused on how they did not enjoy the taste, particularly its sweet nature. </w:t>
      </w:r>
    </w:p>
    <w:p w14:paraId="7B15ED7B" w14:textId="77777777" w:rsidR="004C12CF" w:rsidRPr="00CA4ABC" w:rsidRDefault="004C12CF" w:rsidP="004053D7">
      <w:pPr>
        <w:spacing w:line="360" w:lineRule="auto"/>
        <w:rPr>
          <w:rFonts w:cstheme="minorHAnsi"/>
          <w:color w:val="000000" w:themeColor="text1"/>
        </w:rPr>
      </w:pPr>
    </w:p>
    <w:p w14:paraId="13448843" w14:textId="20EE39C1" w:rsidR="004C12CF" w:rsidRPr="00CA4ABC" w:rsidRDefault="004C12CF" w:rsidP="004053D7">
      <w:pPr>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I hated the taste. It was too sweet. It was way too sweet and too gloopy and I found just it was too sickly. I couldn’t add it to anything because I just felt like that ma</w:t>
      </w:r>
      <w:r w:rsidR="006513FF" w:rsidRPr="00CA4ABC">
        <w:rPr>
          <w:rFonts w:cstheme="minorHAnsi"/>
          <w:i/>
          <w:iCs/>
          <w:color w:val="000000" w:themeColor="text1"/>
        </w:rPr>
        <w:t>d</w:t>
      </w:r>
      <w:r w:rsidRPr="00CA4ABC">
        <w:rPr>
          <w:rFonts w:cstheme="minorHAnsi"/>
          <w:i/>
          <w:iCs/>
          <w:color w:val="000000" w:themeColor="text1"/>
        </w:rPr>
        <w:t>e it a bigger more unpleasant taste”</w:t>
      </w:r>
      <w:r w:rsidRPr="00CA4ABC">
        <w:rPr>
          <w:rFonts w:cstheme="minorHAnsi"/>
          <w:color w:val="000000" w:themeColor="text1"/>
        </w:rPr>
        <w:t xml:space="preserve"> (P105).  </w:t>
      </w:r>
    </w:p>
    <w:p w14:paraId="472C407D"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Additional negative comments included:</w:t>
      </w:r>
    </w:p>
    <w:p w14:paraId="07B2E690"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think it’s actually horrible to eat, the taste is awful”</w:t>
      </w:r>
      <w:r w:rsidRPr="00CA4ABC">
        <w:rPr>
          <w:rFonts w:cstheme="minorHAnsi"/>
          <w:color w:val="000000" w:themeColor="text1"/>
        </w:rPr>
        <w:t xml:space="preserve"> (P101).</w:t>
      </w:r>
    </w:p>
    <w:p w14:paraId="7543CC0B" w14:textId="013C0E74" w:rsidR="004C12CF" w:rsidRPr="00CA4ABC" w:rsidRDefault="004C12CF" w:rsidP="004053D7">
      <w:pPr>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I actually can’t believe how sweet they could have made it. They couldn’t have tried to make it any sweeter a</w:t>
      </w:r>
      <w:r w:rsidR="009D3EF4" w:rsidRPr="00CA4ABC">
        <w:rPr>
          <w:rFonts w:cstheme="minorHAnsi"/>
          <w:i/>
          <w:iCs/>
          <w:color w:val="000000" w:themeColor="text1"/>
        </w:rPr>
        <w:t>t</w:t>
      </w:r>
      <w:r w:rsidRPr="00CA4ABC">
        <w:rPr>
          <w:rFonts w:cstheme="minorHAnsi"/>
          <w:i/>
          <w:iCs/>
          <w:color w:val="000000" w:themeColor="text1"/>
        </w:rPr>
        <w:t xml:space="preserve"> all and I don’t get that for a protein supplement”</w:t>
      </w:r>
      <w:r w:rsidRPr="00CA4ABC">
        <w:rPr>
          <w:rFonts w:cstheme="minorHAnsi"/>
          <w:color w:val="000000" w:themeColor="text1"/>
        </w:rPr>
        <w:t xml:space="preserve"> (P103)</w:t>
      </w:r>
    </w:p>
    <w:p w14:paraId="44F7C8DE" w14:textId="77777777" w:rsidR="004C12CF" w:rsidRPr="00CA4ABC" w:rsidRDefault="004C12CF" w:rsidP="004053D7">
      <w:pPr>
        <w:spacing w:line="360" w:lineRule="auto"/>
        <w:rPr>
          <w:rFonts w:cstheme="minorHAnsi"/>
          <w:color w:val="000000" w:themeColor="text1"/>
        </w:rPr>
      </w:pPr>
    </w:p>
    <w:p w14:paraId="70E1C4B0" w14:textId="70650AA8"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The view of wanting to take the supplement as quickly as possible was shared by several participants. </w:t>
      </w:r>
    </w:p>
    <w:p w14:paraId="6F56C411" w14:textId="77777777" w:rsidR="004A2353" w:rsidRPr="00CA4ABC" w:rsidRDefault="004A2353" w:rsidP="004053D7">
      <w:pPr>
        <w:spacing w:line="360" w:lineRule="auto"/>
        <w:rPr>
          <w:rFonts w:cstheme="minorHAnsi"/>
          <w:color w:val="000000" w:themeColor="text1"/>
        </w:rPr>
      </w:pPr>
    </w:p>
    <w:p w14:paraId="20437E30"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“No no, just get it over with”</w:t>
      </w:r>
      <w:r w:rsidRPr="00CA4ABC">
        <w:rPr>
          <w:rFonts w:cstheme="minorHAnsi"/>
          <w:color w:val="000000" w:themeColor="text1"/>
        </w:rPr>
        <w:t xml:space="preserve"> (P103) </w:t>
      </w:r>
    </w:p>
    <w:p w14:paraId="584CC0CB"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found that actually, just get it over and done with and have something ready to eat or drink straight afterwards. You can’t really disguise it, it’s just horrible.”</w:t>
      </w:r>
      <w:r w:rsidRPr="00CA4ABC">
        <w:rPr>
          <w:rFonts w:cstheme="minorHAnsi"/>
          <w:color w:val="000000" w:themeColor="text1"/>
        </w:rPr>
        <w:t xml:space="preserve"> (P113).</w:t>
      </w:r>
    </w:p>
    <w:p w14:paraId="138CFEEB" w14:textId="77777777" w:rsidR="004C12CF" w:rsidRPr="00CA4ABC" w:rsidRDefault="004C12CF" w:rsidP="004053D7">
      <w:pPr>
        <w:spacing w:line="360" w:lineRule="auto"/>
        <w:rPr>
          <w:rFonts w:cstheme="minorHAnsi"/>
          <w:color w:val="000000" w:themeColor="text1"/>
        </w:rPr>
      </w:pPr>
    </w:p>
    <w:p w14:paraId="231C48AD" w14:textId="5D2267A4" w:rsidR="004C12CF" w:rsidRPr="00CA4ABC" w:rsidRDefault="004C12CF" w:rsidP="004053D7">
      <w:pPr>
        <w:spacing w:line="360" w:lineRule="auto"/>
        <w:rPr>
          <w:rFonts w:cstheme="minorHAnsi"/>
          <w:color w:val="000000" w:themeColor="text1"/>
        </w:rPr>
      </w:pPr>
      <w:r w:rsidRPr="00CA4ABC">
        <w:rPr>
          <w:rFonts w:cstheme="minorHAnsi"/>
          <w:color w:val="000000" w:themeColor="text1"/>
        </w:rPr>
        <w:lastRenderedPageBreak/>
        <w:t>These comments emphasise the unpleasant nature and experience of taking the supplement. However, one participant express</w:t>
      </w:r>
      <w:r w:rsidR="00365F74" w:rsidRPr="00CA4ABC">
        <w:rPr>
          <w:rFonts w:cstheme="minorHAnsi"/>
          <w:color w:val="000000" w:themeColor="text1"/>
        </w:rPr>
        <w:t>ed</w:t>
      </w:r>
      <w:r w:rsidRPr="00CA4ABC">
        <w:rPr>
          <w:rFonts w:cstheme="minorHAnsi"/>
          <w:color w:val="000000" w:themeColor="text1"/>
        </w:rPr>
        <w:t xml:space="preserve"> an alternative view, although it appeared to be in the minority</w:t>
      </w:r>
      <w:r w:rsidR="004A2353" w:rsidRPr="00CA4ABC">
        <w:rPr>
          <w:rFonts w:cstheme="minorHAnsi"/>
          <w:color w:val="000000" w:themeColor="text1"/>
        </w:rPr>
        <w:t>.</w:t>
      </w:r>
    </w:p>
    <w:p w14:paraId="23043732" w14:textId="77777777" w:rsidR="004A2353" w:rsidRPr="00CA4ABC" w:rsidRDefault="004A2353" w:rsidP="004053D7">
      <w:pPr>
        <w:spacing w:line="360" w:lineRule="auto"/>
        <w:rPr>
          <w:rFonts w:cstheme="minorHAnsi"/>
          <w:color w:val="000000" w:themeColor="text1"/>
        </w:rPr>
      </w:pPr>
    </w:p>
    <w:p w14:paraId="0F1CDD62"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 it’s really nice with fizzy water, it just made a fizzy berryade, really nice” </w:t>
      </w:r>
      <w:r w:rsidRPr="00CA4ABC">
        <w:rPr>
          <w:rFonts w:cstheme="minorHAnsi"/>
          <w:color w:val="000000" w:themeColor="text1"/>
        </w:rPr>
        <w:t>(P107).</w:t>
      </w:r>
    </w:p>
    <w:p w14:paraId="6165A57B" w14:textId="77777777" w:rsidR="004C12CF" w:rsidRPr="00CA4ABC" w:rsidRDefault="004C12CF" w:rsidP="004053D7">
      <w:pPr>
        <w:spacing w:line="360" w:lineRule="auto"/>
        <w:rPr>
          <w:rFonts w:cstheme="minorHAnsi"/>
          <w:color w:val="000000" w:themeColor="text1"/>
        </w:rPr>
      </w:pPr>
    </w:p>
    <w:p w14:paraId="4DD9A626" w14:textId="28C83E6F"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The strong wording of the majority of the comments clearly </w:t>
      </w:r>
      <w:r w:rsidR="00365F74" w:rsidRPr="00CA4ABC">
        <w:rPr>
          <w:rFonts w:cstheme="minorHAnsi"/>
          <w:color w:val="000000" w:themeColor="text1"/>
        </w:rPr>
        <w:t>emphasises</w:t>
      </w:r>
      <w:r w:rsidRPr="00CA4ABC">
        <w:rPr>
          <w:rFonts w:cstheme="minorHAnsi"/>
          <w:color w:val="000000" w:themeColor="text1"/>
        </w:rPr>
        <w:t xml:space="preserve"> the dislike of the supplement and</w:t>
      </w:r>
      <w:r w:rsidR="00365F74" w:rsidRPr="00CA4ABC">
        <w:rPr>
          <w:rFonts w:cstheme="minorHAnsi"/>
          <w:color w:val="000000" w:themeColor="text1"/>
        </w:rPr>
        <w:t>,</w:t>
      </w:r>
      <w:r w:rsidRPr="00CA4ABC">
        <w:rPr>
          <w:rFonts w:cstheme="minorHAnsi"/>
          <w:color w:val="000000" w:themeColor="text1"/>
        </w:rPr>
        <w:t xml:space="preserve"> thus</w:t>
      </w:r>
      <w:r w:rsidR="00365F74" w:rsidRPr="00CA4ABC">
        <w:rPr>
          <w:rFonts w:cstheme="minorHAnsi"/>
          <w:color w:val="000000" w:themeColor="text1"/>
        </w:rPr>
        <w:t>,</w:t>
      </w:r>
      <w:r w:rsidRPr="00CA4ABC">
        <w:rPr>
          <w:rFonts w:cstheme="minorHAnsi"/>
          <w:color w:val="000000" w:themeColor="text1"/>
        </w:rPr>
        <w:t xml:space="preserve"> the need to seek an alternative tasting supplement</w:t>
      </w:r>
      <w:r w:rsidR="001A3048" w:rsidRPr="00CA4ABC">
        <w:rPr>
          <w:rFonts w:cstheme="minorHAnsi"/>
          <w:color w:val="000000" w:themeColor="text1"/>
        </w:rPr>
        <w:t xml:space="preserve"> as a next step.</w:t>
      </w:r>
      <w:r w:rsidR="004A2353" w:rsidRPr="00CA4ABC">
        <w:rPr>
          <w:rFonts w:cstheme="minorHAnsi"/>
          <w:color w:val="000000" w:themeColor="text1"/>
        </w:rPr>
        <w:t xml:space="preserve"> </w:t>
      </w:r>
      <w:r w:rsidRPr="00CA4ABC">
        <w:rPr>
          <w:rFonts w:cstheme="minorHAnsi"/>
          <w:color w:val="000000" w:themeColor="text1"/>
        </w:rPr>
        <w:t>Moreover, with a less-motivate</w:t>
      </w:r>
      <w:r w:rsidR="006470ED" w:rsidRPr="00CA4ABC">
        <w:rPr>
          <w:rFonts w:cstheme="minorHAnsi"/>
          <w:color w:val="000000" w:themeColor="text1"/>
        </w:rPr>
        <w:t>d</w:t>
      </w:r>
      <w:r w:rsidRPr="00CA4ABC">
        <w:rPr>
          <w:rFonts w:cstheme="minorHAnsi"/>
          <w:color w:val="000000" w:themeColor="text1"/>
        </w:rPr>
        <w:t xml:space="preserve"> cohort of participants (as explored in theme three), adherence to taking a supplement which was not enjoyed </w:t>
      </w:r>
      <w:r w:rsidR="001A3048" w:rsidRPr="00CA4ABC">
        <w:rPr>
          <w:rFonts w:cstheme="minorHAnsi"/>
          <w:color w:val="000000" w:themeColor="text1"/>
        </w:rPr>
        <w:t>would likely</w:t>
      </w:r>
      <w:r w:rsidRPr="00CA4ABC">
        <w:rPr>
          <w:rFonts w:cstheme="minorHAnsi"/>
          <w:color w:val="000000" w:themeColor="text1"/>
        </w:rPr>
        <w:t xml:space="preserve"> be lower.</w:t>
      </w:r>
    </w:p>
    <w:p w14:paraId="31C7CE8E" w14:textId="77777777" w:rsidR="004C12CF" w:rsidRPr="00CA4ABC" w:rsidRDefault="004C12CF" w:rsidP="004053D7">
      <w:pPr>
        <w:spacing w:line="360" w:lineRule="auto"/>
        <w:rPr>
          <w:rFonts w:cstheme="minorHAnsi"/>
          <w:color w:val="000000" w:themeColor="text1"/>
        </w:rPr>
      </w:pPr>
    </w:p>
    <w:p w14:paraId="594BF3C1"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don’t know whether it’s taking the protein or whether I’ve been doing the exercises. Maybe just a combination of both. I just thought I’d want to kind of…I think I wanted this to motivate me to make a change anyway. Just me trying to give myself a kick up the bum really.”</w:t>
      </w:r>
      <w:r w:rsidRPr="00CA4ABC">
        <w:rPr>
          <w:rFonts w:cstheme="minorHAnsi"/>
          <w:color w:val="000000" w:themeColor="text1"/>
        </w:rPr>
        <w:t xml:space="preserve"> (P105). </w:t>
      </w:r>
    </w:p>
    <w:p w14:paraId="51D3089B" w14:textId="77777777" w:rsidR="004C12CF" w:rsidRPr="00CA4ABC" w:rsidRDefault="004C12CF" w:rsidP="004053D7">
      <w:pPr>
        <w:spacing w:line="360" w:lineRule="auto"/>
        <w:rPr>
          <w:rFonts w:cstheme="minorHAnsi"/>
          <w:color w:val="000000" w:themeColor="text1"/>
        </w:rPr>
      </w:pPr>
    </w:p>
    <w:p w14:paraId="27FE05D1" w14:textId="4BBAC15F" w:rsidR="004C12CF" w:rsidRPr="00CA4ABC" w:rsidRDefault="004C12CF" w:rsidP="004053D7">
      <w:pPr>
        <w:spacing w:line="360" w:lineRule="auto"/>
        <w:rPr>
          <w:rFonts w:cstheme="minorHAnsi"/>
          <w:color w:val="000000" w:themeColor="text1"/>
        </w:rPr>
      </w:pPr>
      <w:r w:rsidRPr="00CA4ABC">
        <w:rPr>
          <w:rFonts w:cstheme="minorHAnsi"/>
          <w:color w:val="000000" w:themeColor="text1"/>
        </w:rPr>
        <w:t>It even appears that some participants were willing to push themselves, despite unpleasant experiences with taking the supplements:</w:t>
      </w:r>
    </w:p>
    <w:p w14:paraId="5731DECB" w14:textId="77777777" w:rsidR="004C12CF" w:rsidRPr="00CA4ABC" w:rsidRDefault="004C12CF" w:rsidP="004053D7">
      <w:pPr>
        <w:spacing w:line="360" w:lineRule="auto"/>
        <w:rPr>
          <w:rFonts w:cstheme="minorHAnsi"/>
          <w:color w:val="000000" w:themeColor="text1"/>
        </w:rPr>
      </w:pPr>
    </w:p>
    <w:p w14:paraId="2F3CF09B"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“Honestly, as I was opening them, I was like, I feel sick, I really do, but you just have to preserve, don’t you?”</w:t>
      </w:r>
      <w:r w:rsidRPr="00CA4ABC">
        <w:rPr>
          <w:rFonts w:cstheme="minorHAnsi"/>
          <w:color w:val="000000" w:themeColor="text1"/>
        </w:rPr>
        <w:t xml:space="preserve"> (P113)</w:t>
      </w:r>
    </w:p>
    <w:p w14:paraId="4FE74280" w14:textId="77777777" w:rsidR="004C12CF" w:rsidRPr="00CA4ABC" w:rsidRDefault="004C12CF" w:rsidP="004053D7">
      <w:pPr>
        <w:spacing w:line="360" w:lineRule="auto"/>
        <w:rPr>
          <w:rFonts w:cstheme="minorHAnsi"/>
          <w:color w:val="000000" w:themeColor="text1"/>
        </w:rPr>
      </w:pPr>
    </w:p>
    <w:p w14:paraId="75EEFA52" w14:textId="30DDBA34" w:rsidR="004C12CF" w:rsidRPr="00CA4ABC" w:rsidRDefault="004C12CF" w:rsidP="004053D7">
      <w:pPr>
        <w:spacing w:line="360" w:lineRule="auto"/>
        <w:rPr>
          <w:rFonts w:cstheme="minorHAnsi"/>
          <w:color w:val="000000" w:themeColor="text1"/>
        </w:rPr>
      </w:pPr>
      <w:r w:rsidRPr="00CA4ABC">
        <w:rPr>
          <w:rFonts w:cstheme="minorHAnsi"/>
          <w:color w:val="000000" w:themeColor="text1"/>
        </w:rPr>
        <w:t>Avoidance of unwanted effects</w:t>
      </w:r>
      <w:r w:rsidR="004A2353" w:rsidRPr="00CA4ABC">
        <w:rPr>
          <w:rFonts w:cstheme="minorHAnsi"/>
          <w:color w:val="000000" w:themeColor="text1"/>
        </w:rPr>
        <w:t xml:space="preserve"> is </w:t>
      </w:r>
      <w:r w:rsidR="00CD690A" w:rsidRPr="00CA4ABC">
        <w:rPr>
          <w:rFonts w:cstheme="minorHAnsi"/>
          <w:color w:val="000000" w:themeColor="text1"/>
        </w:rPr>
        <w:t>essential; this</w:t>
      </w:r>
      <w:r w:rsidR="004A2353" w:rsidRPr="00CA4ABC">
        <w:rPr>
          <w:rFonts w:cstheme="minorHAnsi"/>
          <w:color w:val="000000" w:themeColor="text1"/>
        </w:rPr>
        <w:t xml:space="preserve"> includes</w:t>
      </w:r>
      <w:r w:rsidRPr="00CA4ABC">
        <w:rPr>
          <w:rFonts w:cstheme="minorHAnsi"/>
          <w:color w:val="000000" w:themeColor="text1"/>
        </w:rPr>
        <w:t xml:space="preserve"> </w:t>
      </w:r>
      <w:r w:rsidR="00CD690A" w:rsidRPr="00CA4ABC">
        <w:rPr>
          <w:rFonts w:cstheme="minorHAnsi"/>
          <w:color w:val="000000" w:themeColor="text1"/>
        </w:rPr>
        <w:t>feelings</w:t>
      </w:r>
      <w:r w:rsidRPr="00CA4ABC">
        <w:rPr>
          <w:rFonts w:cstheme="minorHAnsi"/>
          <w:color w:val="000000" w:themeColor="text1"/>
        </w:rPr>
        <w:t xml:space="preserve"> of nausea, further demonstrating the requirement for seeking alternative products.</w:t>
      </w:r>
    </w:p>
    <w:p w14:paraId="600A7D7A" w14:textId="77777777" w:rsidR="004A2353" w:rsidRPr="00CA4ABC" w:rsidRDefault="004A2353" w:rsidP="004053D7">
      <w:pPr>
        <w:spacing w:line="360" w:lineRule="auto"/>
        <w:rPr>
          <w:rFonts w:cstheme="minorHAnsi"/>
          <w:color w:val="000000" w:themeColor="text1"/>
        </w:rPr>
      </w:pPr>
    </w:p>
    <w:p w14:paraId="6C06031D" w14:textId="1158D4DC"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Although, the consensus was that the resistance bands were acceptable and participants liked using them. There were several practical issues raised by </w:t>
      </w:r>
      <w:r w:rsidR="00CD690A" w:rsidRPr="00CA4ABC">
        <w:rPr>
          <w:rFonts w:cstheme="minorHAnsi"/>
          <w:color w:val="000000" w:themeColor="text1"/>
        </w:rPr>
        <w:t>some</w:t>
      </w:r>
      <w:r w:rsidRPr="00CA4ABC">
        <w:rPr>
          <w:rFonts w:cstheme="minorHAnsi"/>
          <w:color w:val="000000" w:themeColor="text1"/>
        </w:rPr>
        <w:t xml:space="preserve"> participants </w:t>
      </w:r>
      <w:r w:rsidR="00CD690A" w:rsidRPr="00CA4ABC">
        <w:rPr>
          <w:rFonts w:cstheme="minorHAnsi"/>
          <w:color w:val="000000" w:themeColor="text1"/>
        </w:rPr>
        <w:t>about</w:t>
      </w:r>
      <w:r w:rsidRPr="00CA4ABC">
        <w:rPr>
          <w:rFonts w:cstheme="minorHAnsi"/>
          <w:color w:val="000000" w:themeColor="text1"/>
        </w:rPr>
        <w:t xml:space="preserve"> using these. The first </w:t>
      </w:r>
      <w:r w:rsidR="00CD690A" w:rsidRPr="00CA4ABC">
        <w:rPr>
          <w:rFonts w:cstheme="minorHAnsi"/>
          <w:color w:val="000000" w:themeColor="text1"/>
        </w:rPr>
        <w:t>related</w:t>
      </w:r>
      <w:r w:rsidRPr="00CA4ABC">
        <w:rPr>
          <w:rFonts w:cstheme="minorHAnsi"/>
          <w:color w:val="000000" w:themeColor="text1"/>
        </w:rPr>
        <w:t xml:space="preserve"> to when the door anchor was required and problems attaching this.</w:t>
      </w:r>
    </w:p>
    <w:p w14:paraId="3DB25BF5" w14:textId="77777777" w:rsidR="004C12CF" w:rsidRPr="00CA4ABC" w:rsidRDefault="004C12CF" w:rsidP="004053D7">
      <w:pPr>
        <w:spacing w:line="360" w:lineRule="auto"/>
        <w:rPr>
          <w:rFonts w:cstheme="minorHAnsi"/>
          <w:color w:val="000000" w:themeColor="text1"/>
        </w:rPr>
      </w:pPr>
    </w:p>
    <w:p w14:paraId="7E7E998C"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w:t>
      </w:r>
      <w:r w:rsidRPr="00CA4ABC">
        <w:rPr>
          <w:rFonts w:cstheme="minorHAnsi"/>
          <w:i/>
          <w:iCs/>
          <w:color w:val="000000" w:themeColor="text1"/>
        </w:rPr>
        <w:t>Being able to find a door that you could put a wedge in with a door that could shut, so the door thing was a bit of an issue”</w:t>
      </w:r>
      <w:r w:rsidRPr="00CA4ABC">
        <w:rPr>
          <w:rFonts w:cstheme="minorHAnsi"/>
          <w:color w:val="000000" w:themeColor="text1"/>
        </w:rPr>
        <w:t xml:space="preserve"> (P106) </w:t>
      </w:r>
    </w:p>
    <w:p w14:paraId="59D57E01" w14:textId="77777777" w:rsidR="004C12CF" w:rsidRPr="00CA4ABC" w:rsidRDefault="004C12CF" w:rsidP="004053D7">
      <w:pPr>
        <w:spacing w:line="360" w:lineRule="auto"/>
        <w:rPr>
          <w:rFonts w:cstheme="minorHAnsi"/>
          <w:color w:val="000000" w:themeColor="text1"/>
        </w:rPr>
      </w:pPr>
    </w:p>
    <w:p w14:paraId="6E4FC6CD" w14:textId="59B4E614"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Others also emphasised that when the door was being used, it was </w:t>
      </w:r>
      <w:r w:rsidR="006C15F1" w:rsidRPr="00CA4ABC">
        <w:rPr>
          <w:rFonts w:cstheme="minorHAnsi"/>
          <w:color w:val="000000" w:themeColor="text1"/>
        </w:rPr>
        <w:t>necessary</w:t>
      </w:r>
      <w:r w:rsidRPr="00CA4ABC">
        <w:rPr>
          <w:rFonts w:cstheme="minorHAnsi"/>
          <w:color w:val="000000" w:themeColor="text1"/>
        </w:rPr>
        <w:t xml:space="preserve"> to let others in the house know this was the case so that they would</w:t>
      </w:r>
      <w:r w:rsidR="006C15F1" w:rsidRPr="00CA4ABC">
        <w:rPr>
          <w:rFonts w:cstheme="minorHAnsi"/>
          <w:color w:val="000000" w:themeColor="text1"/>
        </w:rPr>
        <w:t xml:space="preserve"> not</w:t>
      </w:r>
      <w:r w:rsidRPr="00CA4ABC">
        <w:rPr>
          <w:rFonts w:cstheme="minorHAnsi"/>
          <w:color w:val="000000" w:themeColor="text1"/>
        </w:rPr>
        <w:t xml:space="preserve"> open t</w:t>
      </w:r>
      <w:r w:rsidR="006C15F1" w:rsidRPr="00CA4ABC">
        <w:rPr>
          <w:rFonts w:cstheme="minorHAnsi"/>
          <w:color w:val="000000" w:themeColor="text1"/>
        </w:rPr>
        <w:t>he</w:t>
      </w:r>
      <w:r w:rsidRPr="00CA4ABC">
        <w:rPr>
          <w:rFonts w:cstheme="minorHAnsi"/>
          <w:color w:val="000000" w:themeColor="text1"/>
        </w:rPr>
        <w:t xml:space="preserve"> door, causing the bands to come loose and potentially be a hazard</w:t>
      </w:r>
      <w:r w:rsidR="006C15F1" w:rsidRPr="00CA4ABC">
        <w:rPr>
          <w:rFonts w:cstheme="minorHAnsi"/>
          <w:color w:val="000000" w:themeColor="text1"/>
        </w:rPr>
        <w:t xml:space="preserve">. Additionally, </w:t>
      </w:r>
      <w:r w:rsidRPr="00CA4ABC">
        <w:rPr>
          <w:rFonts w:cstheme="minorHAnsi"/>
          <w:color w:val="000000" w:themeColor="text1"/>
        </w:rPr>
        <w:t xml:space="preserve">some even described strategies they would take to prevent </w:t>
      </w:r>
      <w:r w:rsidR="006C15F1" w:rsidRPr="00CA4ABC">
        <w:rPr>
          <w:rFonts w:cstheme="minorHAnsi"/>
          <w:color w:val="000000" w:themeColor="text1"/>
        </w:rPr>
        <w:t>some</w:t>
      </w:r>
      <w:r w:rsidRPr="00CA4ABC">
        <w:rPr>
          <w:rFonts w:cstheme="minorHAnsi"/>
          <w:color w:val="000000" w:themeColor="text1"/>
        </w:rPr>
        <w:t xml:space="preserve">one </w:t>
      </w:r>
      <w:r w:rsidR="0060010E" w:rsidRPr="00CA4ABC">
        <w:rPr>
          <w:rFonts w:cstheme="minorHAnsi"/>
          <w:color w:val="000000" w:themeColor="text1"/>
        </w:rPr>
        <w:t xml:space="preserve">from </w:t>
      </w:r>
      <w:r w:rsidRPr="00CA4ABC">
        <w:rPr>
          <w:rFonts w:cstheme="minorHAnsi"/>
          <w:color w:val="000000" w:themeColor="text1"/>
        </w:rPr>
        <w:t>enter</w:t>
      </w:r>
      <w:r w:rsidR="006C15F1" w:rsidRPr="00CA4ABC">
        <w:rPr>
          <w:rFonts w:cstheme="minorHAnsi"/>
          <w:color w:val="000000" w:themeColor="text1"/>
        </w:rPr>
        <w:t>ing</w:t>
      </w:r>
      <w:r w:rsidRPr="00CA4ABC">
        <w:rPr>
          <w:rFonts w:cstheme="minorHAnsi"/>
          <w:color w:val="000000" w:themeColor="text1"/>
        </w:rPr>
        <w:t xml:space="preserve"> the room</w:t>
      </w:r>
      <w:r w:rsidR="006C15F1" w:rsidRPr="00CA4ABC">
        <w:rPr>
          <w:rFonts w:cstheme="minorHAnsi"/>
          <w:color w:val="000000" w:themeColor="text1"/>
        </w:rPr>
        <w:t xml:space="preserve"> unannounced</w:t>
      </w:r>
      <w:r w:rsidR="004A2353" w:rsidRPr="00CA4ABC">
        <w:rPr>
          <w:rFonts w:cstheme="minorHAnsi"/>
          <w:color w:val="000000" w:themeColor="text1"/>
        </w:rPr>
        <w:t>.</w:t>
      </w:r>
    </w:p>
    <w:p w14:paraId="7931B382" w14:textId="77777777" w:rsidR="004A2353" w:rsidRPr="00CA4ABC" w:rsidRDefault="004A2353" w:rsidP="004053D7">
      <w:pPr>
        <w:spacing w:line="360" w:lineRule="auto"/>
        <w:rPr>
          <w:rFonts w:cstheme="minorHAnsi"/>
          <w:color w:val="000000" w:themeColor="text1"/>
        </w:rPr>
      </w:pPr>
    </w:p>
    <w:p w14:paraId="058A8988" w14:textId="77777777"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“I sort of said to my partner, “I’m going to go up and do a class now, don’t come in”</w:t>
      </w:r>
    </w:p>
    <w:p w14:paraId="2ECADEFA"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(P110). </w:t>
      </w:r>
    </w:p>
    <w:p w14:paraId="37D8FBFB"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had to jam the chair against the door, but it was fine”</w:t>
      </w:r>
      <w:r w:rsidRPr="00CA4ABC">
        <w:rPr>
          <w:rFonts w:cstheme="minorHAnsi"/>
          <w:color w:val="000000" w:themeColor="text1"/>
        </w:rPr>
        <w:t xml:space="preserve"> (P104).</w:t>
      </w:r>
      <w:r w:rsidRPr="00CA4ABC">
        <w:rPr>
          <w:rFonts w:cstheme="minorHAnsi"/>
          <w:i/>
          <w:iCs/>
          <w:color w:val="000000" w:themeColor="text1"/>
        </w:rPr>
        <w:t xml:space="preserve"> </w:t>
      </w:r>
      <w:r w:rsidRPr="00CA4ABC">
        <w:rPr>
          <w:rFonts w:cstheme="minorHAnsi"/>
          <w:color w:val="000000" w:themeColor="text1"/>
        </w:rPr>
        <w:t xml:space="preserve"> </w:t>
      </w:r>
    </w:p>
    <w:p w14:paraId="1A4799E3" w14:textId="77777777" w:rsidR="004C12CF" w:rsidRPr="00CA4ABC" w:rsidRDefault="004C12CF" w:rsidP="004053D7">
      <w:pPr>
        <w:spacing w:line="360" w:lineRule="auto"/>
        <w:rPr>
          <w:rFonts w:cstheme="minorHAnsi"/>
          <w:color w:val="000000" w:themeColor="text1"/>
        </w:rPr>
      </w:pPr>
    </w:p>
    <w:p w14:paraId="47E75ACD" w14:textId="0BEB848E" w:rsidR="004C12CF" w:rsidRPr="00CA4ABC" w:rsidRDefault="004C12CF" w:rsidP="004053D7">
      <w:pPr>
        <w:spacing w:line="360" w:lineRule="auto"/>
        <w:rPr>
          <w:rFonts w:cstheme="minorHAnsi"/>
          <w:color w:val="000000" w:themeColor="text1"/>
        </w:rPr>
      </w:pPr>
      <w:r w:rsidRPr="00CA4ABC">
        <w:rPr>
          <w:rFonts w:cstheme="minorHAnsi"/>
          <w:color w:val="000000" w:themeColor="text1"/>
        </w:rPr>
        <w:t>Taking th</w:t>
      </w:r>
      <w:r w:rsidR="004A2353" w:rsidRPr="00CA4ABC">
        <w:rPr>
          <w:rFonts w:cstheme="minorHAnsi"/>
          <w:color w:val="000000" w:themeColor="text1"/>
        </w:rPr>
        <w:t>is feedback</w:t>
      </w:r>
      <w:r w:rsidRPr="00CA4ABC">
        <w:rPr>
          <w:rFonts w:cstheme="minorHAnsi"/>
          <w:color w:val="000000" w:themeColor="text1"/>
        </w:rPr>
        <w:t xml:space="preserve"> into account, offering </w:t>
      </w:r>
      <w:r w:rsidR="0060010E" w:rsidRPr="00CA4ABC">
        <w:rPr>
          <w:rFonts w:cstheme="minorHAnsi"/>
          <w:color w:val="000000" w:themeColor="text1"/>
        </w:rPr>
        <w:t xml:space="preserve">a </w:t>
      </w:r>
      <w:r w:rsidRPr="00CA4ABC">
        <w:rPr>
          <w:rFonts w:cstheme="minorHAnsi"/>
          <w:color w:val="000000" w:themeColor="text1"/>
        </w:rPr>
        <w:t xml:space="preserve">further warning, guidance and advice about how best to use the door anchor </w:t>
      </w:r>
      <w:r w:rsidR="00CD690A" w:rsidRPr="00CA4ABC">
        <w:rPr>
          <w:rFonts w:cstheme="minorHAnsi"/>
          <w:color w:val="000000" w:themeColor="text1"/>
        </w:rPr>
        <w:t>most suitably</w:t>
      </w:r>
      <w:r w:rsidRPr="00CA4ABC">
        <w:rPr>
          <w:rFonts w:cstheme="minorHAnsi"/>
          <w:color w:val="000000" w:themeColor="text1"/>
        </w:rPr>
        <w:t xml:space="preserve"> and giving plenty of </w:t>
      </w:r>
      <w:r w:rsidR="00CD690A" w:rsidRPr="00CA4ABC">
        <w:rPr>
          <w:rFonts w:cstheme="minorHAnsi"/>
          <w:color w:val="000000" w:themeColor="text1"/>
        </w:rPr>
        <w:t>notice</w:t>
      </w:r>
      <w:r w:rsidRPr="00CA4ABC">
        <w:rPr>
          <w:rFonts w:cstheme="minorHAnsi"/>
          <w:color w:val="000000" w:themeColor="text1"/>
        </w:rPr>
        <w:t xml:space="preserve"> for when it </w:t>
      </w:r>
      <w:r w:rsidR="00CD690A" w:rsidRPr="00CA4ABC">
        <w:rPr>
          <w:rFonts w:cstheme="minorHAnsi"/>
          <w:color w:val="000000" w:themeColor="text1"/>
        </w:rPr>
        <w:t>will</w:t>
      </w:r>
      <w:r w:rsidRPr="00CA4ABC">
        <w:rPr>
          <w:rFonts w:cstheme="minorHAnsi"/>
          <w:color w:val="000000" w:themeColor="text1"/>
        </w:rPr>
        <w:t xml:space="preserve"> be </w:t>
      </w:r>
      <w:r w:rsidR="00CD690A" w:rsidRPr="00CA4ABC">
        <w:rPr>
          <w:rFonts w:cstheme="minorHAnsi"/>
          <w:color w:val="000000" w:themeColor="text1"/>
        </w:rPr>
        <w:t>needed</w:t>
      </w:r>
      <w:r w:rsidRPr="00CA4ABC">
        <w:rPr>
          <w:rFonts w:cstheme="minorHAnsi"/>
          <w:color w:val="000000" w:themeColor="text1"/>
        </w:rPr>
        <w:t xml:space="preserve"> may aid with easing some of these issues. This may include providing a class/session tick list</w:t>
      </w:r>
      <w:r w:rsidR="0060010E" w:rsidRPr="00CA4ABC">
        <w:rPr>
          <w:rFonts w:cstheme="minorHAnsi"/>
          <w:color w:val="000000" w:themeColor="text1"/>
        </w:rPr>
        <w:t>,</w:t>
      </w:r>
      <w:r w:rsidRPr="00CA4ABC">
        <w:rPr>
          <w:rFonts w:cstheme="minorHAnsi"/>
          <w:color w:val="000000" w:themeColor="text1"/>
        </w:rPr>
        <w:t xml:space="preserve"> and benefits linked to this will be expanded upon.</w:t>
      </w:r>
    </w:p>
    <w:p w14:paraId="1193534D" w14:textId="77777777" w:rsidR="004C12CF" w:rsidRPr="00CA4ABC" w:rsidRDefault="004C12CF" w:rsidP="004053D7">
      <w:pPr>
        <w:spacing w:line="360" w:lineRule="auto"/>
        <w:rPr>
          <w:rFonts w:cstheme="minorHAnsi"/>
          <w:color w:val="000000" w:themeColor="text1"/>
        </w:rPr>
      </w:pPr>
    </w:p>
    <w:p w14:paraId="3F15BEE0" w14:textId="77777777" w:rsidR="004A2353" w:rsidRPr="00CA4ABC" w:rsidRDefault="004C12CF" w:rsidP="004053D7">
      <w:pPr>
        <w:spacing w:line="360" w:lineRule="auto"/>
        <w:rPr>
          <w:rFonts w:cstheme="minorHAnsi"/>
          <w:color w:val="000000" w:themeColor="text1"/>
        </w:rPr>
      </w:pPr>
      <w:r w:rsidRPr="00CA4ABC">
        <w:rPr>
          <w:rFonts w:cstheme="minorHAnsi"/>
          <w:color w:val="000000" w:themeColor="text1"/>
        </w:rPr>
        <w:t>One participant, however, appeared to be less convinced by the effectiveness of the bands</w:t>
      </w:r>
      <w:r w:rsidR="004A2353" w:rsidRPr="00CA4ABC">
        <w:rPr>
          <w:rFonts w:cstheme="minorHAnsi"/>
          <w:color w:val="000000" w:themeColor="text1"/>
        </w:rPr>
        <w:t>.</w:t>
      </w:r>
    </w:p>
    <w:p w14:paraId="778EFA6B" w14:textId="77777777" w:rsidR="004A2353" w:rsidRPr="00CA4ABC" w:rsidRDefault="004A2353" w:rsidP="004053D7">
      <w:pPr>
        <w:spacing w:line="360" w:lineRule="auto"/>
        <w:rPr>
          <w:rFonts w:cstheme="minorHAnsi"/>
          <w:color w:val="000000" w:themeColor="text1"/>
        </w:rPr>
      </w:pPr>
    </w:p>
    <w:p w14:paraId="35FE1EB9" w14:textId="42C935E3" w:rsidR="004A2353"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just don’t know I don’t</w:t>
      </w:r>
      <w:r w:rsidR="001A3048" w:rsidRPr="00CA4ABC">
        <w:rPr>
          <w:rFonts w:cstheme="minorHAnsi"/>
          <w:i/>
          <w:iCs/>
          <w:color w:val="000000" w:themeColor="text1"/>
        </w:rPr>
        <w:t xml:space="preserve"> feel</w:t>
      </w:r>
      <w:r w:rsidRPr="00CA4ABC">
        <w:rPr>
          <w:rFonts w:cstheme="minorHAnsi"/>
          <w:i/>
          <w:iCs/>
          <w:color w:val="000000" w:themeColor="text1"/>
        </w:rPr>
        <w:t xml:space="preserve"> like I get a full range of movement with a band all the time”</w:t>
      </w:r>
      <w:r w:rsidRPr="00CA4ABC">
        <w:rPr>
          <w:rFonts w:cstheme="minorHAnsi"/>
          <w:color w:val="000000" w:themeColor="text1"/>
        </w:rPr>
        <w:t xml:space="preserve"> (P105). </w:t>
      </w:r>
    </w:p>
    <w:p w14:paraId="5F9A666E" w14:textId="77777777" w:rsidR="004A2353" w:rsidRPr="00CA4ABC" w:rsidRDefault="004A2353" w:rsidP="004053D7">
      <w:pPr>
        <w:spacing w:line="360" w:lineRule="auto"/>
        <w:rPr>
          <w:rFonts w:cstheme="minorHAnsi"/>
          <w:color w:val="000000" w:themeColor="text1"/>
        </w:rPr>
      </w:pPr>
    </w:p>
    <w:p w14:paraId="5BEF68DE" w14:textId="6A44030C" w:rsidR="004C12CF" w:rsidRPr="00CA4ABC" w:rsidRDefault="004C12CF" w:rsidP="004053D7">
      <w:pPr>
        <w:spacing w:line="360" w:lineRule="auto"/>
        <w:rPr>
          <w:rFonts w:cstheme="minorHAnsi"/>
          <w:color w:val="000000" w:themeColor="text1"/>
        </w:rPr>
      </w:pPr>
      <w:r w:rsidRPr="00CA4ABC">
        <w:rPr>
          <w:rFonts w:cstheme="minorHAnsi"/>
          <w:color w:val="000000" w:themeColor="text1"/>
        </w:rPr>
        <w:t>This view appeared to be in the m</w:t>
      </w:r>
      <w:r w:rsidR="00DF73CE" w:rsidRPr="00CA4ABC">
        <w:rPr>
          <w:rFonts w:cstheme="minorHAnsi"/>
          <w:color w:val="000000" w:themeColor="text1"/>
        </w:rPr>
        <w:t>inority</w:t>
      </w:r>
      <w:r w:rsidRPr="00CA4ABC">
        <w:rPr>
          <w:rFonts w:cstheme="minorHAnsi"/>
          <w:color w:val="000000" w:themeColor="text1"/>
        </w:rPr>
        <w:t xml:space="preserve"> with many participants stating they did feel the bands were working in terms of providing an appropriate stimulus  (as evidenced in theme 1.) It may be that a ceiling effect is reached via training with the resistance bands and then to ensure the principles of progression are being met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{"citationItems":[{"id":"ITEM-1","itemData":{"ISBN":"145,247,253,325,5","abstract":"Fragala, MS, Cadore, EL, Dorgo, S, Izquierdo, M, Kraemer, WJ, Peterson, MD, and Ryan, ED. Resistance training for older adults: position statement from the national strength and conditioning association. J Strength Cond Res XX(X): 000-000, 2019-Aging, even in the absence of chronic disease, is associated with a variety of biological changes that can contribute to decreases in skeletal muscle mass, strength, and function. Such losses decrease physiologic resilience and increase vulnerability to catastrophic events. As such, strategies for both prevention and treatment are necessary for the health and well-being of older adults. The purpose of this Position Statement is to provide an overview of the current and relevant literature and provide evidence-based recommendations for resistance training for older adults. As presented in this Position Statement, current research has demonstrated that countering muscle disuse through resistance training is a powerful intervention to combat the loss of muscle strength and muscle mass, physiological vulnerability, and their debilitating consequences on physical functioning, mobility, independence, chronic disease management, psychological well-being, quality of life, and healthy life expectancy. This Position Statement provides evidence to support recommendations for successful resistance training in older adults related to 4 parts: (a) program design variables, (b) physiological adaptations, (c) functional benefits, and (d) considerations for frailty, sarcopenia, and other chronic conditions. The goal of this Position Statement is to a) help foster a more unified and holistic approach to resistance training for older adults, b) promote the health and functional benefits of resistance training for older adults, and c) prevent or minimize fears and other barriers to implementation of resistance training programs for older adults. Summary Statements The purpose of this Position Statement is to provide an overview of the current and relevant literature, evaluate exercise program variables, and provide evidence-based recommendations for resistance training for older adults. Current research has demonstrated that countering muscle disuse through resistance training is a powerful intervention to combat muscle strength loss, muscle mass loss (sarcopenia), physiological vulnerability (frailty), and their debilitating consequences on physical functioning, mobility, independence, chronic disease management , psychological wel…","author":[{"dropping-particle":"","family":"Fragala","given":"Maren S","non-dropping-particle":"","parse-names":false,"suffix":""},{"dropping-particle":"","family":"Cadore","given":"Eduardo L","non-dropping-particle":"","parse-names":false,"suffix":""},{"dropping-particle":"","family":"Dorgo","given":"Sandor","non-dropping-particle":"","parse-names":false,"suffix":""},{"dropping-particle":"","family":"Izquierdo","given":"Mikel","non-dropping-particle":"","parse-names":false,"suffix":""},{"dropping-particle":"","family":"Kraemer","given":"William J","non-dropping-particle":"","parse-names":false,"suffix":""},{"dropping-particle":"","family":"Peterson","given":"Mark D","non-dropping-particle":"","parse-names":false,"suffix":""},{"dropping-particle":"","family":"Ryan","given":"Eric D","non-dropping-particle":"","parse-names":false,"suffix":""}],"id":"ITEM-1","issued":{"date-parts":[["2019"]]},"title":"Resistance Training for Older Adults: Position Statement From the National Strength and Conditioning Association","type":"article-journal"},"uris":["http://www.mendeley.com/documents/?uuid=eda51340-d3de-31c7-b7a6-135d16e6af88"]},{"id":"ITEM-2","itemData":{"DOI":"10.1249/MSS.0B013E3181915670","ISSN":"1530-0315","PMID":"19204579","abstract":"In order to stimulate further adaptation toward specific training goals, progressive resistance training (RT) protocols are necessary. The optimal characteristics of strength-specific programs include the use of concentric (CON), eccentric (ECC), and isometric muscle actions and the performance of bilateral and unilateral single- and multiple-joint exercises. In addition, it is recommended that strength programs sequence exercises to optimize the preservation of exercise intensity (large before small muscle group exercises, multiple-joint exercises before single-joint exercises, and higher-intensity before lower-intensity exercises). For novice (untrained individuals with no RT experience or who have not trained for several years) training, it is recommended that loads correspond to a repetition range of an 8-12 repetition maximum (RM). For intermediate (individuals with approximately 6 months of consistent RT experience) to advanced (individuals with years of RT experience) training, it is recommended that individuals use a wider loading range from 1 to 12 RM in a periodized fashion with eventual emphasis on heavy loading (1-6 RM) using 3- to 5-min rest periods between sets performed at a moderate contraction velocity (1-2 s CON; 1-2 s ECC). When training at a specific RM load, it is recommended that 2-10% increase in load be applied when the individual can perform the current workload for one to two repetitions over the desired number. The recommendation for training frequency is 2-3 d·wk-1 for novice training, 3-4 d·wk-1 for intermediate training, and 4-5 d·wk-1 for advanced training. Similar program designs are recommended for hypertrophy training with respect to exercise selection and frequency. For loading, it is recommended that loads corresponding to 1-12 RM be used in periodized fashion with emphasis on the 6-12 RM zone using 1- to 2-min rest periods between sets at a moderate velocity. Higher volume, multiple-set programs are recommended for maximizing hypertrophy. Progression in power training entails two general loading strategies: 1) strength training and 2) use of light loads (0-60% of 1 RM for lower body exercises; 30-60% of 1 RM for upper body exercises) performed at a fast contraction velocity with 3-5 min of rest between sets for multiple sets per exercise (three to five sets). It is also recommended that emphasis be placed on multiple-joint exercises especially those involving the total body. For local muscular endurance training, it …","container-title":"Medicine and science in sports and exercise","id":"ITEM-2","issue":"3","issued":{"date-parts":[["2009","3"]]},"page":"687-708","publisher":"Med Sci Sports Exerc","title":"American College of Sports Medicine position stand. Progression models in resistance training for healthy adults","type":"article-journal","volume":"41"},"uris":["http://www.mendeley.com/documents/?uuid=00fd1457-9b88-3c05-96da-f619168f3bed"]}],"mendeley":{"formattedCitation":"(134,240)","plainTextFormattedCitation":"(134,240)","previouslyFormattedCitation":"(134,240)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(134,240)</w:t>
      </w:r>
      <w:r w:rsidRPr="00CA4ABC">
        <w:rPr>
          <w:rFonts w:cstheme="minorHAnsi"/>
          <w:color w:val="000000" w:themeColor="text1"/>
        </w:rPr>
        <w:fldChar w:fldCharType="end"/>
      </w:r>
      <w:r w:rsidRPr="00CA4ABC">
        <w:rPr>
          <w:rFonts w:cstheme="minorHAnsi"/>
          <w:color w:val="000000" w:themeColor="text1"/>
        </w:rPr>
        <w:t>, the intensity will need to be increased. Seeking ways to incorporate this into the study design might be needed.</w:t>
      </w:r>
    </w:p>
    <w:p w14:paraId="0A96F9D3" w14:textId="77777777" w:rsidR="004C12CF" w:rsidRPr="00CA4ABC" w:rsidRDefault="004C12CF" w:rsidP="004053D7">
      <w:pPr>
        <w:spacing w:line="360" w:lineRule="auto"/>
        <w:rPr>
          <w:rFonts w:cstheme="minorHAnsi"/>
          <w:color w:val="000000" w:themeColor="text1"/>
        </w:rPr>
      </w:pPr>
    </w:p>
    <w:p w14:paraId="5CFAB9B7" w14:textId="7A73E31E" w:rsidR="004C12CF" w:rsidRPr="00CA4ABC" w:rsidRDefault="004C12CF" w:rsidP="004053D7">
      <w:pPr>
        <w:spacing w:line="360" w:lineRule="auto"/>
        <w:rPr>
          <w:rFonts w:cstheme="minorHAnsi"/>
          <w:color w:val="000000" w:themeColor="text1"/>
        </w:rPr>
      </w:pPr>
      <w:r w:rsidRPr="00CA4ABC">
        <w:rPr>
          <w:rFonts w:cstheme="minorHAnsi"/>
          <w:color w:val="000000" w:themeColor="text1"/>
        </w:rPr>
        <w:t>Some participants also did not enjoy the detachable handles and having to clip them on to a different band during the session</w:t>
      </w:r>
      <w:r w:rsidR="004A2353" w:rsidRPr="00CA4ABC">
        <w:rPr>
          <w:rFonts w:cstheme="minorHAnsi"/>
          <w:color w:val="000000" w:themeColor="text1"/>
        </w:rPr>
        <w:t>.</w:t>
      </w:r>
    </w:p>
    <w:p w14:paraId="4ADCE6D1" w14:textId="77777777" w:rsidR="004A2353" w:rsidRPr="00CA4ABC" w:rsidRDefault="004A2353" w:rsidP="004053D7">
      <w:pPr>
        <w:spacing w:line="360" w:lineRule="auto"/>
        <w:rPr>
          <w:rFonts w:cstheme="minorHAnsi"/>
          <w:color w:val="000000" w:themeColor="text1"/>
        </w:rPr>
      </w:pPr>
    </w:p>
    <w:p w14:paraId="19B385D0"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“It’s a bit of a faff as there was a bit of chopping and changing but no, it was alright, yes.”</w:t>
      </w:r>
      <w:r w:rsidRPr="00CA4ABC">
        <w:rPr>
          <w:rFonts w:cstheme="minorHAnsi"/>
          <w:color w:val="000000" w:themeColor="text1"/>
        </w:rPr>
        <w:t xml:space="preserve"> (P110). </w:t>
      </w:r>
    </w:p>
    <w:p w14:paraId="1721385C"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lastRenderedPageBreak/>
        <w:t>“I found it really time-consuming to change the band. So I would say that people are better off choosing one band for the entire session because effectively they still work, you can just pull them longer.” (</w:t>
      </w:r>
      <w:r w:rsidRPr="00CA4ABC">
        <w:rPr>
          <w:rFonts w:cstheme="minorHAnsi"/>
          <w:color w:val="000000" w:themeColor="text1"/>
        </w:rPr>
        <w:t>P109)</w:t>
      </w:r>
    </w:p>
    <w:p w14:paraId="707BD2F2" w14:textId="77777777" w:rsidR="004C12CF" w:rsidRPr="00CA4ABC" w:rsidRDefault="004C12CF" w:rsidP="004053D7">
      <w:pPr>
        <w:spacing w:line="360" w:lineRule="auto"/>
        <w:rPr>
          <w:rFonts w:cstheme="minorHAnsi"/>
          <w:i/>
          <w:iCs/>
          <w:color w:val="000000" w:themeColor="text1"/>
        </w:rPr>
      </w:pPr>
    </w:p>
    <w:p w14:paraId="35AFC24E" w14:textId="5B83CD2B" w:rsidR="004C12CF" w:rsidRPr="00CA4ABC" w:rsidRDefault="004C12CF">
      <w:pPr>
        <w:pStyle w:val="ListParagraph"/>
        <w:numPr>
          <w:ilvl w:val="0"/>
          <w:numId w:val="22"/>
        </w:numPr>
        <w:spacing w:line="360" w:lineRule="auto"/>
        <w:rPr>
          <w:rFonts w:cstheme="minorHAnsi"/>
          <w:color w:val="000000" w:themeColor="text1"/>
        </w:rPr>
      </w:pPr>
      <w:r w:rsidRPr="00CA4ABC">
        <w:rPr>
          <w:rFonts w:cstheme="minorHAnsi"/>
          <w:color w:val="000000" w:themeColor="text1"/>
        </w:rPr>
        <w:t>Adverse events</w:t>
      </w:r>
    </w:p>
    <w:p w14:paraId="32BDEED2" w14:textId="6E207B4B" w:rsidR="004C12CF" w:rsidRPr="00CA4ABC" w:rsidRDefault="004C12CF" w:rsidP="004053D7">
      <w:pPr>
        <w:spacing w:line="360" w:lineRule="auto"/>
        <w:rPr>
          <w:rFonts w:cstheme="minorHAnsi"/>
          <w:color w:val="000000" w:themeColor="text1"/>
        </w:rPr>
      </w:pPr>
      <w:r w:rsidRPr="00CA4ABC">
        <w:rPr>
          <w:rFonts w:cstheme="minorHAnsi"/>
          <w:color w:val="000000" w:themeColor="text1"/>
        </w:rPr>
        <w:t>In addition to practical issues, a more concerning issue raised by some participants was that the bands had caused pain and injury/bruising, not as a result of over-training or exercise-in</w:t>
      </w:r>
      <w:r w:rsidR="004A2353" w:rsidRPr="00CA4ABC">
        <w:rPr>
          <w:rFonts w:cstheme="minorHAnsi"/>
          <w:color w:val="000000" w:themeColor="text1"/>
        </w:rPr>
        <w:t>duced</w:t>
      </w:r>
      <w:r w:rsidRPr="00CA4ABC">
        <w:rPr>
          <w:rFonts w:cstheme="minorHAnsi"/>
          <w:color w:val="000000" w:themeColor="text1"/>
        </w:rPr>
        <w:t xml:space="preserve"> injury</w:t>
      </w:r>
      <w:r w:rsidR="004A2353" w:rsidRPr="00CA4ABC">
        <w:rPr>
          <w:rFonts w:cstheme="minorHAnsi"/>
          <w:color w:val="000000" w:themeColor="text1"/>
        </w:rPr>
        <w:t>,</w:t>
      </w:r>
      <w:r w:rsidRPr="00CA4ABC">
        <w:rPr>
          <w:rFonts w:cstheme="minorHAnsi"/>
          <w:color w:val="000000" w:themeColor="text1"/>
        </w:rPr>
        <w:t xml:space="preserve"> but mainly as a result of the metal clips which attach the handles to the band scaping or knocking into the body.</w:t>
      </w:r>
    </w:p>
    <w:p w14:paraId="3B7FC8E1" w14:textId="77777777" w:rsidR="004C12CF" w:rsidRPr="00CA4ABC" w:rsidRDefault="004C12CF" w:rsidP="004053D7">
      <w:pPr>
        <w:spacing w:line="360" w:lineRule="auto"/>
        <w:rPr>
          <w:rFonts w:cstheme="minorHAnsi"/>
          <w:color w:val="000000" w:themeColor="text1"/>
        </w:rPr>
      </w:pPr>
    </w:p>
    <w:p w14:paraId="304A2A5E" w14:textId="7830C8E0"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“The only thing that annoyed me was when you were doing the upper</w:t>
      </w:r>
      <w:r w:rsidR="001A3048" w:rsidRPr="00CA4ABC">
        <w:rPr>
          <w:rFonts w:cstheme="minorHAnsi"/>
          <w:i/>
          <w:iCs/>
          <w:color w:val="000000" w:themeColor="text1"/>
        </w:rPr>
        <w:t>s</w:t>
      </w:r>
      <w:r w:rsidRPr="00CA4ABC">
        <w:rPr>
          <w:rFonts w:cstheme="minorHAnsi"/>
          <w:i/>
          <w:iCs/>
          <w:color w:val="000000" w:themeColor="text1"/>
        </w:rPr>
        <w:t xml:space="preserve"> and they were scraping against your arm” </w:t>
      </w:r>
      <w:r w:rsidRPr="00CA4ABC">
        <w:rPr>
          <w:rFonts w:cstheme="minorHAnsi"/>
          <w:color w:val="000000" w:themeColor="text1"/>
        </w:rPr>
        <w:t xml:space="preserve">(P104) </w:t>
      </w:r>
    </w:p>
    <w:p w14:paraId="28482EB1"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 liked them, obviously, you can get a bit bashed about a bit because of the metal clips.”</w:t>
      </w:r>
      <w:r w:rsidRPr="00CA4ABC">
        <w:rPr>
          <w:rFonts w:cstheme="minorHAnsi"/>
          <w:color w:val="000000" w:themeColor="text1"/>
        </w:rPr>
        <w:t xml:space="preserve"> (P106).</w:t>
      </w:r>
    </w:p>
    <w:p w14:paraId="74340E45"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Some participants described strategies they undertook to prevent the issue occurring:</w:t>
      </w:r>
    </w:p>
    <w:p w14:paraId="0C146255" w14:textId="7B104DEB"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covered them [the metal clips] with</w:t>
      </w:r>
      <w:r w:rsidR="006513FF" w:rsidRPr="00CA4ABC">
        <w:rPr>
          <w:rFonts w:cstheme="minorHAnsi"/>
          <w:i/>
          <w:iCs/>
          <w:color w:val="000000" w:themeColor="text1"/>
        </w:rPr>
        <w:t xml:space="preserve"> an</w:t>
      </w:r>
      <w:r w:rsidRPr="00CA4ABC">
        <w:rPr>
          <w:rFonts w:cstheme="minorHAnsi"/>
          <w:i/>
          <w:iCs/>
          <w:color w:val="000000" w:themeColor="text1"/>
        </w:rPr>
        <w:t xml:space="preserve"> old sock.”</w:t>
      </w:r>
      <w:r w:rsidRPr="00CA4ABC">
        <w:rPr>
          <w:rFonts w:cstheme="minorHAnsi"/>
          <w:color w:val="000000" w:themeColor="text1"/>
        </w:rPr>
        <w:t xml:space="preserve"> (P103.)</w:t>
      </w:r>
    </w:p>
    <w:p w14:paraId="050D14B3"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p>
    <w:p w14:paraId="61DFC4E2" w14:textId="3B8A25B6" w:rsidR="004C12CF" w:rsidRPr="00CA4ABC" w:rsidRDefault="004C12CF" w:rsidP="004053D7">
      <w:pPr>
        <w:spacing w:line="360" w:lineRule="auto"/>
        <w:rPr>
          <w:rFonts w:cstheme="minorHAnsi"/>
          <w:color w:val="000000" w:themeColor="text1"/>
        </w:rPr>
      </w:pPr>
      <w:r w:rsidRPr="00CA4ABC">
        <w:rPr>
          <w:rFonts w:cstheme="minorHAnsi"/>
          <w:color w:val="000000" w:themeColor="text1"/>
        </w:rPr>
        <w:t>Although this appear</w:t>
      </w:r>
      <w:r w:rsidR="006513FF" w:rsidRPr="00CA4ABC">
        <w:rPr>
          <w:rFonts w:cstheme="minorHAnsi"/>
          <w:color w:val="000000" w:themeColor="text1"/>
        </w:rPr>
        <w:t>s</w:t>
      </w:r>
      <w:r w:rsidRPr="00CA4ABC">
        <w:rPr>
          <w:rFonts w:cstheme="minorHAnsi"/>
          <w:color w:val="000000" w:themeColor="text1"/>
        </w:rPr>
        <w:t xml:space="preserve"> to be a fault with the manufacturer’s design of the bands, moving forward, seeking band</w:t>
      </w:r>
      <w:r w:rsidR="00DF73CE" w:rsidRPr="00CA4ABC">
        <w:rPr>
          <w:rFonts w:cstheme="minorHAnsi"/>
          <w:color w:val="000000" w:themeColor="text1"/>
        </w:rPr>
        <w:t>s</w:t>
      </w:r>
      <w:r w:rsidRPr="00CA4ABC">
        <w:rPr>
          <w:rFonts w:cstheme="minorHAnsi"/>
          <w:color w:val="000000" w:themeColor="text1"/>
        </w:rPr>
        <w:t xml:space="preserve"> </w:t>
      </w:r>
      <w:r w:rsidR="004A2353" w:rsidRPr="00CA4ABC">
        <w:rPr>
          <w:rFonts w:cstheme="minorHAnsi"/>
          <w:color w:val="000000" w:themeColor="text1"/>
        </w:rPr>
        <w:t>without</w:t>
      </w:r>
      <w:r w:rsidRPr="00CA4ABC">
        <w:rPr>
          <w:rFonts w:cstheme="minorHAnsi"/>
          <w:color w:val="000000" w:themeColor="text1"/>
        </w:rPr>
        <w:t xml:space="preserve"> metal clips</w:t>
      </w:r>
      <w:r w:rsidR="004A2353" w:rsidRPr="00CA4ABC">
        <w:rPr>
          <w:rFonts w:cstheme="minorHAnsi"/>
          <w:color w:val="000000" w:themeColor="text1"/>
        </w:rPr>
        <w:t xml:space="preserve"> is </w:t>
      </w:r>
      <w:r w:rsidRPr="00CA4ABC">
        <w:rPr>
          <w:rFonts w:cstheme="minorHAnsi"/>
          <w:color w:val="000000" w:themeColor="text1"/>
        </w:rPr>
        <w:t xml:space="preserve">preferable. </w:t>
      </w:r>
    </w:p>
    <w:p w14:paraId="6090F23C" w14:textId="77777777" w:rsidR="004C12CF" w:rsidRPr="00CA4ABC" w:rsidRDefault="004C12CF" w:rsidP="004053D7">
      <w:pPr>
        <w:spacing w:line="360" w:lineRule="auto"/>
        <w:rPr>
          <w:rFonts w:cstheme="minorHAnsi"/>
          <w:color w:val="000000" w:themeColor="text1"/>
        </w:rPr>
      </w:pPr>
    </w:p>
    <w:p w14:paraId="12B878EA" w14:textId="43B19B6E" w:rsidR="004C12CF" w:rsidRPr="00CA4ABC" w:rsidRDefault="004C12CF">
      <w:pPr>
        <w:pStyle w:val="ListParagraph"/>
        <w:numPr>
          <w:ilvl w:val="0"/>
          <w:numId w:val="22"/>
        </w:numPr>
        <w:spacing w:line="360" w:lineRule="auto"/>
        <w:rPr>
          <w:rFonts w:cstheme="minorHAnsi"/>
          <w:color w:val="000000" w:themeColor="text1"/>
        </w:rPr>
      </w:pPr>
      <w:r w:rsidRPr="00CA4ABC">
        <w:rPr>
          <w:rFonts w:cstheme="minorHAnsi"/>
          <w:color w:val="000000" w:themeColor="text1"/>
        </w:rPr>
        <w:t>factors that decreased engagement</w:t>
      </w:r>
    </w:p>
    <w:p w14:paraId="4A037057" w14:textId="77777777"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It was flagged by many participants that the timing of the live workout sessions were not always practical for them</w:t>
      </w:r>
      <w:r w:rsidRPr="00CA4ABC">
        <w:rPr>
          <w:rFonts w:cstheme="minorHAnsi"/>
          <w:i/>
          <w:iCs/>
          <w:color w:val="000000" w:themeColor="text1"/>
        </w:rPr>
        <w:t>:</w:t>
      </w:r>
    </w:p>
    <w:p w14:paraId="00F99074" w14:textId="77777777" w:rsidR="004C12CF" w:rsidRPr="00CA4ABC" w:rsidRDefault="004C12CF" w:rsidP="004053D7">
      <w:pPr>
        <w:spacing w:line="360" w:lineRule="auto"/>
        <w:rPr>
          <w:rFonts w:cstheme="minorHAnsi"/>
          <w:i/>
          <w:iCs/>
          <w:color w:val="000000" w:themeColor="text1"/>
        </w:rPr>
      </w:pPr>
    </w:p>
    <w:p w14:paraId="01275343"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“If it was a 5 o’clock session, I could never make that because I wouldn’t be home in time to have it set up so that was a bit difficult but that is just because of my job”</w:t>
      </w:r>
      <w:r w:rsidRPr="00CA4ABC">
        <w:rPr>
          <w:rFonts w:cstheme="minorHAnsi"/>
          <w:color w:val="000000" w:themeColor="text1"/>
        </w:rPr>
        <w:t xml:space="preserve"> (P113) </w:t>
      </w:r>
    </w:p>
    <w:p w14:paraId="5CB1EFC1" w14:textId="77777777" w:rsidR="004C12CF" w:rsidRPr="00CA4ABC" w:rsidRDefault="004C12CF" w:rsidP="004053D7">
      <w:pPr>
        <w:spacing w:line="360" w:lineRule="auto"/>
        <w:rPr>
          <w:rFonts w:cstheme="minorHAnsi"/>
          <w:color w:val="000000" w:themeColor="text1"/>
        </w:rPr>
      </w:pPr>
    </w:p>
    <w:p w14:paraId="3147B037" w14:textId="44622EAA"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Overall, </w:t>
      </w:r>
      <w:r w:rsidR="004A2353" w:rsidRPr="00CA4ABC">
        <w:rPr>
          <w:rFonts w:cstheme="minorHAnsi"/>
          <w:color w:val="000000" w:themeColor="text1"/>
        </w:rPr>
        <w:t xml:space="preserve">there was </w:t>
      </w:r>
      <w:r w:rsidRPr="00CA4ABC">
        <w:rPr>
          <w:rFonts w:cstheme="minorHAnsi"/>
          <w:color w:val="000000" w:themeColor="text1"/>
        </w:rPr>
        <w:t xml:space="preserve">a split in preference for live workout </w:t>
      </w:r>
      <w:r w:rsidR="004A2353" w:rsidRPr="00CA4ABC">
        <w:rPr>
          <w:rFonts w:cstheme="minorHAnsi"/>
          <w:color w:val="000000" w:themeColor="text1"/>
        </w:rPr>
        <w:t>timetabling</w:t>
      </w:r>
      <w:r w:rsidRPr="00CA4ABC">
        <w:rPr>
          <w:rFonts w:cstheme="minorHAnsi"/>
          <w:color w:val="000000" w:themeColor="text1"/>
        </w:rPr>
        <w:t xml:space="preserve"> (as outlined in theme 3, facilitators to exercise). Some suggestions that were made to try and improve this included:</w:t>
      </w:r>
    </w:p>
    <w:p w14:paraId="26400B31" w14:textId="77777777" w:rsidR="004C12CF" w:rsidRPr="00CA4ABC" w:rsidRDefault="004C12CF" w:rsidP="004053D7">
      <w:pPr>
        <w:spacing w:line="360" w:lineRule="auto"/>
        <w:rPr>
          <w:rFonts w:cstheme="minorHAnsi"/>
          <w:color w:val="000000" w:themeColor="text1"/>
        </w:rPr>
      </w:pPr>
    </w:p>
    <w:p w14:paraId="01FA2F25"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“maybe you could do two time slots in the day when you’re doing a trial because some people are morning exercise and some are night exercisers.”</w:t>
      </w:r>
      <w:r w:rsidRPr="00CA4ABC">
        <w:rPr>
          <w:rFonts w:cstheme="minorHAnsi"/>
          <w:color w:val="000000" w:themeColor="text1"/>
        </w:rPr>
        <w:t xml:space="preserve"> (P108). </w:t>
      </w:r>
    </w:p>
    <w:p w14:paraId="75EF57D5" w14:textId="77777777" w:rsidR="004C12CF" w:rsidRPr="00CA4ABC" w:rsidRDefault="004C12CF" w:rsidP="004053D7">
      <w:pPr>
        <w:spacing w:line="360" w:lineRule="auto"/>
        <w:rPr>
          <w:rFonts w:cstheme="minorHAnsi"/>
          <w:color w:val="000000" w:themeColor="text1"/>
        </w:rPr>
      </w:pPr>
    </w:p>
    <w:p w14:paraId="7A098BD3" w14:textId="2C282983" w:rsidR="004C12CF" w:rsidRPr="00CA4ABC" w:rsidRDefault="004C12CF" w:rsidP="004053D7">
      <w:pPr>
        <w:spacing w:line="360" w:lineRule="auto"/>
        <w:rPr>
          <w:rFonts w:cstheme="minorHAnsi"/>
          <w:color w:val="000000" w:themeColor="text1"/>
        </w:rPr>
      </w:pPr>
      <w:r w:rsidRPr="00CA4ABC">
        <w:rPr>
          <w:rFonts w:cstheme="minorHAnsi"/>
          <w:color w:val="000000" w:themeColor="text1"/>
        </w:rPr>
        <w:t>Despite multiple days (Monday and Wednesday) when more than one session was delivered, these</w:t>
      </w:r>
      <w:r w:rsidR="000B0BFA" w:rsidRPr="00CA4ABC">
        <w:rPr>
          <w:rFonts w:cstheme="minorHAnsi"/>
          <w:color w:val="000000" w:themeColor="text1"/>
        </w:rPr>
        <w:t xml:space="preserve"> still</w:t>
      </w:r>
      <w:r w:rsidRPr="00CA4ABC">
        <w:rPr>
          <w:rFonts w:cstheme="minorHAnsi"/>
          <w:color w:val="000000" w:themeColor="text1"/>
        </w:rPr>
        <w:t xml:space="preserve"> may not have fitted into the participant’s weekly schedules and accounting for this is difficult. Although the comments on this topic were appreciated, some of the reasons that multiple time slots could not be catered for w</w:t>
      </w:r>
      <w:r w:rsidR="006513FF" w:rsidRPr="00CA4ABC">
        <w:rPr>
          <w:rFonts w:cstheme="minorHAnsi"/>
          <w:color w:val="000000" w:themeColor="text1"/>
        </w:rPr>
        <w:t>ere</w:t>
      </w:r>
      <w:r w:rsidRPr="00CA4ABC">
        <w:rPr>
          <w:rFonts w:cstheme="minorHAnsi"/>
          <w:color w:val="000000" w:themeColor="text1"/>
        </w:rPr>
        <w:t xml:space="preserve"> simply due to resources and only one instructor being present. To suit diverse schedules, a workaround was the option of sending participants the video recording on their own, whenever was convenient for them.</w:t>
      </w:r>
      <w:r w:rsidR="006470ED" w:rsidRPr="00CA4ABC">
        <w:rPr>
          <w:rFonts w:cstheme="minorHAnsi"/>
          <w:color w:val="000000" w:themeColor="text1"/>
        </w:rPr>
        <w:t xml:space="preserve"> </w:t>
      </w:r>
      <w:r w:rsidR="001D0183" w:rsidRPr="00CA4ABC">
        <w:rPr>
          <w:rFonts w:cstheme="minorHAnsi"/>
          <w:color w:val="000000" w:themeColor="text1"/>
        </w:rPr>
        <w:t xml:space="preserve">This </w:t>
      </w:r>
      <w:r w:rsidRPr="00CA4ABC">
        <w:rPr>
          <w:rFonts w:cstheme="minorHAnsi"/>
          <w:color w:val="000000" w:themeColor="text1"/>
        </w:rPr>
        <w:t>appeared to be suitable for many participants, as explored in theme 3.</w:t>
      </w:r>
    </w:p>
    <w:p w14:paraId="5B4621C0" w14:textId="77777777" w:rsidR="004C12CF" w:rsidRPr="00CA4ABC" w:rsidRDefault="004C12CF" w:rsidP="004053D7">
      <w:pPr>
        <w:spacing w:line="360" w:lineRule="auto"/>
        <w:rPr>
          <w:rFonts w:cstheme="minorHAnsi"/>
          <w:color w:val="000000" w:themeColor="text1"/>
        </w:rPr>
      </w:pPr>
    </w:p>
    <w:p w14:paraId="2C89A595" w14:textId="1F42850F" w:rsidR="004C12CF" w:rsidRPr="00CA4ABC" w:rsidRDefault="004C12CF" w:rsidP="004053D7">
      <w:pPr>
        <w:spacing w:line="360" w:lineRule="auto"/>
        <w:rPr>
          <w:rFonts w:cstheme="minorHAnsi"/>
          <w:color w:val="000000" w:themeColor="text1"/>
        </w:rPr>
      </w:pPr>
      <w:r w:rsidRPr="00CA4ABC">
        <w:rPr>
          <w:rFonts w:cstheme="minorHAnsi"/>
          <w:color w:val="000000" w:themeColor="text1"/>
        </w:rPr>
        <w:t>The exercise programme was designed to cater to beginners</w:t>
      </w:r>
      <w:r w:rsidR="0060010E" w:rsidRPr="00CA4ABC">
        <w:rPr>
          <w:rFonts w:cstheme="minorHAnsi"/>
          <w:color w:val="000000" w:themeColor="text1"/>
        </w:rPr>
        <w:t>. A</w:t>
      </w:r>
      <w:r w:rsidRPr="00CA4ABC">
        <w:rPr>
          <w:rFonts w:cstheme="minorHAnsi"/>
          <w:color w:val="000000" w:themeColor="text1"/>
        </w:rPr>
        <w:t xml:space="preserve">daptations and progressions were outlined during the workout videos to try </w:t>
      </w:r>
      <w:r w:rsidR="001D0183" w:rsidRPr="00CA4ABC">
        <w:rPr>
          <w:rFonts w:cstheme="minorHAnsi"/>
          <w:color w:val="000000" w:themeColor="text1"/>
        </w:rPr>
        <w:t>to consider</w:t>
      </w:r>
      <w:r w:rsidRPr="00CA4ABC">
        <w:rPr>
          <w:rFonts w:cstheme="minorHAnsi"/>
          <w:color w:val="000000" w:themeColor="text1"/>
        </w:rPr>
        <w:t xml:space="preserve"> individual </w:t>
      </w:r>
      <w:r w:rsidR="0060010E" w:rsidRPr="00CA4ABC">
        <w:rPr>
          <w:rFonts w:cstheme="minorHAnsi"/>
          <w:color w:val="000000" w:themeColor="text1"/>
        </w:rPr>
        <w:t>differences</w:t>
      </w:r>
      <w:r w:rsidRPr="00CA4ABC">
        <w:rPr>
          <w:rFonts w:cstheme="minorHAnsi"/>
          <w:color w:val="000000" w:themeColor="text1"/>
        </w:rPr>
        <w:t xml:space="preserve"> and suit everyone. The principles of progression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{"citationItems":[{"id":"ITEM-1","itemData":{"DOI":"10.1249/MSS.0B013E3181915670","ISSN":"1530-0315","PMID":"19204579","abstract":"In order to stimulate further adaptation toward specific training goals, progressive resistance training (RT) protocols are necessary. The optimal characteristics of strength-specific programs include the use of concentric (CON), eccentric (ECC), and isometric muscle actions and the performance of bilateral and unilateral single- and multiple-joint exercises. In addition, it is recommended that strength programs sequence exercises to optimize the preservation of exercise intensity (large before small muscle group exercises, multiple-joint exercises before single-joint exercises, and higher-intensity before lower-intensity exercises). For novice (untrained individuals with no RT experience or who have not trained for several years) training, it is recommended that loads correspond to a repetition range of an 8-12 repetition maximum (RM). For intermediate (individuals with approximately 6 months of consistent RT experience) to advanced (individuals with years of RT experience) training, it is recommended that individuals use a wider loading range from 1 to 12 RM in a periodized fashion with eventual emphasis on heavy loading (1-6 RM) using 3- to 5-min rest periods between sets performed at a moderate contraction velocity (1-2 s CON; 1-2 s ECC). When training at a specific RM load, it is recommended that 2-10% increase in load be applied when the individual can perform the current workload for one to two repetitions over the desired number. The recommendation for training frequency is 2-3 d·wk-1 for novice training, 3-4 d·wk-1 for intermediate training, and 4-5 d·wk-1 for advanced training. Similar program designs are recommended for hypertrophy training with respect to exercise selection and frequency. For loading, it is recommended that loads corresponding to 1-12 RM be used in periodized fashion with emphasis on the 6-12 RM zone using 1- to 2-min rest periods between sets at a moderate velocity. Higher volume, multiple-set programs are recommended for maximizing hypertrophy. Progression in power training entails two general loading strategies: 1) strength training and 2) use of light loads (0-60% of 1 RM for lower body exercises; 30-60% of 1 RM for upper body exercises) performed at a fast contraction velocity with 3-5 min of rest between sets for multiple sets per exercise (three to five sets). It is also recommended that emphasis be placed on multiple-joint exercises especially those involving the total body. For local muscular endurance training, it …","container-title":"Medicine and science in sports and exercise","id":"ITEM-1","issue":"3","issued":{"date-parts":[["2009","3"]]},"page":"687-708","publisher":"Med Sci Sports Exerc","title":"American College of Sports Medicine position stand. Progression models in resistance training for healthy adults","type":"article-journal","volume":"41"},"uris":["http://www.mendeley.com/documents/?uuid=00fd1457-9b88-3c05-96da-f619168f3bed"]}],"mendeley":{"formattedCitation":"(240)","plainTextFormattedCitation":"(240)","previouslyFormattedCitation":"(240)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(240)</w:t>
      </w:r>
      <w:r w:rsidRPr="00CA4ABC">
        <w:rPr>
          <w:rFonts w:cstheme="minorHAnsi"/>
          <w:color w:val="000000" w:themeColor="text1"/>
        </w:rPr>
        <w:fldChar w:fldCharType="end"/>
      </w:r>
      <w:r w:rsidRPr="00CA4ABC">
        <w:rPr>
          <w:rFonts w:cstheme="minorHAnsi"/>
          <w:color w:val="000000" w:themeColor="text1"/>
        </w:rPr>
        <w:t xml:space="preserve"> were also utilised to try and ensure that the participants were increasing their strength throughout the six</w:t>
      </w:r>
      <w:r w:rsidR="0060010E" w:rsidRPr="00CA4ABC">
        <w:rPr>
          <w:rFonts w:cstheme="minorHAnsi"/>
          <w:color w:val="000000" w:themeColor="text1"/>
        </w:rPr>
        <w:t>-</w:t>
      </w:r>
      <w:r w:rsidRPr="00CA4ABC">
        <w:rPr>
          <w:rFonts w:cstheme="minorHAnsi"/>
          <w:color w:val="000000" w:themeColor="text1"/>
        </w:rPr>
        <w:t xml:space="preserve">week programme. As mentioned, some </w:t>
      </w:r>
      <w:r w:rsidR="0060010E" w:rsidRPr="00CA4ABC">
        <w:rPr>
          <w:rFonts w:cstheme="minorHAnsi"/>
          <w:color w:val="000000" w:themeColor="text1"/>
        </w:rPr>
        <w:t>participants had</w:t>
      </w:r>
      <w:r w:rsidRPr="00CA4ABC">
        <w:rPr>
          <w:rFonts w:cstheme="minorHAnsi"/>
          <w:color w:val="000000" w:themeColor="text1"/>
        </w:rPr>
        <w:t xml:space="preserve"> resistance training experience and as such</w:t>
      </w:r>
      <w:r w:rsidR="00CF60C1" w:rsidRPr="00CA4ABC">
        <w:rPr>
          <w:rFonts w:cstheme="minorHAnsi"/>
          <w:color w:val="000000" w:themeColor="text1"/>
        </w:rPr>
        <w:t>,</w:t>
      </w:r>
      <w:r w:rsidRPr="00CA4ABC">
        <w:rPr>
          <w:rFonts w:cstheme="minorHAnsi"/>
          <w:color w:val="000000" w:themeColor="text1"/>
        </w:rPr>
        <w:t xml:space="preserve"> </w:t>
      </w:r>
      <w:r w:rsidR="00CF60C1" w:rsidRPr="00CA4ABC">
        <w:rPr>
          <w:rFonts w:cstheme="minorHAnsi"/>
          <w:color w:val="000000" w:themeColor="text1"/>
        </w:rPr>
        <w:t>were not</w:t>
      </w:r>
      <w:r w:rsidRPr="00CA4ABC">
        <w:rPr>
          <w:rFonts w:cstheme="minorHAnsi"/>
          <w:color w:val="000000" w:themeColor="text1"/>
        </w:rPr>
        <w:t xml:space="preserve"> classed as a beginner, which was reflected in their opinions that they felt that the programme was not quite suitable for them:</w:t>
      </w:r>
    </w:p>
    <w:p w14:paraId="37A20F02" w14:textId="77777777" w:rsidR="004C12CF" w:rsidRPr="00CA4ABC" w:rsidRDefault="004C12CF" w:rsidP="004053D7">
      <w:pPr>
        <w:spacing w:line="360" w:lineRule="auto"/>
        <w:rPr>
          <w:rFonts w:cstheme="minorHAnsi"/>
          <w:color w:val="000000" w:themeColor="text1"/>
        </w:rPr>
      </w:pPr>
      <w:r w:rsidRPr="00CA4ABC">
        <w:rPr>
          <w:rFonts w:cstheme="minorHAnsi"/>
          <w:i/>
          <w:iCs/>
          <w:color w:val="000000" w:themeColor="text1"/>
        </w:rPr>
        <w:t xml:space="preserve">“I felt like when I was doing it live I was waiting a lot. I could do this in 20 minutes but it’s taking 40 minutes, do you know what I mean” </w:t>
      </w:r>
      <w:r w:rsidRPr="00CA4ABC">
        <w:rPr>
          <w:rFonts w:cstheme="minorHAnsi"/>
          <w:color w:val="000000" w:themeColor="text1"/>
        </w:rPr>
        <w:t xml:space="preserve">(P105.) </w:t>
      </w:r>
    </w:p>
    <w:p w14:paraId="5F269D4F" w14:textId="77777777" w:rsidR="004C12CF" w:rsidRPr="00CA4ABC" w:rsidRDefault="004C12CF" w:rsidP="004053D7">
      <w:pPr>
        <w:spacing w:line="360" w:lineRule="auto"/>
        <w:rPr>
          <w:rFonts w:cstheme="minorHAnsi"/>
          <w:color w:val="000000" w:themeColor="text1"/>
        </w:rPr>
      </w:pPr>
    </w:p>
    <w:p w14:paraId="676DDAE1" w14:textId="6462B512" w:rsidR="004C12CF" w:rsidRPr="00CA4ABC" w:rsidRDefault="004C12CF" w:rsidP="004053D7">
      <w:pPr>
        <w:spacing w:line="360" w:lineRule="auto"/>
        <w:rPr>
          <w:rFonts w:cstheme="minorHAnsi"/>
          <w:color w:val="000000" w:themeColor="text1"/>
        </w:rPr>
      </w:pPr>
      <w:r w:rsidRPr="00CA4ABC">
        <w:rPr>
          <w:rFonts w:cstheme="minorHAnsi"/>
          <w:color w:val="000000" w:themeColor="text1"/>
        </w:rPr>
        <w:t>On the other hand, one participant describe</w:t>
      </w:r>
      <w:r w:rsidR="00CF60C1" w:rsidRPr="00CA4ABC">
        <w:rPr>
          <w:rFonts w:cstheme="minorHAnsi"/>
          <w:color w:val="000000" w:themeColor="text1"/>
        </w:rPr>
        <w:t>d</w:t>
      </w:r>
      <w:r w:rsidRPr="00CA4ABC">
        <w:rPr>
          <w:rFonts w:cstheme="minorHAnsi"/>
          <w:color w:val="000000" w:themeColor="text1"/>
        </w:rPr>
        <w:t xml:space="preserve"> the progression as not being gradual enough, which they found disheartening</w:t>
      </w:r>
      <w:r w:rsidR="00CF60C1" w:rsidRPr="00CA4ABC">
        <w:rPr>
          <w:rFonts w:cstheme="minorHAnsi"/>
          <w:color w:val="000000" w:themeColor="text1"/>
        </w:rPr>
        <w:t>.</w:t>
      </w:r>
    </w:p>
    <w:p w14:paraId="7C72DB40" w14:textId="77777777" w:rsidR="004C12CF" w:rsidRPr="00CA4ABC" w:rsidRDefault="004C12CF" w:rsidP="004053D7">
      <w:pPr>
        <w:spacing w:line="360" w:lineRule="auto"/>
        <w:rPr>
          <w:rFonts w:cstheme="minorHAnsi"/>
          <w:color w:val="000000" w:themeColor="text1"/>
        </w:rPr>
      </w:pPr>
    </w:p>
    <w:p w14:paraId="5D522D92" w14:textId="02F33EE6"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no I think when, when it suddenly changed and went up and before that I’d been like trying really, really hard and felt oh it’s got slightly better and then I think it went up and I just felt a bit despondent, that’s a bit of a strong wo</w:t>
      </w:r>
      <w:r w:rsidR="001A3048" w:rsidRPr="00CA4ABC">
        <w:rPr>
          <w:rFonts w:cstheme="minorHAnsi"/>
          <w:i/>
          <w:iCs/>
          <w:color w:val="000000" w:themeColor="text1"/>
        </w:rPr>
        <w:t>rd</w:t>
      </w:r>
      <w:r w:rsidRPr="00CA4ABC">
        <w:rPr>
          <w:rFonts w:cstheme="minorHAnsi"/>
          <w:i/>
          <w:iCs/>
          <w:color w:val="000000" w:themeColor="text1"/>
        </w:rPr>
        <w:t>, a bit disappointed in myself because I just thought oh I can’t do this, I need a bit more rest.”</w:t>
      </w:r>
      <w:r w:rsidRPr="00CA4ABC">
        <w:rPr>
          <w:rFonts w:cstheme="minorHAnsi"/>
          <w:color w:val="000000" w:themeColor="text1"/>
        </w:rPr>
        <w:t xml:space="preserve"> (P110). </w:t>
      </w:r>
    </w:p>
    <w:p w14:paraId="34AB15AD" w14:textId="77777777" w:rsidR="004C12CF" w:rsidRPr="00CA4ABC" w:rsidRDefault="004C12CF" w:rsidP="004053D7">
      <w:pPr>
        <w:spacing w:line="360" w:lineRule="auto"/>
        <w:rPr>
          <w:rFonts w:cstheme="minorHAnsi"/>
          <w:color w:val="000000" w:themeColor="text1"/>
        </w:rPr>
      </w:pPr>
    </w:p>
    <w:p w14:paraId="226B6D4F" w14:textId="36A7B533" w:rsidR="004C12CF" w:rsidRPr="00CA4ABC" w:rsidRDefault="001D0183" w:rsidP="004053D7">
      <w:pPr>
        <w:spacing w:line="360" w:lineRule="auto"/>
        <w:rPr>
          <w:rFonts w:cstheme="minorHAnsi"/>
          <w:color w:val="000000" w:themeColor="text1"/>
        </w:rPr>
      </w:pPr>
      <w:r w:rsidRPr="00CA4ABC">
        <w:rPr>
          <w:rFonts w:cstheme="minorHAnsi"/>
          <w:color w:val="000000"/>
          <w:shd w:val="clear" w:color="auto" w:fill="FFFFFF"/>
        </w:rPr>
        <w:t xml:space="preserve">Trying to tailor the programme to ensure everyone achieves the most suitable programme may require further tweaking. </w:t>
      </w:r>
      <w:r w:rsidR="004C12CF" w:rsidRPr="00CA4ABC">
        <w:rPr>
          <w:rFonts w:cstheme="minorHAnsi"/>
          <w:color w:val="000000" w:themeColor="text1"/>
        </w:rPr>
        <w:t xml:space="preserve">One way this could be possible </w:t>
      </w:r>
      <w:r w:rsidR="000B0BFA" w:rsidRPr="00CA4ABC">
        <w:rPr>
          <w:rFonts w:cstheme="minorHAnsi"/>
          <w:color w:val="000000" w:themeColor="text1"/>
        </w:rPr>
        <w:t>would be</w:t>
      </w:r>
      <w:r w:rsidR="004C12CF" w:rsidRPr="00CA4ABC">
        <w:rPr>
          <w:rFonts w:cstheme="minorHAnsi"/>
          <w:color w:val="000000" w:themeColor="text1"/>
        </w:rPr>
        <w:t xml:space="preserve"> </w:t>
      </w:r>
      <w:r w:rsidR="000B0BFA" w:rsidRPr="00CA4ABC">
        <w:rPr>
          <w:rFonts w:cstheme="minorHAnsi"/>
          <w:color w:val="000000" w:themeColor="text1"/>
        </w:rPr>
        <w:t>through</w:t>
      </w:r>
      <w:r w:rsidR="004C12CF" w:rsidRPr="00CA4ABC">
        <w:rPr>
          <w:rFonts w:cstheme="minorHAnsi"/>
          <w:color w:val="000000" w:themeColor="text1"/>
        </w:rPr>
        <w:t xml:space="preserve"> develop</w:t>
      </w:r>
      <w:r w:rsidR="000B0BFA" w:rsidRPr="00CA4ABC">
        <w:rPr>
          <w:rFonts w:cstheme="minorHAnsi"/>
          <w:color w:val="000000" w:themeColor="text1"/>
        </w:rPr>
        <w:t>ing</w:t>
      </w:r>
      <w:r w:rsidR="004C12CF" w:rsidRPr="00CA4ABC">
        <w:rPr>
          <w:rFonts w:cstheme="minorHAnsi"/>
          <w:color w:val="000000" w:themeColor="text1"/>
        </w:rPr>
        <w:t xml:space="preserve"> multiple programmes and videos such as ‘beginner’, ‘intermediate’ and ‘advanced’ and these can be prescribed accordingly, based on the participant</w:t>
      </w:r>
      <w:r w:rsidR="00F002F5" w:rsidRPr="00CA4ABC">
        <w:rPr>
          <w:rFonts w:cstheme="minorHAnsi"/>
          <w:color w:val="000000" w:themeColor="text1"/>
        </w:rPr>
        <w:t>’</w:t>
      </w:r>
      <w:r w:rsidR="004C12CF" w:rsidRPr="00CA4ABC">
        <w:rPr>
          <w:rFonts w:cstheme="minorHAnsi"/>
          <w:color w:val="000000" w:themeColor="text1"/>
        </w:rPr>
        <w:t xml:space="preserve">s baseline </w:t>
      </w:r>
      <w:r w:rsidR="000B0BFA" w:rsidRPr="00CA4ABC">
        <w:rPr>
          <w:rFonts w:cstheme="minorHAnsi"/>
          <w:color w:val="000000" w:themeColor="text1"/>
        </w:rPr>
        <w:t xml:space="preserve">fitness </w:t>
      </w:r>
      <w:r w:rsidR="004C12CF" w:rsidRPr="00CA4ABC">
        <w:rPr>
          <w:rFonts w:cstheme="minorHAnsi"/>
          <w:color w:val="000000" w:themeColor="text1"/>
        </w:rPr>
        <w:t xml:space="preserve">and </w:t>
      </w:r>
      <w:r w:rsidR="004C12CF" w:rsidRPr="00CA4ABC">
        <w:rPr>
          <w:rFonts w:cstheme="minorHAnsi"/>
          <w:color w:val="000000" w:themeColor="text1"/>
        </w:rPr>
        <w:lastRenderedPageBreak/>
        <w:t xml:space="preserve">previous exercise experience. </w:t>
      </w:r>
      <w:r w:rsidR="000B0BFA" w:rsidRPr="00CA4ABC">
        <w:rPr>
          <w:rFonts w:cstheme="minorHAnsi"/>
          <w:color w:val="000000" w:themeColor="text1"/>
        </w:rPr>
        <w:t>Issues</w:t>
      </w:r>
      <w:r w:rsidR="004C12CF" w:rsidRPr="00CA4ABC">
        <w:rPr>
          <w:rFonts w:cstheme="minorHAnsi"/>
          <w:color w:val="000000" w:themeColor="text1"/>
        </w:rPr>
        <w:t xml:space="preserve"> may have also arisen </w:t>
      </w:r>
      <w:r w:rsidR="00F002F5" w:rsidRPr="00CA4ABC">
        <w:rPr>
          <w:rFonts w:cstheme="minorHAnsi"/>
          <w:color w:val="000000" w:themeColor="text1"/>
        </w:rPr>
        <w:t>due to</w:t>
      </w:r>
      <w:r w:rsidR="004C12CF" w:rsidRPr="00CA4ABC">
        <w:rPr>
          <w:rFonts w:cstheme="minorHAnsi"/>
          <w:color w:val="000000" w:themeColor="text1"/>
        </w:rPr>
        <w:t xml:space="preserve"> pre-recording the workouts, meaning it was harder to make live adaptations depending on how the participants </w:t>
      </w:r>
      <w:r w:rsidR="0033408F" w:rsidRPr="00CA4ABC">
        <w:rPr>
          <w:rFonts w:cstheme="minorHAnsi"/>
          <w:color w:val="000000" w:themeColor="text1"/>
        </w:rPr>
        <w:t>responded</w:t>
      </w:r>
      <w:r w:rsidR="004C12CF" w:rsidRPr="00CA4ABC">
        <w:rPr>
          <w:rFonts w:cstheme="minorHAnsi"/>
          <w:color w:val="000000" w:themeColor="text1"/>
        </w:rPr>
        <w:t xml:space="preserve"> to the programme. One way to address this could be having the instructor carry out live workouts and a second instructor available to monitor the participants and their techniques. </w:t>
      </w:r>
    </w:p>
    <w:p w14:paraId="0E4D32EA" w14:textId="77777777" w:rsidR="004C12CF" w:rsidRPr="00CA4ABC" w:rsidRDefault="004C12CF" w:rsidP="004053D7">
      <w:pPr>
        <w:spacing w:line="360" w:lineRule="auto"/>
        <w:rPr>
          <w:rFonts w:cstheme="minorHAnsi"/>
          <w:color w:val="000000" w:themeColor="text1"/>
        </w:rPr>
      </w:pPr>
    </w:p>
    <w:p w14:paraId="18B3413F" w14:textId="50AD4D9E" w:rsidR="004C12CF" w:rsidRPr="00CA4ABC" w:rsidRDefault="004C12CF">
      <w:pPr>
        <w:pStyle w:val="ListParagraph"/>
        <w:numPr>
          <w:ilvl w:val="0"/>
          <w:numId w:val="22"/>
        </w:numPr>
        <w:spacing w:line="360" w:lineRule="auto"/>
        <w:rPr>
          <w:rFonts w:cstheme="minorHAnsi"/>
          <w:color w:val="000000" w:themeColor="text1"/>
        </w:rPr>
      </w:pPr>
      <w:r w:rsidRPr="00CA4ABC">
        <w:rPr>
          <w:rFonts w:cstheme="minorHAnsi"/>
          <w:color w:val="000000" w:themeColor="text1"/>
        </w:rPr>
        <w:t>Feedback/suggestions for improvement.</w:t>
      </w:r>
    </w:p>
    <w:p w14:paraId="2FDADE10" w14:textId="584DB2FF" w:rsidR="004C12CF" w:rsidRPr="00CA4ABC" w:rsidRDefault="0033408F" w:rsidP="004053D7">
      <w:pPr>
        <w:spacing w:line="360" w:lineRule="auto"/>
        <w:rPr>
          <w:rFonts w:cstheme="minorHAnsi"/>
          <w:color w:val="000000" w:themeColor="text1"/>
        </w:rPr>
      </w:pPr>
      <w:r w:rsidRPr="00CA4ABC">
        <w:rPr>
          <w:rFonts w:cstheme="minorHAnsi"/>
          <w:color w:val="000000" w:themeColor="text1"/>
        </w:rPr>
        <w:t>To</w:t>
      </w:r>
      <w:r w:rsidR="004C12CF" w:rsidRPr="00CA4ABC">
        <w:rPr>
          <w:rFonts w:cstheme="minorHAnsi"/>
          <w:color w:val="000000" w:themeColor="text1"/>
        </w:rPr>
        <w:t xml:space="preserve"> be able to learn from this feasibility trial, participants were encourage</w:t>
      </w:r>
      <w:r w:rsidR="00F002F5" w:rsidRPr="00CA4ABC">
        <w:rPr>
          <w:rFonts w:cstheme="minorHAnsi"/>
          <w:color w:val="000000" w:themeColor="text1"/>
        </w:rPr>
        <w:t>d</w:t>
      </w:r>
      <w:r w:rsidR="004C12CF" w:rsidRPr="00CA4ABC">
        <w:rPr>
          <w:rFonts w:cstheme="minorHAnsi"/>
          <w:color w:val="000000" w:themeColor="text1"/>
        </w:rPr>
        <w:t xml:space="preserve"> to provide their feedback and suggestions for improvement during the semi-structured interviews. Specifically, in the concluding remarks, they were </w:t>
      </w:r>
      <w:r w:rsidR="00F002F5" w:rsidRPr="00CA4ABC">
        <w:rPr>
          <w:rFonts w:cstheme="minorHAnsi"/>
          <w:color w:val="000000" w:themeColor="text1"/>
        </w:rPr>
        <w:t>encouraged</w:t>
      </w:r>
      <w:r w:rsidR="004C12CF" w:rsidRPr="00CA4ABC">
        <w:rPr>
          <w:rFonts w:cstheme="minorHAnsi"/>
          <w:color w:val="000000" w:themeColor="text1"/>
        </w:rPr>
        <w:t xml:space="preserve"> to </w:t>
      </w:r>
      <w:r w:rsidR="00F002F5" w:rsidRPr="00CA4ABC">
        <w:rPr>
          <w:rFonts w:cstheme="minorHAnsi"/>
          <w:color w:val="000000" w:themeColor="text1"/>
        </w:rPr>
        <w:t>suggest</w:t>
      </w:r>
      <w:r w:rsidR="004C12CF" w:rsidRPr="00CA4ABC">
        <w:rPr>
          <w:rFonts w:cstheme="minorHAnsi"/>
          <w:color w:val="000000" w:themeColor="text1"/>
        </w:rPr>
        <w:t xml:space="preserve"> any amend</w:t>
      </w:r>
      <w:r w:rsidR="00F66968" w:rsidRPr="00CA4ABC">
        <w:rPr>
          <w:rFonts w:cstheme="minorHAnsi"/>
          <w:color w:val="000000" w:themeColor="text1"/>
        </w:rPr>
        <w:t>ments they would make.</w:t>
      </w:r>
    </w:p>
    <w:p w14:paraId="7A85CCEC" w14:textId="77777777" w:rsidR="004C12CF" w:rsidRPr="00CA4ABC" w:rsidRDefault="004C12CF" w:rsidP="004053D7">
      <w:pPr>
        <w:spacing w:line="360" w:lineRule="auto"/>
        <w:rPr>
          <w:rFonts w:cstheme="minorHAnsi"/>
          <w:color w:val="000000" w:themeColor="text1"/>
        </w:rPr>
      </w:pPr>
    </w:p>
    <w:p w14:paraId="7A137404" w14:textId="0879D3EC" w:rsidR="004C12CF" w:rsidRPr="00CA4ABC" w:rsidRDefault="004C12CF" w:rsidP="004053D7">
      <w:pPr>
        <w:spacing w:line="360" w:lineRule="auto"/>
        <w:rPr>
          <w:rFonts w:cstheme="minorHAnsi"/>
          <w:color w:val="000000" w:themeColor="text1"/>
        </w:rPr>
      </w:pPr>
      <w:r w:rsidRPr="00CA4ABC">
        <w:rPr>
          <w:rFonts w:cstheme="minorHAnsi"/>
          <w:color w:val="000000" w:themeColor="text1"/>
        </w:rPr>
        <w:t>One participant (Participant EN109) raised to the researcher that they were neurodiverse, having recently been diagnosed with ADHD and</w:t>
      </w:r>
      <w:r w:rsidR="004443FB" w:rsidRPr="00CA4ABC">
        <w:rPr>
          <w:rFonts w:cstheme="minorHAnsi"/>
          <w:color w:val="000000" w:themeColor="text1"/>
        </w:rPr>
        <w:t>,</w:t>
      </w:r>
      <w:r w:rsidRPr="00CA4ABC">
        <w:rPr>
          <w:rFonts w:cstheme="minorHAnsi"/>
          <w:color w:val="000000" w:themeColor="text1"/>
        </w:rPr>
        <w:t xml:space="preserve"> as such</w:t>
      </w:r>
      <w:r w:rsidR="004443FB" w:rsidRPr="00CA4ABC">
        <w:rPr>
          <w:rFonts w:cstheme="minorHAnsi"/>
          <w:color w:val="000000" w:themeColor="text1"/>
        </w:rPr>
        <w:t>,</w:t>
      </w:r>
      <w:r w:rsidRPr="00CA4ABC">
        <w:rPr>
          <w:rFonts w:cstheme="minorHAnsi"/>
          <w:color w:val="000000" w:themeColor="text1"/>
        </w:rPr>
        <w:t xml:space="preserve"> struggled with planning and concentration. They generously offered lots of feedback on elements they found slightly more challenging with the trial, particularly in relation to the exercise videos. They</w:t>
      </w:r>
      <w:r w:rsidR="006470ED" w:rsidRPr="00CA4ABC">
        <w:rPr>
          <w:rFonts w:cstheme="minorHAnsi"/>
          <w:color w:val="000000" w:themeColor="text1"/>
        </w:rPr>
        <w:t xml:space="preserve"> </w:t>
      </w:r>
      <w:r w:rsidRPr="00CA4ABC">
        <w:rPr>
          <w:rFonts w:cstheme="minorHAnsi"/>
          <w:color w:val="000000" w:themeColor="text1"/>
        </w:rPr>
        <w:t xml:space="preserve">made suggestions </w:t>
      </w:r>
      <w:r w:rsidR="004443FB" w:rsidRPr="00CA4ABC">
        <w:rPr>
          <w:rFonts w:cstheme="minorHAnsi"/>
          <w:color w:val="000000" w:themeColor="text1"/>
        </w:rPr>
        <w:t>that</w:t>
      </w:r>
      <w:r w:rsidRPr="00CA4ABC">
        <w:rPr>
          <w:rFonts w:cstheme="minorHAnsi"/>
          <w:color w:val="000000" w:themeColor="text1"/>
        </w:rPr>
        <w:t xml:space="preserve"> they would find helpful to counteract these issues</w:t>
      </w:r>
      <w:r w:rsidR="004443FB" w:rsidRPr="00CA4ABC">
        <w:rPr>
          <w:rFonts w:cstheme="minorHAnsi"/>
          <w:color w:val="000000" w:themeColor="text1"/>
        </w:rPr>
        <w:t>,</w:t>
      </w:r>
      <w:r w:rsidR="000B0BFA" w:rsidRPr="00CA4ABC">
        <w:rPr>
          <w:rFonts w:cstheme="minorHAnsi"/>
          <w:color w:val="000000" w:themeColor="text1"/>
        </w:rPr>
        <w:t xml:space="preserve"> and</w:t>
      </w:r>
      <w:r w:rsidR="004443FB" w:rsidRPr="00CA4ABC">
        <w:rPr>
          <w:rFonts w:cstheme="minorHAnsi"/>
          <w:color w:val="000000" w:themeColor="text1"/>
        </w:rPr>
        <w:t xml:space="preserve"> a summary of</w:t>
      </w:r>
      <w:r w:rsidR="000B0BFA" w:rsidRPr="00CA4ABC">
        <w:rPr>
          <w:rFonts w:cstheme="minorHAnsi"/>
          <w:color w:val="000000" w:themeColor="text1"/>
        </w:rPr>
        <w:t xml:space="preserve"> their advice and recommendation</w:t>
      </w:r>
      <w:r w:rsidR="004443FB" w:rsidRPr="00CA4ABC">
        <w:rPr>
          <w:rFonts w:cstheme="minorHAnsi"/>
          <w:color w:val="000000" w:themeColor="text1"/>
        </w:rPr>
        <w:t>s</w:t>
      </w:r>
      <w:r w:rsidR="000B0BFA" w:rsidRPr="00CA4ABC">
        <w:rPr>
          <w:rFonts w:cstheme="minorHAnsi"/>
          <w:color w:val="000000" w:themeColor="text1"/>
        </w:rPr>
        <w:t xml:space="preserve"> will be </w:t>
      </w:r>
      <w:r w:rsidR="004443FB" w:rsidRPr="00CA4ABC">
        <w:rPr>
          <w:rFonts w:cstheme="minorHAnsi"/>
          <w:color w:val="000000" w:themeColor="text1"/>
        </w:rPr>
        <w:t>presented.</w:t>
      </w:r>
    </w:p>
    <w:p w14:paraId="5756A813" w14:textId="77777777" w:rsidR="004C12CF" w:rsidRPr="00CA4ABC" w:rsidRDefault="004C12CF" w:rsidP="004053D7">
      <w:pPr>
        <w:spacing w:line="360" w:lineRule="auto"/>
        <w:rPr>
          <w:rFonts w:cstheme="minorHAnsi"/>
          <w:color w:val="000000" w:themeColor="text1"/>
        </w:rPr>
      </w:pPr>
    </w:p>
    <w:p w14:paraId="2C183D24" w14:textId="2388CC8D"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Firstly, they mentioned </w:t>
      </w:r>
      <w:r w:rsidR="004443FB" w:rsidRPr="00CA4ABC">
        <w:rPr>
          <w:rFonts w:cstheme="minorHAnsi"/>
          <w:color w:val="000000" w:themeColor="text1"/>
        </w:rPr>
        <w:t>ensuring</w:t>
      </w:r>
      <w:r w:rsidRPr="00CA4ABC">
        <w:rPr>
          <w:rFonts w:cstheme="minorHAnsi"/>
          <w:color w:val="000000" w:themeColor="text1"/>
        </w:rPr>
        <w:t xml:space="preserve"> they had all their equipment ready and available </w:t>
      </w:r>
      <w:r w:rsidR="0033408F" w:rsidRPr="00CA4ABC">
        <w:rPr>
          <w:rFonts w:cstheme="minorHAnsi"/>
          <w:color w:val="000000" w:themeColor="text1"/>
        </w:rPr>
        <w:t>before</w:t>
      </w:r>
      <w:r w:rsidRPr="00CA4ABC">
        <w:rPr>
          <w:rFonts w:cstheme="minorHAnsi"/>
          <w:color w:val="000000" w:themeColor="text1"/>
        </w:rPr>
        <w:t xml:space="preserve"> starting the session. </w:t>
      </w:r>
    </w:p>
    <w:p w14:paraId="38EE5F60" w14:textId="77777777" w:rsidR="004C12CF" w:rsidRPr="00CA4ABC" w:rsidRDefault="004C12CF" w:rsidP="004053D7">
      <w:pPr>
        <w:spacing w:line="360" w:lineRule="auto"/>
        <w:rPr>
          <w:rFonts w:cstheme="minorHAnsi"/>
          <w:color w:val="000000" w:themeColor="text1"/>
        </w:rPr>
      </w:pPr>
    </w:p>
    <w:p w14:paraId="2BCDC2CA" w14:textId="77777777"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“for somebody like me, who can be quite dippy, just go, oh you’ll need this and this and you will need to have a charger and that will be every time.”</w:t>
      </w:r>
    </w:p>
    <w:p w14:paraId="0FB67BDA" w14:textId="77777777" w:rsidR="004C12CF" w:rsidRPr="00CA4ABC" w:rsidRDefault="004C12CF" w:rsidP="004053D7">
      <w:pPr>
        <w:spacing w:line="360" w:lineRule="auto"/>
        <w:rPr>
          <w:rFonts w:cstheme="minorHAnsi"/>
          <w:i/>
          <w:iCs/>
          <w:color w:val="000000" w:themeColor="text1"/>
        </w:rPr>
      </w:pPr>
    </w:p>
    <w:p w14:paraId="66BA2413" w14:textId="202C41D5" w:rsidR="004C12CF" w:rsidRPr="00CA4ABC" w:rsidRDefault="004C12CF" w:rsidP="004053D7">
      <w:pPr>
        <w:spacing w:line="360" w:lineRule="auto"/>
        <w:rPr>
          <w:rFonts w:cstheme="minorHAnsi"/>
          <w:color w:val="000000" w:themeColor="text1"/>
        </w:rPr>
      </w:pPr>
      <w:r w:rsidRPr="00CA4ABC">
        <w:rPr>
          <w:rFonts w:cstheme="minorHAnsi"/>
          <w:color w:val="000000" w:themeColor="text1"/>
        </w:rPr>
        <w:t>Th</w:t>
      </w:r>
      <w:r w:rsidR="00376CDE" w:rsidRPr="00CA4ABC">
        <w:rPr>
          <w:rFonts w:cstheme="minorHAnsi"/>
          <w:color w:val="000000" w:themeColor="text1"/>
        </w:rPr>
        <w:t>e</w:t>
      </w:r>
      <w:r w:rsidR="0059269A">
        <w:rPr>
          <w:rFonts w:cstheme="minorHAnsi"/>
          <w:color w:val="000000" w:themeColor="text1"/>
        </w:rPr>
        <w:t>y</w:t>
      </w:r>
      <w:r w:rsidR="00376CDE" w:rsidRPr="00CA4ABC">
        <w:rPr>
          <w:rFonts w:cstheme="minorHAnsi"/>
          <w:color w:val="000000" w:themeColor="text1"/>
        </w:rPr>
        <w:t xml:space="preserve"> listed items they </w:t>
      </w:r>
      <w:r w:rsidR="00F03AB7">
        <w:rPr>
          <w:rFonts w:cstheme="minorHAnsi"/>
          <w:color w:val="000000" w:themeColor="text1"/>
        </w:rPr>
        <w:t xml:space="preserve">deemed necessary for a tick list and this </w:t>
      </w:r>
      <w:r w:rsidRPr="00CA4ABC">
        <w:rPr>
          <w:rFonts w:cstheme="minorHAnsi"/>
          <w:color w:val="000000" w:themeColor="text1"/>
        </w:rPr>
        <w:t>ncluded things not previously considered by the researcher (i.e. a charger or ensuring the electronic device which was going to be used for the video</w:t>
      </w:r>
      <w:r w:rsidR="0033408F" w:rsidRPr="00CA4ABC">
        <w:rPr>
          <w:rFonts w:cstheme="minorHAnsi"/>
          <w:color w:val="000000" w:themeColor="text1"/>
        </w:rPr>
        <w:t xml:space="preserve"> </w:t>
      </w:r>
      <w:r w:rsidRPr="00CA4ABC">
        <w:rPr>
          <w:rFonts w:cstheme="minorHAnsi"/>
          <w:color w:val="000000" w:themeColor="text1"/>
        </w:rPr>
        <w:t xml:space="preserve">call had a sufficient amount of battery.) Although the researcher did provide a quick synopsis of the workout session and alluded to equipment required (i.e. door anchor) when the </w:t>
      </w:r>
      <w:r w:rsidR="00376CDE" w:rsidRPr="00CA4ABC">
        <w:rPr>
          <w:rFonts w:cstheme="minorHAnsi"/>
          <w:color w:val="000000" w:themeColor="text1"/>
        </w:rPr>
        <w:t>G</w:t>
      </w:r>
      <w:r w:rsidRPr="00CA4ABC">
        <w:rPr>
          <w:rFonts w:cstheme="minorHAnsi"/>
          <w:color w:val="000000" w:themeColor="text1"/>
        </w:rPr>
        <w:t xml:space="preserve">oogle invite was sent out, this was not in checklist form and it </w:t>
      </w:r>
      <w:r w:rsidR="004443FB" w:rsidRPr="00CA4ABC">
        <w:rPr>
          <w:rFonts w:cstheme="minorHAnsi"/>
          <w:color w:val="000000" w:themeColor="text1"/>
        </w:rPr>
        <w:t xml:space="preserve">is </w:t>
      </w:r>
      <w:r w:rsidRPr="00CA4ABC">
        <w:rPr>
          <w:rFonts w:cstheme="minorHAnsi"/>
          <w:color w:val="000000" w:themeColor="text1"/>
        </w:rPr>
        <w:t xml:space="preserve">apparent that clearer instructions should be provided. </w:t>
      </w:r>
    </w:p>
    <w:p w14:paraId="0E06CA7E" w14:textId="77777777" w:rsidR="004C12CF" w:rsidRPr="00CA4ABC" w:rsidRDefault="004C12CF" w:rsidP="004053D7">
      <w:pPr>
        <w:spacing w:line="360" w:lineRule="auto"/>
        <w:rPr>
          <w:rFonts w:cstheme="minorHAnsi"/>
          <w:color w:val="000000" w:themeColor="text1"/>
        </w:rPr>
      </w:pPr>
    </w:p>
    <w:p w14:paraId="3592F23B" w14:textId="29952791" w:rsidR="004C12CF" w:rsidRPr="00CA4ABC" w:rsidRDefault="004443FB" w:rsidP="004053D7">
      <w:pPr>
        <w:spacing w:line="360" w:lineRule="auto"/>
        <w:rPr>
          <w:rFonts w:cstheme="minorHAnsi"/>
          <w:color w:val="000000" w:themeColor="text1"/>
        </w:rPr>
      </w:pPr>
      <w:r w:rsidRPr="00CA4ABC">
        <w:rPr>
          <w:rFonts w:cstheme="minorHAnsi"/>
          <w:color w:val="000000" w:themeColor="text1"/>
        </w:rPr>
        <w:lastRenderedPageBreak/>
        <w:t>Furthermore</w:t>
      </w:r>
      <w:r w:rsidR="004C12CF" w:rsidRPr="00CA4ABC">
        <w:rPr>
          <w:rFonts w:cstheme="minorHAnsi"/>
          <w:color w:val="000000" w:themeColor="text1"/>
        </w:rPr>
        <w:t xml:space="preserve">, they suggested that starting the </w:t>
      </w:r>
      <w:r w:rsidRPr="00CA4ABC">
        <w:rPr>
          <w:rFonts w:cstheme="minorHAnsi"/>
          <w:color w:val="000000" w:themeColor="text1"/>
        </w:rPr>
        <w:t>video call</w:t>
      </w:r>
      <w:r w:rsidR="004C12CF" w:rsidRPr="00CA4ABC">
        <w:rPr>
          <w:rFonts w:cstheme="minorHAnsi"/>
          <w:color w:val="000000" w:themeColor="text1"/>
        </w:rPr>
        <w:t xml:space="preserve"> a few minutes earlier, to allow for setting up time, would be beneficial</w:t>
      </w:r>
      <w:r w:rsidRPr="00CA4ABC">
        <w:rPr>
          <w:rFonts w:cstheme="minorHAnsi"/>
          <w:color w:val="000000" w:themeColor="text1"/>
        </w:rPr>
        <w:t>.</w:t>
      </w:r>
      <w:r w:rsidR="004C12CF" w:rsidRPr="00CA4ABC">
        <w:rPr>
          <w:rFonts w:cstheme="minorHAnsi"/>
          <w:color w:val="000000" w:themeColor="text1"/>
        </w:rPr>
        <w:t xml:space="preserve"> </w:t>
      </w:r>
    </w:p>
    <w:p w14:paraId="61638C96" w14:textId="77777777" w:rsidR="004C12CF" w:rsidRPr="00CA4ABC" w:rsidRDefault="004C12CF" w:rsidP="004053D7">
      <w:pPr>
        <w:spacing w:line="360" w:lineRule="auto"/>
        <w:rPr>
          <w:rFonts w:cstheme="minorHAnsi"/>
          <w:color w:val="000000" w:themeColor="text1"/>
        </w:rPr>
      </w:pPr>
    </w:p>
    <w:p w14:paraId="43153773" w14:textId="7C85BA7F" w:rsidR="004C12CF" w:rsidRPr="00CA4ABC" w:rsidRDefault="004C12CF" w:rsidP="004053D7">
      <w:pPr>
        <w:spacing w:line="360" w:lineRule="auto"/>
        <w:rPr>
          <w:rFonts w:cstheme="minorHAnsi"/>
          <w:i/>
          <w:iCs/>
          <w:color w:val="000000" w:themeColor="text1"/>
        </w:rPr>
      </w:pPr>
      <w:r w:rsidRPr="00CA4ABC">
        <w:rPr>
          <w:rFonts w:cstheme="minorHAnsi"/>
          <w:i/>
          <w:iCs/>
          <w:color w:val="000000" w:themeColor="text1"/>
        </w:rPr>
        <w:t>“I would say is there a way of starting a few minutes earlier so that you could come into the room and you socialise</w:t>
      </w:r>
      <w:r w:rsidR="0033408F" w:rsidRPr="00CA4ABC">
        <w:rPr>
          <w:rFonts w:cstheme="minorHAnsi"/>
          <w:i/>
          <w:iCs/>
          <w:color w:val="000000" w:themeColor="text1"/>
        </w:rPr>
        <w:t>?</w:t>
      </w:r>
      <w:r w:rsidRPr="00CA4ABC">
        <w:rPr>
          <w:rFonts w:cstheme="minorHAnsi"/>
          <w:i/>
          <w:iCs/>
          <w:color w:val="000000" w:themeColor="text1"/>
        </w:rPr>
        <w:t xml:space="preserve"> Or even just set up because it seems like we were losing time, partly because of me, but actually you can set up Zoom, for example to log on whatever, the instructor doesn’t even have to be there.”</w:t>
      </w:r>
    </w:p>
    <w:p w14:paraId="1FFD1244" w14:textId="77777777" w:rsidR="004C12CF" w:rsidRPr="00CA4ABC" w:rsidRDefault="004C12CF" w:rsidP="004053D7">
      <w:pPr>
        <w:spacing w:line="360" w:lineRule="auto"/>
        <w:rPr>
          <w:rFonts w:cstheme="minorHAnsi"/>
          <w:i/>
          <w:iCs/>
          <w:color w:val="000000" w:themeColor="text1"/>
        </w:rPr>
      </w:pPr>
    </w:p>
    <w:p w14:paraId="4AB28C3A" w14:textId="0B50472B" w:rsidR="004C12CF" w:rsidRPr="00CA4ABC" w:rsidRDefault="004C12CF" w:rsidP="004053D7">
      <w:pPr>
        <w:spacing w:line="360" w:lineRule="auto"/>
        <w:rPr>
          <w:rFonts w:cstheme="minorHAnsi"/>
          <w:color w:val="000000" w:themeColor="text1"/>
        </w:rPr>
      </w:pPr>
      <w:r w:rsidRPr="00CA4ABC">
        <w:rPr>
          <w:rFonts w:cstheme="minorHAnsi"/>
          <w:color w:val="000000" w:themeColor="text1"/>
        </w:rPr>
        <w:t>Another point they raised was in relation to the platform used</w:t>
      </w:r>
      <w:r w:rsidR="00022EF8" w:rsidRPr="00CA4ABC">
        <w:rPr>
          <w:rFonts w:cstheme="minorHAnsi"/>
          <w:color w:val="000000" w:themeColor="text1"/>
        </w:rPr>
        <w:t xml:space="preserve">. They </w:t>
      </w:r>
      <w:r w:rsidR="00376CDE" w:rsidRPr="00CA4ABC">
        <w:rPr>
          <w:rFonts w:cstheme="minorHAnsi"/>
          <w:color w:val="000000" w:themeColor="text1"/>
        </w:rPr>
        <w:t>disliked that</w:t>
      </w:r>
      <w:r w:rsidR="00022EF8" w:rsidRPr="00CA4ABC">
        <w:rPr>
          <w:rFonts w:cstheme="minorHAnsi"/>
          <w:color w:val="000000" w:themeColor="text1"/>
        </w:rPr>
        <w:t xml:space="preserve"> it</w:t>
      </w:r>
      <w:r w:rsidRPr="00CA4ABC">
        <w:rPr>
          <w:rFonts w:cstheme="minorHAnsi"/>
          <w:color w:val="000000" w:themeColor="text1"/>
        </w:rPr>
        <w:t xml:space="preserve"> </w:t>
      </w:r>
      <w:r w:rsidR="00376CDE" w:rsidRPr="00CA4ABC">
        <w:rPr>
          <w:rFonts w:cstheme="minorHAnsi"/>
          <w:color w:val="000000" w:themeColor="text1"/>
        </w:rPr>
        <w:t xml:space="preserve">did not have a single </w:t>
      </w:r>
      <w:r w:rsidRPr="00CA4ABC">
        <w:rPr>
          <w:rFonts w:cstheme="minorHAnsi"/>
          <w:color w:val="000000" w:themeColor="text1"/>
        </w:rPr>
        <w:t>link to access the live sessions</w:t>
      </w:r>
      <w:r w:rsidR="0033408F" w:rsidRPr="00CA4ABC">
        <w:rPr>
          <w:rFonts w:cstheme="minorHAnsi"/>
          <w:color w:val="000000" w:themeColor="text1"/>
        </w:rPr>
        <w:t xml:space="preserve"> </w:t>
      </w:r>
      <w:r w:rsidR="0059269A">
        <w:rPr>
          <w:rFonts w:cstheme="minorHAnsi"/>
          <w:color w:val="000000" w:themeColor="text1"/>
        </w:rPr>
        <w:t>a</w:t>
      </w:r>
      <w:r w:rsidR="00376CDE" w:rsidRPr="00CA4ABC">
        <w:rPr>
          <w:rFonts w:cstheme="minorHAnsi"/>
          <w:color w:val="000000" w:themeColor="text1"/>
        </w:rPr>
        <w:t xml:space="preserve">nd instead </w:t>
      </w:r>
      <w:r w:rsidRPr="00CA4ABC">
        <w:rPr>
          <w:rFonts w:cstheme="minorHAnsi"/>
          <w:color w:val="000000" w:themeColor="text1"/>
        </w:rPr>
        <w:t xml:space="preserve">a separate </w:t>
      </w:r>
      <w:r w:rsidR="00376CDE" w:rsidRPr="00CA4ABC">
        <w:rPr>
          <w:rFonts w:cstheme="minorHAnsi"/>
          <w:color w:val="000000" w:themeColor="text1"/>
        </w:rPr>
        <w:t>was sent out for each session</w:t>
      </w:r>
      <w:r w:rsidRPr="00CA4ABC">
        <w:rPr>
          <w:rFonts w:cstheme="minorHAnsi"/>
          <w:color w:val="000000" w:themeColor="text1"/>
        </w:rPr>
        <w:t>.</w:t>
      </w:r>
    </w:p>
    <w:p w14:paraId="3EBA5886" w14:textId="77777777" w:rsidR="004C12CF" w:rsidRPr="00CA4ABC" w:rsidRDefault="004C12CF" w:rsidP="004053D7">
      <w:pPr>
        <w:spacing w:line="360" w:lineRule="auto"/>
        <w:rPr>
          <w:rFonts w:cstheme="minorHAnsi"/>
          <w:color w:val="000000" w:themeColor="text1"/>
        </w:rPr>
      </w:pPr>
    </w:p>
    <w:p w14:paraId="0DE2E326" w14:textId="442AB6BB"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 xml:space="preserve">I would suggest using a platform that had a single link, rather than separate links for every single session. I would do that. Zoom allows you to do that, but then only zoom is the one that is good for people. The </w:t>
      </w:r>
      <w:r w:rsidR="00532B46">
        <w:rPr>
          <w:rFonts w:cstheme="minorHAnsi"/>
          <w:i/>
          <w:iCs/>
          <w:color w:val="000000" w:themeColor="text1"/>
        </w:rPr>
        <w:t>G</w:t>
      </w:r>
      <w:r w:rsidRPr="00CA4ABC">
        <w:rPr>
          <w:rFonts w:cstheme="minorHAnsi"/>
          <w:i/>
          <w:iCs/>
          <w:color w:val="000000" w:themeColor="text1"/>
        </w:rPr>
        <w:t>oogle thing seems like a good idea but it was weird that if it came in messenger, I don’t know, it just wanted to interact with something else and didn’t let me in.”</w:t>
      </w:r>
      <w:r w:rsidRPr="00CA4ABC">
        <w:rPr>
          <w:rFonts w:cstheme="minorHAnsi"/>
          <w:color w:val="000000" w:themeColor="text1"/>
        </w:rPr>
        <w:t xml:space="preserve"> </w:t>
      </w:r>
    </w:p>
    <w:p w14:paraId="5430F3CF" w14:textId="77777777" w:rsidR="004C12CF" w:rsidRPr="00CA4ABC" w:rsidRDefault="004C12CF" w:rsidP="004053D7">
      <w:pPr>
        <w:spacing w:line="360" w:lineRule="auto"/>
        <w:rPr>
          <w:rFonts w:cstheme="minorHAnsi"/>
          <w:color w:val="000000" w:themeColor="text1"/>
        </w:rPr>
      </w:pPr>
    </w:p>
    <w:p w14:paraId="75061F38" w14:textId="53B97076" w:rsidR="004C12CF" w:rsidRPr="00CA4ABC" w:rsidRDefault="00022EF8" w:rsidP="004053D7">
      <w:pPr>
        <w:spacing w:line="360" w:lineRule="auto"/>
        <w:rPr>
          <w:rFonts w:cstheme="minorHAnsi"/>
          <w:color w:val="000000" w:themeColor="text1"/>
        </w:rPr>
      </w:pPr>
      <w:r w:rsidRPr="00CA4ABC">
        <w:rPr>
          <w:rFonts w:cstheme="minorHAnsi"/>
          <w:color w:val="000000" w:themeColor="text1"/>
        </w:rPr>
        <w:t xml:space="preserve">University guidelines dictated that </w:t>
      </w:r>
      <w:r w:rsidR="00376CDE" w:rsidRPr="00CA4ABC">
        <w:rPr>
          <w:rFonts w:cstheme="minorHAnsi"/>
          <w:color w:val="000000" w:themeColor="text1"/>
        </w:rPr>
        <w:t>G</w:t>
      </w:r>
      <w:r w:rsidRPr="00CA4ABC">
        <w:rPr>
          <w:rFonts w:cstheme="minorHAnsi"/>
          <w:color w:val="000000" w:themeColor="text1"/>
        </w:rPr>
        <w:t xml:space="preserve">oogle </w:t>
      </w:r>
      <w:r w:rsidR="00376CDE" w:rsidRPr="00CA4ABC">
        <w:rPr>
          <w:rFonts w:cstheme="minorHAnsi"/>
          <w:color w:val="000000" w:themeColor="text1"/>
        </w:rPr>
        <w:t>M</w:t>
      </w:r>
      <w:r w:rsidRPr="00CA4ABC">
        <w:rPr>
          <w:rFonts w:cstheme="minorHAnsi"/>
          <w:color w:val="000000" w:themeColor="text1"/>
        </w:rPr>
        <w:t xml:space="preserve">eets </w:t>
      </w:r>
      <w:r w:rsidR="00376CDE" w:rsidRPr="00CA4ABC">
        <w:rPr>
          <w:rFonts w:cstheme="minorHAnsi"/>
          <w:color w:val="000000" w:themeColor="text1"/>
        </w:rPr>
        <w:t>needed to be used</w:t>
      </w:r>
      <w:r w:rsidRPr="00CA4ABC">
        <w:rPr>
          <w:rFonts w:cstheme="minorHAnsi"/>
          <w:color w:val="000000" w:themeColor="text1"/>
        </w:rPr>
        <w:t xml:space="preserve"> for video calls.</w:t>
      </w:r>
      <w:r w:rsidR="004C12CF" w:rsidRPr="00CA4ABC">
        <w:rPr>
          <w:rFonts w:cstheme="minorHAnsi"/>
          <w:color w:val="000000" w:themeColor="text1"/>
        </w:rPr>
        <w:t xml:space="preserve"> </w:t>
      </w:r>
      <w:r w:rsidRPr="00CA4ABC">
        <w:rPr>
          <w:rFonts w:cstheme="minorHAnsi"/>
          <w:color w:val="000000" w:themeColor="text1"/>
        </w:rPr>
        <w:t>Additional</w:t>
      </w:r>
      <w:r w:rsidR="004C12CF" w:rsidRPr="00CA4ABC">
        <w:rPr>
          <w:rFonts w:cstheme="minorHAnsi"/>
          <w:color w:val="000000" w:themeColor="text1"/>
        </w:rPr>
        <w:t xml:space="preserve"> communicat</w:t>
      </w:r>
      <w:r w:rsidRPr="00CA4ABC">
        <w:rPr>
          <w:rFonts w:cstheme="minorHAnsi"/>
          <w:color w:val="000000" w:themeColor="text1"/>
        </w:rPr>
        <w:t xml:space="preserve">ion with the participant was carried out, including via messenger, to aid with information accessibility. </w:t>
      </w:r>
    </w:p>
    <w:p w14:paraId="06E88B14" w14:textId="77777777" w:rsidR="004C12CF" w:rsidRPr="00CA4ABC" w:rsidRDefault="004C12CF" w:rsidP="004053D7">
      <w:pPr>
        <w:spacing w:line="360" w:lineRule="auto"/>
        <w:rPr>
          <w:rFonts w:cstheme="minorHAnsi"/>
          <w:color w:val="000000" w:themeColor="text1"/>
        </w:rPr>
      </w:pPr>
    </w:p>
    <w:p w14:paraId="222C28C1" w14:textId="336CDD03" w:rsidR="004C12CF" w:rsidRPr="00CA4ABC" w:rsidRDefault="004C12CF" w:rsidP="004053D7">
      <w:pPr>
        <w:spacing w:line="360" w:lineRule="auto"/>
        <w:rPr>
          <w:rFonts w:cstheme="minorHAnsi"/>
          <w:color w:val="000000" w:themeColor="text1"/>
        </w:rPr>
      </w:pPr>
      <w:r w:rsidRPr="00CA4ABC">
        <w:rPr>
          <w:rFonts w:cstheme="minorHAnsi"/>
          <w:color w:val="000000" w:themeColor="text1"/>
        </w:rPr>
        <w:t>Emphasis was also made by the participant that they would have found it useful if the video was support</w:t>
      </w:r>
      <w:r w:rsidR="0033408F" w:rsidRPr="00CA4ABC">
        <w:rPr>
          <w:rFonts w:cstheme="minorHAnsi"/>
          <w:color w:val="000000" w:themeColor="text1"/>
        </w:rPr>
        <w:t>ed</w:t>
      </w:r>
      <w:r w:rsidRPr="00CA4ABC">
        <w:rPr>
          <w:rFonts w:cstheme="minorHAnsi"/>
          <w:color w:val="000000" w:themeColor="text1"/>
        </w:rPr>
        <w:t xml:space="preserve"> by visuals, such as subtitles, or the countdown of reps flashing up on the screen.</w:t>
      </w:r>
    </w:p>
    <w:p w14:paraId="13242738" w14:textId="77777777" w:rsidR="004C12CF" w:rsidRPr="00CA4ABC" w:rsidRDefault="004C12CF" w:rsidP="004053D7">
      <w:pPr>
        <w:spacing w:line="360" w:lineRule="auto"/>
        <w:rPr>
          <w:rFonts w:cstheme="minorHAnsi"/>
          <w:color w:val="000000" w:themeColor="text1"/>
        </w:rPr>
      </w:pPr>
    </w:p>
    <w:p w14:paraId="6D013E2C" w14:textId="72678DAF"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 </w:t>
      </w:r>
      <w:r w:rsidRPr="00CA4ABC">
        <w:rPr>
          <w:rFonts w:cstheme="minorHAnsi"/>
          <w:i/>
          <w:iCs/>
          <w:color w:val="000000" w:themeColor="text1"/>
        </w:rPr>
        <w:t>“I did wonder whether the number could be coming up” “I’m interested in the area of subtitles because that also increase</w:t>
      </w:r>
      <w:r w:rsidR="0033408F" w:rsidRPr="00CA4ABC">
        <w:rPr>
          <w:rFonts w:cstheme="minorHAnsi"/>
          <w:i/>
          <w:iCs/>
          <w:color w:val="000000" w:themeColor="text1"/>
        </w:rPr>
        <w:t>s</w:t>
      </w:r>
      <w:r w:rsidRPr="00CA4ABC">
        <w:rPr>
          <w:rFonts w:cstheme="minorHAnsi"/>
          <w:i/>
          <w:iCs/>
          <w:color w:val="000000" w:themeColor="text1"/>
        </w:rPr>
        <w:t xml:space="preserve"> accessibility because a lot of people actually find the subtitles useful, but they could turn it off”</w:t>
      </w:r>
      <w:r w:rsidRPr="00CA4ABC">
        <w:rPr>
          <w:rFonts w:cstheme="minorHAnsi"/>
          <w:color w:val="000000" w:themeColor="text1"/>
        </w:rPr>
        <w:t xml:space="preserve"> </w:t>
      </w:r>
    </w:p>
    <w:p w14:paraId="63BB0BFA" w14:textId="77777777" w:rsidR="004C12CF" w:rsidRPr="00CA4ABC" w:rsidRDefault="004C12CF" w:rsidP="004053D7">
      <w:pPr>
        <w:spacing w:line="360" w:lineRule="auto"/>
        <w:rPr>
          <w:rFonts w:cstheme="minorHAnsi"/>
          <w:color w:val="000000" w:themeColor="text1"/>
        </w:rPr>
      </w:pPr>
    </w:p>
    <w:p w14:paraId="6B44C8DE" w14:textId="77777777" w:rsidR="000B0BFA"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Following on from this, there is potential that more consideration could be paid to the way the videos were presented, especially when a live instructor is also present. </w:t>
      </w:r>
    </w:p>
    <w:p w14:paraId="0DCF2636" w14:textId="77777777" w:rsidR="000B0BFA" w:rsidRPr="00CA4ABC" w:rsidRDefault="000B0BFA" w:rsidP="004053D7">
      <w:pPr>
        <w:spacing w:line="360" w:lineRule="auto"/>
        <w:rPr>
          <w:rFonts w:cstheme="minorHAnsi"/>
          <w:color w:val="000000" w:themeColor="text1"/>
        </w:rPr>
      </w:pPr>
    </w:p>
    <w:p w14:paraId="19C7688A" w14:textId="48DAD2A0" w:rsidR="004C12CF" w:rsidRPr="00CA4ABC" w:rsidRDefault="004C12CF" w:rsidP="004053D7">
      <w:pPr>
        <w:spacing w:line="360" w:lineRule="auto"/>
        <w:rPr>
          <w:rFonts w:cstheme="minorHAnsi"/>
          <w:i/>
          <w:iCs/>
          <w:color w:val="000000" w:themeColor="text1"/>
        </w:rPr>
      </w:pPr>
      <w:r w:rsidRPr="00CA4ABC">
        <w:rPr>
          <w:rFonts w:cstheme="minorHAnsi"/>
          <w:color w:val="000000" w:themeColor="text1"/>
        </w:rPr>
        <w:t>“</w:t>
      </w:r>
      <w:r w:rsidRPr="00CA4ABC">
        <w:rPr>
          <w:rFonts w:cstheme="minorHAnsi"/>
          <w:i/>
          <w:iCs/>
          <w:color w:val="000000" w:themeColor="text1"/>
        </w:rPr>
        <w:t>You could be interacting with the video, maybe you would have the video with maybe text and not speaking so that you haven’t got two lots of speaking. It would be interesting that you can always turn off, you could leave the text on but have subtitle, you could have it as a preference.”</w:t>
      </w:r>
    </w:p>
    <w:p w14:paraId="12022D22" w14:textId="77777777" w:rsidR="004C12CF" w:rsidRPr="00CA4ABC" w:rsidRDefault="004C12CF" w:rsidP="004053D7">
      <w:pPr>
        <w:spacing w:line="360" w:lineRule="auto"/>
        <w:rPr>
          <w:rFonts w:cstheme="minorHAnsi"/>
          <w:i/>
          <w:iCs/>
          <w:color w:val="000000" w:themeColor="text1"/>
        </w:rPr>
      </w:pPr>
    </w:p>
    <w:p w14:paraId="788A3143" w14:textId="4FB4A2F2" w:rsidR="004C12CF" w:rsidRPr="00CA4ABC" w:rsidRDefault="004C12CF" w:rsidP="004053D7">
      <w:pPr>
        <w:spacing w:line="360" w:lineRule="auto"/>
        <w:rPr>
          <w:rFonts w:cstheme="minorHAnsi"/>
          <w:color w:val="000000" w:themeColor="text1"/>
        </w:rPr>
      </w:pPr>
      <w:r w:rsidRPr="00CA4ABC">
        <w:rPr>
          <w:rFonts w:cstheme="minorHAnsi"/>
          <w:color w:val="000000" w:themeColor="text1"/>
        </w:rPr>
        <w:t>Many of these oversights came as</w:t>
      </w:r>
      <w:r w:rsidR="0033408F" w:rsidRPr="00CA4ABC">
        <w:rPr>
          <w:rFonts w:cstheme="minorHAnsi"/>
          <w:color w:val="000000" w:themeColor="text1"/>
        </w:rPr>
        <w:t xml:space="preserve"> a</w:t>
      </w:r>
      <w:r w:rsidRPr="00CA4ABC">
        <w:rPr>
          <w:rFonts w:cstheme="minorHAnsi"/>
          <w:color w:val="000000" w:themeColor="text1"/>
        </w:rPr>
        <w:t xml:space="preserve"> consequence of the researcher’s technical abilities. Once again, increasing resources to aid with this is likely to offer multiple benefits and lead to an improved and more streamlined programme. On a larger scale, developing an app could be an incredibly valuable resource, but the required persons with the appropriate knowledge and abilities to create such a platform would be essential. Moreover, following the closing of recruitment, expression of interest for trial engagement was still expressed. </w:t>
      </w:r>
      <w:r w:rsidR="00022EF8" w:rsidRPr="00CA4ABC">
        <w:rPr>
          <w:rFonts w:cstheme="minorHAnsi"/>
          <w:color w:val="000000" w:themeColor="text1"/>
        </w:rPr>
        <w:t>R</w:t>
      </w:r>
      <w:r w:rsidRPr="00CA4ABC">
        <w:rPr>
          <w:rFonts w:cstheme="minorHAnsi"/>
          <w:color w:val="000000" w:themeColor="text1"/>
        </w:rPr>
        <w:t>un</w:t>
      </w:r>
      <w:r w:rsidR="00022EF8" w:rsidRPr="00CA4ABC">
        <w:rPr>
          <w:rFonts w:cstheme="minorHAnsi"/>
          <w:color w:val="000000" w:themeColor="text1"/>
        </w:rPr>
        <w:t>ning waves,</w:t>
      </w:r>
      <w:r w:rsidR="000B0BFA" w:rsidRPr="00CA4ABC">
        <w:rPr>
          <w:rFonts w:cstheme="minorHAnsi"/>
          <w:color w:val="000000" w:themeColor="text1"/>
        </w:rPr>
        <w:t xml:space="preserve"> </w:t>
      </w:r>
      <w:r w:rsidRPr="00CA4ABC">
        <w:rPr>
          <w:rFonts w:cstheme="minorHAnsi"/>
          <w:color w:val="000000" w:themeColor="text1"/>
        </w:rPr>
        <w:t>in parallel</w:t>
      </w:r>
      <w:r w:rsidR="00022EF8" w:rsidRPr="00CA4ABC">
        <w:rPr>
          <w:rFonts w:cstheme="minorHAnsi"/>
          <w:color w:val="000000" w:themeColor="text1"/>
        </w:rPr>
        <w:t>, could increase trial recruitment.</w:t>
      </w:r>
    </w:p>
    <w:p w14:paraId="6890D538" w14:textId="77777777" w:rsidR="004C12CF" w:rsidRPr="00CA4ABC" w:rsidRDefault="004C12CF" w:rsidP="004053D7">
      <w:pPr>
        <w:spacing w:line="360" w:lineRule="auto"/>
        <w:rPr>
          <w:rFonts w:cstheme="minorHAnsi"/>
          <w:color w:val="000000" w:themeColor="text1"/>
        </w:rPr>
      </w:pPr>
    </w:p>
    <w:p w14:paraId="1750A52E" w14:textId="515BDC92" w:rsidR="004C12CF" w:rsidRPr="00CA4ABC" w:rsidRDefault="006470ED" w:rsidP="004053D7">
      <w:pPr>
        <w:spacing w:line="360" w:lineRule="auto"/>
        <w:rPr>
          <w:rFonts w:cstheme="minorHAnsi"/>
          <w:color w:val="000000" w:themeColor="text1"/>
        </w:rPr>
      </w:pPr>
      <w:r w:rsidRPr="00CA4ABC">
        <w:rPr>
          <w:rFonts w:cstheme="minorHAnsi"/>
          <w:color w:val="000000" w:themeColor="text1"/>
        </w:rPr>
        <w:t>Overall, t</w:t>
      </w:r>
      <w:r w:rsidR="004C12CF" w:rsidRPr="00CA4ABC">
        <w:rPr>
          <w:rFonts w:cstheme="minorHAnsi"/>
          <w:color w:val="000000" w:themeColor="text1"/>
        </w:rPr>
        <w:t>hese points will be carefully considered moving forward. It is essential that this programme is suitable for a wide audience</w:t>
      </w:r>
      <w:r w:rsidR="000B0BFA" w:rsidRPr="00CA4ABC">
        <w:rPr>
          <w:rFonts w:cstheme="minorHAnsi"/>
          <w:color w:val="000000" w:themeColor="text1"/>
        </w:rPr>
        <w:t xml:space="preserve"> and is</w:t>
      </w:r>
      <w:r w:rsidR="004C12CF" w:rsidRPr="00CA4ABC">
        <w:rPr>
          <w:rFonts w:cstheme="minorHAnsi"/>
          <w:color w:val="000000" w:themeColor="text1"/>
        </w:rPr>
        <w:t xml:space="preserve"> inclusive for all individuals and </w:t>
      </w:r>
      <w:r w:rsidR="0033408F" w:rsidRPr="00CA4ABC">
        <w:rPr>
          <w:rFonts w:cstheme="minorHAnsi"/>
          <w:color w:val="000000" w:themeColor="text1"/>
        </w:rPr>
        <w:t xml:space="preserve">that </w:t>
      </w:r>
      <w:r w:rsidR="004C12CF" w:rsidRPr="00CA4ABC">
        <w:rPr>
          <w:rFonts w:cstheme="minorHAnsi"/>
          <w:color w:val="000000" w:themeColor="text1"/>
        </w:rPr>
        <w:t xml:space="preserve">equal opportunities for engagement are obtainable. Guidance on this has been developed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{"citationItems":[{"id":"ITEM-1","itemData":{"DOI":"10.1016/S2352-3026(21)00210-6","ISSN":"23523026","PMID":"34329569","abstract":"For the FDA draft guidance see https://www.fda.gov/regulatory-information/search-fda-guidance-documents/ cancer-clinical-trial-eligibility-criteria-available-therapy-non-curative-settings For the previous FDA guidance see https://www.fda.gov/ regulatory-information/search-fda-guidance-documents/ inclusion-older-adults-cancer-clinical-trials, https://www.fda. gov/regulatory-information/ search-fda-guidance-documents/considerations-inclusion-adolescent-patients-adult-oncology-clinical-trials, and https://www.fda.gov/ regulatory-information/search-fda-guidance-documents/ enhancing-diversity-clinical-trial-populations-eligibility-criteria-enrollment-practices-and-trial For the 2020 FDA Drug Trials Snapshots report see https:// www.fda.gov/media/145718/ download For more on the enrolment of minority ethnic groups in trials of multiple myeloma see Comment Lancet Haematol 2020; 7: e704-06 For more on the inclusion of women in cancer clinical trials see In Focus Lancet Haematol 2021; 8: e477-78 For more on trial inclusion for patients with HIV see Series Lancet Haematol 2020; 7: e679-89","author":[{"dropping-particle":"","family":"The Lancet Haematology","given":"","non-dropping-particle":"","parse-names":false,"suffix":""}],"container-title":"The Lancet Haematology","id":"ITEM-1","issue":"8","issued":{"date-parts":[["2021","8","1"]]},"page":"e535","publisher":"Elsevier Ltd","title":"Equal opportunities for clinical trial participation","type":"article-journal","volume":"8"},"uris":["http://www.mendeley.com/documents/?uuid=fadcbaed-809e-349f-ada7-6d18aeefba3a"]}],"mendeley":{"formattedCitation":"(284)","plainTextFormattedCitation":"(284)","previouslyFormattedCitation":"(284)"},"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(284)</w:t>
      </w:r>
      <w:r w:rsidR="004C12CF" w:rsidRPr="00CA4ABC">
        <w:rPr>
          <w:rFonts w:cstheme="minorHAnsi"/>
          <w:color w:val="000000" w:themeColor="text1"/>
        </w:rPr>
        <w:fldChar w:fldCharType="end"/>
      </w:r>
      <w:r w:rsidR="004C12CF" w:rsidRPr="00CA4ABC">
        <w:rPr>
          <w:rFonts w:cstheme="minorHAnsi"/>
          <w:color w:val="000000" w:themeColor="text1"/>
        </w:rPr>
        <w:t xml:space="preserve">. </w:t>
      </w:r>
    </w:p>
    <w:p w14:paraId="0BDD9567" w14:textId="77777777" w:rsidR="004C12CF" w:rsidRPr="00CA4ABC" w:rsidRDefault="004C12CF" w:rsidP="004053D7">
      <w:pPr>
        <w:spacing w:line="360" w:lineRule="auto"/>
        <w:rPr>
          <w:rFonts w:cstheme="minorHAnsi"/>
          <w:color w:val="000000" w:themeColor="text1"/>
        </w:rPr>
      </w:pPr>
    </w:p>
    <w:p w14:paraId="4EB95307" w14:textId="04FFFD98" w:rsidR="004C12CF" w:rsidRPr="00CA4ABC" w:rsidRDefault="004C12CF" w:rsidP="004053D7">
      <w:pPr>
        <w:spacing w:line="360" w:lineRule="auto"/>
        <w:rPr>
          <w:rFonts w:cstheme="minorHAnsi"/>
          <w:color w:val="000000" w:themeColor="text1"/>
        </w:rPr>
      </w:pPr>
      <w:r w:rsidRPr="00CA4ABC">
        <w:rPr>
          <w:rFonts w:cstheme="minorHAnsi"/>
          <w:color w:val="000000" w:themeColor="text1"/>
        </w:rPr>
        <w:t>This trial was developed from scratch, i</w:t>
      </w:r>
      <w:r w:rsidR="006470ED" w:rsidRPr="00CA4ABC">
        <w:rPr>
          <w:rFonts w:cstheme="minorHAnsi"/>
          <w:color w:val="000000" w:themeColor="text1"/>
        </w:rPr>
        <w:t>n</w:t>
      </w:r>
      <w:r w:rsidRPr="00CA4ABC">
        <w:rPr>
          <w:rFonts w:cstheme="minorHAnsi"/>
          <w:color w:val="000000" w:themeColor="text1"/>
        </w:rPr>
        <w:t xml:space="preserve"> response to the COVID-19 pandemic and social distancing measures, so it is anticipated that </w:t>
      </w:r>
      <w:r w:rsidR="00760E14" w:rsidRPr="00CA4ABC">
        <w:rPr>
          <w:rFonts w:cstheme="minorHAnsi"/>
          <w:color w:val="000000" w:themeColor="text1"/>
        </w:rPr>
        <w:t xml:space="preserve">some </w:t>
      </w:r>
      <w:r w:rsidRPr="00CA4ABC">
        <w:rPr>
          <w:rFonts w:cstheme="minorHAnsi"/>
          <w:color w:val="000000" w:themeColor="text1"/>
        </w:rPr>
        <w:t xml:space="preserve">oversights </w:t>
      </w:r>
      <w:r w:rsidR="00F23F25" w:rsidRPr="00CA4ABC">
        <w:rPr>
          <w:rFonts w:cstheme="minorHAnsi"/>
          <w:color w:val="000000" w:themeColor="text1"/>
        </w:rPr>
        <w:t>occurred</w:t>
      </w:r>
      <w:r w:rsidRPr="00CA4ABC">
        <w:rPr>
          <w:rFonts w:cstheme="minorHAnsi"/>
          <w:color w:val="000000" w:themeColor="text1"/>
        </w:rPr>
        <w:t xml:space="preserve">. This demonstrates the importance and relevance of conducting </w:t>
      </w:r>
      <w:r w:rsidR="00022EF8" w:rsidRPr="00CA4ABC">
        <w:rPr>
          <w:rFonts w:cstheme="minorHAnsi"/>
          <w:color w:val="000000" w:themeColor="text1"/>
        </w:rPr>
        <w:t xml:space="preserve">a </w:t>
      </w:r>
      <w:r w:rsidRPr="00CA4ABC">
        <w:rPr>
          <w:rFonts w:cstheme="minorHAnsi"/>
          <w:color w:val="000000" w:themeColor="text1"/>
        </w:rPr>
        <w:t>feasibility trial and allows an opportunity for learnings to occur and be addressed so improvements can be made before a trial is taken forward to a larger</w:t>
      </w:r>
      <w:r w:rsidR="00022EF8" w:rsidRPr="00CA4ABC">
        <w:rPr>
          <w:rFonts w:cstheme="minorHAnsi"/>
          <w:color w:val="000000" w:themeColor="text1"/>
        </w:rPr>
        <w:t>-</w:t>
      </w:r>
      <w:r w:rsidRPr="00CA4ABC">
        <w:rPr>
          <w:rFonts w:cstheme="minorHAnsi"/>
          <w:color w:val="000000" w:themeColor="text1"/>
        </w:rPr>
        <w:t xml:space="preserve">scale design. As such, all feedback provided was greatly appreciated. This is another reason </w:t>
      </w:r>
      <w:r w:rsidR="00760E14" w:rsidRPr="00CA4ABC">
        <w:rPr>
          <w:rFonts w:cstheme="minorHAnsi"/>
          <w:color w:val="000000" w:themeColor="text1"/>
        </w:rPr>
        <w:t>open and honest feedback was</w:t>
      </w:r>
      <w:r w:rsidRPr="00CA4ABC">
        <w:rPr>
          <w:rFonts w:cstheme="minorHAnsi"/>
          <w:color w:val="000000" w:themeColor="text1"/>
        </w:rPr>
        <w:t xml:space="preserve"> encouraged</w:t>
      </w:r>
      <w:r w:rsidR="00760E14" w:rsidRPr="00CA4ABC">
        <w:rPr>
          <w:rFonts w:cstheme="minorHAnsi"/>
          <w:color w:val="000000" w:themeColor="text1"/>
        </w:rPr>
        <w:t xml:space="preserve"> during</w:t>
      </w:r>
      <w:r w:rsidRPr="00CA4ABC">
        <w:rPr>
          <w:rFonts w:cstheme="minorHAnsi"/>
          <w:color w:val="000000" w:themeColor="text1"/>
        </w:rPr>
        <w:t xml:space="preserve"> </w:t>
      </w:r>
      <w:r w:rsidR="00760E14" w:rsidRPr="00CA4ABC">
        <w:rPr>
          <w:rFonts w:cstheme="minorHAnsi"/>
          <w:color w:val="000000" w:themeColor="text1"/>
        </w:rPr>
        <w:t>the semi-structured</w:t>
      </w:r>
      <w:r w:rsidRPr="00CA4ABC">
        <w:rPr>
          <w:rFonts w:cstheme="minorHAnsi"/>
          <w:color w:val="000000" w:themeColor="text1"/>
        </w:rPr>
        <w:t xml:space="preserve"> interviews</w:t>
      </w:r>
      <w:r w:rsidR="00760E14" w:rsidRPr="00CA4ABC">
        <w:rPr>
          <w:rFonts w:cstheme="minorHAnsi"/>
          <w:color w:val="000000" w:themeColor="text1"/>
        </w:rPr>
        <w:t>.</w:t>
      </w:r>
    </w:p>
    <w:p w14:paraId="4A637221" w14:textId="26E5073D" w:rsidR="000873C4" w:rsidRDefault="000873C4" w:rsidP="004053D7">
      <w:pPr>
        <w:spacing w:line="360" w:lineRule="auto"/>
        <w:rPr>
          <w:rFonts w:cstheme="minorHAnsi"/>
          <w:color w:val="000000" w:themeColor="text1"/>
        </w:rPr>
      </w:pPr>
    </w:p>
    <w:p w14:paraId="3B53845B" w14:textId="605B7C07" w:rsidR="00323872" w:rsidRDefault="00323872" w:rsidP="004053D7">
      <w:pPr>
        <w:spacing w:line="360" w:lineRule="auto"/>
        <w:rPr>
          <w:rFonts w:cstheme="minorHAnsi"/>
          <w:color w:val="000000" w:themeColor="text1"/>
        </w:rPr>
      </w:pPr>
    </w:p>
    <w:p w14:paraId="30B1FED2" w14:textId="378995CE" w:rsidR="00323872" w:rsidRDefault="00323872" w:rsidP="004053D7">
      <w:pPr>
        <w:spacing w:line="360" w:lineRule="auto"/>
        <w:rPr>
          <w:rFonts w:cstheme="minorHAnsi"/>
          <w:color w:val="000000" w:themeColor="text1"/>
        </w:rPr>
      </w:pPr>
    </w:p>
    <w:p w14:paraId="3444DFAC" w14:textId="5145892C" w:rsidR="00323872" w:rsidRDefault="00323872" w:rsidP="004053D7">
      <w:pPr>
        <w:spacing w:line="360" w:lineRule="auto"/>
        <w:rPr>
          <w:rFonts w:cstheme="minorHAnsi"/>
          <w:color w:val="000000" w:themeColor="text1"/>
        </w:rPr>
      </w:pPr>
    </w:p>
    <w:p w14:paraId="73AC45F5" w14:textId="3304B434" w:rsidR="00323872" w:rsidRDefault="00323872" w:rsidP="004053D7">
      <w:pPr>
        <w:spacing w:line="360" w:lineRule="auto"/>
        <w:rPr>
          <w:rFonts w:cstheme="minorHAnsi"/>
          <w:color w:val="000000" w:themeColor="text1"/>
        </w:rPr>
      </w:pPr>
    </w:p>
    <w:p w14:paraId="5681ED74" w14:textId="517F6EAE" w:rsidR="00323872" w:rsidRDefault="00323872" w:rsidP="004053D7">
      <w:pPr>
        <w:spacing w:line="360" w:lineRule="auto"/>
        <w:rPr>
          <w:rFonts w:cstheme="minorHAnsi"/>
          <w:color w:val="000000" w:themeColor="text1"/>
        </w:rPr>
      </w:pPr>
    </w:p>
    <w:p w14:paraId="20C5E680" w14:textId="77777777" w:rsidR="00323872" w:rsidRPr="00CA4ABC" w:rsidRDefault="00323872" w:rsidP="004053D7">
      <w:pPr>
        <w:spacing w:line="360" w:lineRule="auto"/>
        <w:rPr>
          <w:rFonts w:cstheme="minorHAnsi"/>
          <w:color w:val="000000" w:themeColor="text1"/>
        </w:rPr>
      </w:pPr>
    </w:p>
    <w:p w14:paraId="68CCC008" w14:textId="675EEB36" w:rsidR="004C12CF" w:rsidRPr="00CA4ABC" w:rsidRDefault="004C12CF" w:rsidP="004053D7">
      <w:pPr>
        <w:spacing w:line="360" w:lineRule="auto"/>
        <w:rPr>
          <w:rFonts w:cstheme="minorHAnsi"/>
          <w:color w:val="000000" w:themeColor="text1"/>
        </w:rPr>
      </w:pPr>
      <w:r w:rsidRPr="00CA4ABC">
        <w:rPr>
          <w:rFonts w:cstheme="minorHAnsi"/>
          <w:color w:val="000000" w:themeColor="text1"/>
        </w:rPr>
        <w:lastRenderedPageBreak/>
        <w:t>Overall, take</w:t>
      </w:r>
      <w:r w:rsidR="00022EF8" w:rsidRPr="00CA4ABC">
        <w:rPr>
          <w:rFonts w:cstheme="minorHAnsi"/>
          <w:color w:val="000000" w:themeColor="text1"/>
        </w:rPr>
        <w:t>-</w:t>
      </w:r>
      <w:r w:rsidRPr="00CA4ABC">
        <w:rPr>
          <w:rFonts w:cstheme="minorHAnsi"/>
          <w:color w:val="000000" w:themeColor="text1"/>
        </w:rPr>
        <w:t>home messages from</w:t>
      </w:r>
      <w:r w:rsidR="00022EF8" w:rsidRPr="00CA4ABC">
        <w:rPr>
          <w:rFonts w:cstheme="minorHAnsi"/>
          <w:color w:val="000000" w:themeColor="text1"/>
        </w:rPr>
        <w:t xml:space="preserve"> the</w:t>
      </w:r>
      <w:r w:rsidRPr="00CA4ABC">
        <w:rPr>
          <w:rFonts w:cstheme="minorHAnsi"/>
          <w:color w:val="000000" w:themeColor="text1"/>
        </w:rPr>
        <w:t xml:space="preserve"> thematic analysis</w:t>
      </w:r>
      <w:r w:rsidR="00357DD3" w:rsidRPr="00CA4ABC">
        <w:rPr>
          <w:rFonts w:cstheme="minorHAnsi"/>
          <w:color w:val="000000" w:themeColor="text1"/>
        </w:rPr>
        <w:t>.</w:t>
      </w:r>
    </w:p>
    <w:p w14:paraId="11EFD032" w14:textId="0960D4AF" w:rsidR="004C12CF" w:rsidRPr="00CA4ABC" w:rsidRDefault="00760E14" w:rsidP="004053D7">
      <w:pPr>
        <w:spacing w:line="360" w:lineRule="auto"/>
        <w:rPr>
          <w:rFonts w:cstheme="minorHAnsi"/>
          <w:color w:val="000000" w:themeColor="text1"/>
        </w:rPr>
      </w:pPr>
      <w:r w:rsidRPr="00CA4ABC">
        <w:rPr>
          <w:rFonts w:cstheme="minorHAnsi"/>
          <w:color w:val="000000" w:themeColor="text1"/>
        </w:rPr>
        <w:t>Things that</w:t>
      </w:r>
      <w:r w:rsidR="004C12CF" w:rsidRPr="00CA4ABC">
        <w:rPr>
          <w:rFonts w:cstheme="minorHAnsi"/>
          <w:color w:val="000000" w:themeColor="text1"/>
        </w:rPr>
        <w:t xml:space="preserve"> went well:</w:t>
      </w:r>
    </w:p>
    <w:p w14:paraId="3812C71C" w14:textId="3159A6A7" w:rsidR="004C12CF" w:rsidRPr="00CA4ABC" w:rsidRDefault="00B159BF">
      <w:pPr>
        <w:pStyle w:val="ListParagraph"/>
        <w:numPr>
          <w:ilvl w:val="0"/>
          <w:numId w:val="24"/>
        </w:numPr>
        <w:spacing w:line="360" w:lineRule="auto"/>
        <w:rPr>
          <w:rFonts w:cstheme="minorHAnsi"/>
          <w:color w:val="000000" w:themeColor="text1"/>
        </w:rPr>
      </w:pPr>
      <w:r w:rsidRPr="00CA4ABC">
        <w:rPr>
          <w:rFonts w:cstheme="minorHAnsi"/>
          <w:color w:val="000000" w:themeColor="text1"/>
        </w:rPr>
        <w:t>The e</w:t>
      </w:r>
      <w:r w:rsidR="004C12CF" w:rsidRPr="00CA4ABC">
        <w:rPr>
          <w:rFonts w:cstheme="minorHAnsi"/>
          <w:color w:val="000000" w:themeColor="text1"/>
        </w:rPr>
        <w:t>xercise programme/session</w:t>
      </w:r>
      <w:r w:rsidRPr="00CA4ABC">
        <w:rPr>
          <w:rFonts w:cstheme="minorHAnsi"/>
          <w:color w:val="000000" w:themeColor="text1"/>
        </w:rPr>
        <w:t>s</w:t>
      </w:r>
      <w:r w:rsidR="004C12CF" w:rsidRPr="00CA4ABC">
        <w:rPr>
          <w:rFonts w:cstheme="minorHAnsi"/>
          <w:color w:val="000000" w:themeColor="text1"/>
        </w:rPr>
        <w:t>/resistance bands appeared effective and enjoyable</w:t>
      </w:r>
    </w:p>
    <w:p w14:paraId="436D58CF" w14:textId="77777777" w:rsidR="004C12CF" w:rsidRPr="00CA4ABC" w:rsidRDefault="004C12CF">
      <w:pPr>
        <w:pStyle w:val="ListParagraph"/>
        <w:numPr>
          <w:ilvl w:val="0"/>
          <w:numId w:val="24"/>
        </w:numPr>
        <w:spacing w:line="360" w:lineRule="auto"/>
        <w:rPr>
          <w:rFonts w:cstheme="minorHAnsi"/>
          <w:color w:val="000000" w:themeColor="text1"/>
        </w:rPr>
      </w:pPr>
      <w:r w:rsidRPr="00CA4ABC">
        <w:rPr>
          <w:rFonts w:cstheme="minorHAnsi"/>
          <w:color w:val="000000" w:themeColor="text1"/>
        </w:rPr>
        <w:t>Positive psychological effects</w:t>
      </w:r>
    </w:p>
    <w:p w14:paraId="54F4DCA8" w14:textId="77777777" w:rsidR="004C12CF" w:rsidRPr="00CA4ABC" w:rsidRDefault="004C12CF">
      <w:pPr>
        <w:pStyle w:val="ListParagraph"/>
        <w:numPr>
          <w:ilvl w:val="0"/>
          <w:numId w:val="24"/>
        </w:numPr>
        <w:spacing w:line="360" w:lineRule="auto"/>
        <w:rPr>
          <w:rFonts w:cstheme="minorHAnsi"/>
          <w:color w:val="000000" w:themeColor="text1"/>
        </w:rPr>
      </w:pPr>
      <w:r w:rsidRPr="00CA4ABC">
        <w:rPr>
          <w:rFonts w:cstheme="minorHAnsi"/>
          <w:color w:val="000000" w:themeColor="text1"/>
        </w:rPr>
        <w:t>Very few adverse events raised</w:t>
      </w:r>
    </w:p>
    <w:p w14:paraId="50C2029B" w14:textId="77777777" w:rsidR="004C12CF" w:rsidRPr="00CA4ABC" w:rsidRDefault="004C12CF" w:rsidP="004053D7">
      <w:pPr>
        <w:spacing w:line="360" w:lineRule="auto"/>
        <w:rPr>
          <w:rFonts w:cstheme="minorHAnsi"/>
          <w:color w:val="000000" w:themeColor="text1"/>
        </w:rPr>
      </w:pPr>
      <w:r w:rsidRPr="00CA4ABC">
        <w:rPr>
          <w:rFonts w:cstheme="minorHAnsi"/>
          <w:color w:val="000000" w:themeColor="text1"/>
        </w:rPr>
        <w:t>Considerations:</w:t>
      </w:r>
    </w:p>
    <w:p w14:paraId="3DEACB87" w14:textId="0A84450F" w:rsidR="004C12CF" w:rsidRPr="00CA4ABC" w:rsidRDefault="00F23F25">
      <w:pPr>
        <w:pStyle w:val="ListParagraph"/>
        <w:numPr>
          <w:ilvl w:val="0"/>
          <w:numId w:val="24"/>
        </w:numPr>
        <w:spacing w:line="360" w:lineRule="auto"/>
        <w:rPr>
          <w:rFonts w:cstheme="minorHAnsi"/>
          <w:color w:val="000000" w:themeColor="text1"/>
        </w:rPr>
      </w:pPr>
      <w:r w:rsidRPr="00CA4ABC">
        <w:rPr>
          <w:rFonts w:cstheme="minorHAnsi"/>
          <w:color w:val="000000" w:themeColor="text1"/>
        </w:rPr>
        <w:t>The p</w:t>
      </w:r>
      <w:r w:rsidR="004C12CF" w:rsidRPr="00CA4ABC">
        <w:rPr>
          <w:rFonts w:cstheme="minorHAnsi"/>
          <w:color w:val="000000" w:themeColor="text1"/>
        </w:rPr>
        <w:t xml:space="preserve">articipants in the trial may not </w:t>
      </w:r>
      <w:r w:rsidRPr="00CA4ABC">
        <w:rPr>
          <w:rFonts w:cstheme="minorHAnsi"/>
          <w:color w:val="000000" w:themeColor="text1"/>
        </w:rPr>
        <w:t xml:space="preserve">be </w:t>
      </w:r>
      <w:r w:rsidR="004C12CF" w:rsidRPr="00CA4ABC">
        <w:rPr>
          <w:rFonts w:cstheme="minorHAnsi"/>
          <w:color w:val="000000" w:themeColor="text1"/>
        </w:rPr>
        <w:t xml:space="preserve">the population who </w:t>
      </w:r>
      <w:r w:rsidRPr="00CA4ABC">
        <w:rPr>
          <w:rFonts w:cstheme="minorHAnsi"/>
          <w:color w:val="000000" w:themeColor="text1"/>
        </w:rPr>
        <w:t xml:space="preserve">would </w:t>
      </w:r>
      <w:r w:rsidR="004C12CF" w:rsidRPr="00CA4ABC">
        <w:rPr>
          <w:rFonts w:cstheme="minorHAnsi"/>
          <w:color w:val="000000" w:themeColor="text1"/>
        </w:rPr>
        <w:t>benefit the most from the intervention (good prior health and diet</w:t>
      </w:r>
      <w:r w:rsidRPr="00CA4ABC">
        <w:rPr>
          <w:rFonts w:cstheme="minorHAnsi"/>
          <w:color w:val="000000" w:themeColor="text1"/>
        </w:rPr>
        <w:t xml:space="preserve"> knowledge</w:t>
      </w:r>
      <w:r w:rsidR="004C12CF" w:rsidRPr="00CA4ABC">
        <w:rPr>
          <w:rFonts w:cstheme="minorHAnsi"/>
          <w:color w:val="000000" w:themeColor="text1"/>
        </w:rPr>
        <w:t>, baseline active lifestyles, highly engaged) and strategies to recruit those who are vulnerable to muscle loss/</w:t>
      </w:r>
      <w:r w:rsidR="00CC6E83" w:rsidRPr="00CA4ABC">
        <w:rPr>
          <w:rFonts w:cstheme="minorHAnsi"/>
          <w:color w:val="000000" w:themeColor="text1"/>
        </w:rPr>
        <w:t>harder-to-reach</w:t>
      </w:r>
      <w:r w:rsidR="004C12CF" w:rsidRPr="00CA4ABC">
        <w:rPr>
          <w:rFonts w:cstheme="minorHAnsi"/>
          <w:color w:val="000000" w:themeColor="text1"/>
        </w:rPr>
        <w:t xml:space="preserve"> groups should be considered.</w:t>
      </w:r>
    </w:p>
    <w:p w14:paraId="738EBE00" w14:textId="29762407" w:rsidR="004C12CF" w:rsidRPr="00CA4ABC" w:rsidRDefault="004C12CF">
      <w:pPr>
        <w:pStyle w:val="ListParagraph"/>
        <w:numPr>
          <w:ilvl w:val="0"/>
          <w:numId w:val="24"/>
        </w:numPr>
        <w:spacing w:line="360" w:lineRule="auto"/>
        <w:rPr>
          <w:rFonts w:cstheme="minorHAnsi"/>
          <w:color w:val="000000" w:themeColor="text1"/>
        </w:rPr>
      </w:pPr>
      <w:r w:rsidRPr="00CA4ABC">
        <w:rPr>
          <w:rFonts w:cstheme="minorHAnsi"/>
          <w:color w:val="000000" w:themeColor="text1"/>
        </w:rPr>
        <w:t xml:space="preserve">Measures should be </w:t>
      </w:r>
      <w:r w:rsidR="000B0BFA" w:rsidRPr="00CA4ABC">
        <w:rPr>
          <w:rFonts w:cstheme="minorHAnsi"/>
          <w:color w:val="000000" w:themeColor="text1"/>
        </w:rPr>
        <w:t xml:space="preserve">implemented </w:t>
      </w:r>
      <w:r w:rsidRPr="00CA4ABC">
        <w:rPr>
          <w:rFonts w:cstheme="minorHAnsi"/>
          <w:color w:val="000000" w:themeColor="text1"/>
        </w:rPr>
        <w:t xml:space="preserve">to account for a wider audience (i.e. neurodiverse)  </w:t>
      </w:r>
    </w:p>
    <w:p w14:paraId="461BFC89" w14:textId="1822025B" w:rsidR="004C12CF" w:rsidRPr="00CA4ABC" w:rsidRDefault="00F23F25" w:rsidP="004053D7">
      <w:pPr>
        <w:spacing w:line="360" w:lineRule="auto"/>
        <w:rPr>
          <w:rFonts w:cstheme="minorHAnsi"/>
          <w:color w:val="000000" w:themeColor="text1"/>
        </w:rPr>
      </w:pPr>
      <w:r w:rsidRPr="00CA4ABC">
        <w:rPr>
          <w:rFonts w:cstheme="minorHAnsi"/>
          <w:color w:val="000000" w:themeColor="text1"/>
        </w:rPr>
        <w:t>Area t</w:t>
      </w:r>
      <w:r w:rsidR="004C12CF" w:rsidRPr="00CA4ABC">
        <w:rPr>
          <w:rFonts w:cstheme="minorHAnsi"/>
          <w:color w:val="000000" w:themeColor="text1"/>
        </w:rPr>
        <w:t>o improve:</w:t>
      </w:r>
    </w:p>
    <w:p w14:paraId="3AB3FB65" w14:textId="7F1E6560" w:rsidR="004C12CF" w:rsidRPr="00CA4ABC" w:rsidRDefault="004C12CF">
      <w:pPr>
        <w:pStyle w:val="ListParagraph"/>
        <w:numPr>
          <w:ilvl w:val="0"/>
          <w:numId w:val="24"/>
        </w:numPr>
        <w:spacing w:line="360" w:lineRule="auto"/>
        <w:rPr>
          <w:rFonts w:cstheme="minorHAnsi"/>
          <w:color w:val="000000" w:themeColor="text1"/>
        </w:rPr>
      </w:pPr>
      <w:r w:rsidRPr="00CA4ABC">
        <w:rPr>
          <w:rFonts w:cstheme="minorHAnsi"/>
          <w:color w:val="000000" w:themeColor="text1"/>
        </w:rPr>
        <w:t>More resources – instructors</w:t>
      </w:r>
      <w:r w:rsidR="000B0BFA" w:rsidRPr="00CA4ABC">
        <w:rPr>
          <w:rFonts w:cstheme="minorHAnsi"/>
          <w:color w:val="000000" w:themeColor="text1"/>
        </w:rPr>
        <w:t>, app-design</w:t>
      </w:r>
    </w:p>
    <w:p w14:paraId="25C0338D" w14:textId="77777777" w:rsidR="004C12CF" w:rsidRPr="00CA4ABC" w:rsidRDefault="004C12CF">
      <w:pPr>
        <w:pStyle w:val="ListParagraph"/>
        <w:numPr>
          <w:ilvl w:val="0"/>
          <w:numId w:val="24"/>
        </w:numPr>
        <w:spacing w:line="360" w:lineRule="auto"/>
        <w:rPr>
          <w:rFonts w:cstheme="minorHAnsi"/>
          <w:color w:val="000000" w:themeColor="text1"/>
        </w:rPr>
      </w:pPr>
      <w:r w:rsidRPr="00CA4ABC">
        <w:rPr>
          <w:rFonts w:cstheme="minorHAnsi"/>
          <w:color w:val="000000" w:themeColor="text1"/>
        </w:rPr>
        <w:t>Alternative supplement/flavour</w:t>
      </w:r>
    </w:p>
    <w:p w14:paraId="13C064F6" w14:textId="2DA4953D" w:rsidR="004C12CF" w:rsidRPr="00CA4ABC" w:rsidRDefault="004C12CF">
      <w:pPr>
        <w:pStyle w:val="ListParagraph"/>
        <w:numPr>
          <w:ilvl w:val="0"/>
          <w:numId w:val="24"/>
        </w:numPr>
        <w:spacing w:line="360" w:lineRule="auto"/>
        <w:rPr>
          <w:rFonts w:cstheme="minorHAnsi"/>
          <w:color w:val="000000" w:themeColor="text1"/>
        </w:rPr>
      </w:pPr>
      <w:r w:rsidRPr="00CA4ABC">
        <w:rPr>
          <w:rFonts w:cstheme="minorHAnsi"/>
          <w:color w:val="000000" w:themeColor="text1"/>
        </w:rPr>
        <w:t>Equipment changes</w:t>
      </w:r>
    </w:p>
    <w:p w14:paraId="1DFE1DBA" w14:textId="77777777" w:rsidR="002C4DE0" w:rsidRPr="00CA4ABC" w:rsidRDefault="002C4DE0" w:rsidP="002C4DE0">
      <w:pPr>
        <w:spacing w:line="360" w:lineRule="auto"/>
        <w:rPr>
          <w:rFonts w:cstheme="minorHAnsi"/>
          <w:color w:val="000000" w:themeColor="text1"/>
        </w:rPr>
      </w:pPr>
    </w:p>
    <w:p w14:paraId="56EDDAF4" w14:textId="1576F87C" w:rsidR="004C12CF" w:rsidRPr="00CA4ABC" w:rsidRDefault="004C12CF" w:rsidP="004053D7">
      <w:pPr>
        <w:pStyle w:val="Heading2"/>
        <w:spacing w:line="360" w:lineRule="auto"/>
        <w:rPr>
          <w:rFonts w:asciiTheme="minorHAnsi" w:hAnsiTheme="minorHAnsi" w:cstheme="minorHAnsi"/>
          <w:b/>
          <w:bCs/>
          <w:color w:val="000000" w:themeColor="text1"/>
        </w:rPr>
      </w:pPr>
      <w:bookmarkStart w:id="355" w:name="_Toc135384389"/>
      <w:r w:rsidRPr="00CA4ABC">
        <w:rPr>
          <w:rFonts w:asciiTheme="minorHAnsi" w:hAnsiTheme="minorHAnsi" w:cstheme="minorHAnsi"/>
          <w:b/>
          <w:bCs/>
          <w:color w:val="000000" w:themeColor="text1"/>
        </w:rPr>
        <w:t>5.</w:t>
      </w:r>
      <w:r w:rsidR="007F5B0B" w:rsidRPr="00CA4ABC">
        <w:rPr>
          <w:rFonts w:asciiTheme="minorHAnsi" w:hAnsiTheme="minorHAnsi" w:cstheme="minorHAnsi"/>
          <w:b/>
          <w:bCs/>
          <w:color w:val="000000" w:themeColor="text1"/>
        </w:rPr>
        <w:t>5</w:t>
      </w:r>
      <w:r w:rsidRPr="00CA4ABC">
        <w:rPr>
          <w:rFonts w:asciiTheme="minorHAnsi" w:hAnsiTheme="minorHAnsi" w:cstheme="minorHAnsi"/>
          <w:b/>
          <w:bCs/>
          <w:color w:val="000000" w:themeColor="text1"/>
        </w:rPr>
        <w:t xml:space="preserve"> Discussion</w:t>
      </w:r>
      <w:bookmarkEnd w:id="355"/>
    </w:p>
    <w:p w14:paraId="7DF59535" w14:textId="079154E4" w:rsidR="004C12CF" w:rsidRPr="00CA4ABC" w:rsidRDefault="004C12CF" w:rsidP="00357DD3">
      <w:pPr>
        <w:spacing w:line="360" w:lineRule="auto"/>
        <w:ind w:firstLine="720"/>
        <w:rPr>
          <w:rFonts w:cstheme="minorHAnsi"/>
          <w:color w:val="000000" w:themeColor="text1"/>
        </w:rPr>
      </w:pPr>
      <w:r w:rsidRPr="00CA4ABC">
        <w:rPr>
          <w:rFonts w:cstheme="minorHAnsi"/>
          <w:color w:val="000000" w:themeColor="text1"/>
        </w:rPr>
        <w:t>In this chapter, analysis was undertaken to try and address if the novel design of a remotely delivered resistance training and protein intervention is feasible.</w:t>
      </w:r>
      <w:r w:rsidR="007E7C66" w:rsidRPr="00CA4ABC">
        <w:rPr>
          <w:rFonts w:cstheme="minorHAnsi"/>
          <w:color w:val="000000" w:themeColor="text1"/>
        </w:rPr>
        <w:t xml:space="preserve"> </w:t>
      </w:r>
      <w:r w:rsidR="008626EB" w:rsidRPr="00CA4ABC">
        <w:rPr>
          <w:rFonts w:cstheme="minorHAnsi"/>
          <w:color w:val="000000" w:themeColor="text1"/>
        </w:rPr>
        <w:t>Findings support progression to a full</w:t>
      </w:r>
      <w:r w:rsidR="0033408F" w:rsidRPr="00CA4ABC">
        <w:rPr>
          <w:rFonts w:cstheme="minorHAnsi"/>
          <w:color w:val="000000" w:themeColor="text1"/>
        </w:rPr>
        <w:t>-</w:t>
      </w:r>
      <w:r w:rsidR="008626EB" w:rsidRPr="00CA4ABC">
        <w:rPr>
          <w:rFonts w:cstheme="minorHAnsi"/>
          <w:color w:val="000000" w:themeColor="text1"/>
        </w:rPr>
        <w:t>scale trial</w:t>
      </w:r>
      <w:r w:rsidR="00983245" w:rsidRPr="00CA4ABC">
        <w:rPr>
          <w:rFonts w:cstheme="minorHAnsi"/>
          <w:color w:val="000000" w:themeColor="text1"/>
        </w:rPr>
        <w:t xml:space="preserve"> based on RAG criteria (table 25)</w:t>
      </w:r>
      <w:r w:rsidR="008626EB" w:rsidRPr="00CA4ABC">
        <w:rPr>
          <w:rFonts w:cstheme="minorHAnsi"/>
          <w:color w:val="000000" w:themeColor="text1"/>
        </w:rPr>
        <w:t>, however</w:t>
      </w:r>
      <w:r w:rsidR="0033408F" w:rsidRPr="00CA4ABC">
        <w:rPr>
          <w:rFonts w:cstheme="minorHAnsi"/>
          <w:color w:val="000000" w:themeColor="text1"/>
        </w:rPr>
        <w:t>,</w:t>
      </w:r>
      <w:r w:rsidR="008626EB" w:rsidRPr="00CA4ABC">
        <w:rPr>
          <w:rFonts w:cstheme="minorHAnsi"/>
          <w:color w:val="000000" w:themeColor="text1"/>
        </w:rPr>
        <w:t xml:space="preserve"> a number of amendments to the study protocol would be warranted</w:t>
      </w:r>
      <w:r w:rsidR="005A5E43" w:rsidRPr="00CA4ABC">
        <w:rPr>
          <w:rFonts w:cstheme="minorHAnsi"/>
          <w:color w:val="000000" w:themeColor="text1"/>
        </w:rPr>
        <w:t>,</w:t>
      </w:r>
      <w:r w:rsidR="008626EB" w:rsidRPr="00CA4ABC">
        <w:rPr>
          <w:rFonts w:cstheme="minorHAnsi"/>
          <w:color w:val="000000" w:themeColor="text1"/>
        </w:rPr>
        <w:t xml:space="preserve"> and these would need consideration in the next stage of the research design. The qualitative data analysis</w:t>
      </w:r>
      <w:r w:rsidR="00983245" w:rsidRPr="00CA4ABC">
        <w:rPr>
          <w:rFonts w:cstheme="minorHAnsi"/>
          <w:color w:val="000000" w:themeColor="text1"/>
        </w:rPr>
        <w:t>, particularly theme 4,</w:t>
      </w:r>
      <w:r w:rsidR="008626EB" w:rsidRPr="00CA4ABC">
        <w:rPr>
          <w:rFonts w:cstheme="minorHAnsi"/>
          <w:color w:val="000000" w:themeColor="text1"/>
        </w:rPr>
        <w:t xml:space="preserve"> is useful for understanding what did and did not work well in the feasibility trial and</w:t>
      </w:r>
      <w:r w:rsidR="00F37AAD">
        <w:rPr>
          <w:rFonts w:cstheme="minorHAnsi"/>
          <w:color w:val="000000" w:themeColor="text1"/>
        </w:rPr>
        <w:t xml:space="preserve"> participant</w:t>
      </w:r>
      <w:r w:rsidR="008626EB" w:rsidRPr="00CA4ABC">
        <w:rPr>
          <w:rFonts w:cstheme="minorHAnsi"/>
          <w:color w:val="000000" w:themeColor="text1"/>
        </w:rPr>
        <w:t xml:space="preserve"> feedback should be used for improvements</w:t>
      </w:r>
      <w:r w:rsidR="005A5E43" w:rsidRPr="00CA4ABC">
        <w:rPr>
          <w:rFonts w:cstheme="minorHAnsi"/>
          <w:color w:val="000000" w:themeColor="text1"/>
        </w:rPr>
        <w:t>.</w:t>
      </w:r>
    </w:p>
    <w:p w14:paraId="1AB3189E" w14:textId="63C42922" w:rsidR="0015606B" w:rsidRPr="00CA4ABC" w:rsidRDefault="0015606B" w:rsidP="0015606B">
      <w:pPr>
        <w:spacing w:line="360" w:lineRule="auto"/>
        <w:rPr>
          <w:rFonts w:cstheme="minorHAnsi"/>
          <w:color w:val="000000" w:themeColor="text1"/>
        </w:rPr>
      </w:pPr>
    </w:p>
    <w:p w14:paraId="049BAC31" w14:textId="1BCC8ECA" w:rsidR="002C4DE0" w:rsidRPr="00CA4ABC" w:rsidRDefault="00983245" w:rsidP="002C4DE0">
      <w:pPr>
        <w:spacing w:line="360" w:lineRule="auto"/>
        <w:rPr>
          <w:rFonts w:cstheme="minorHAnsi"/>
        </w:rPr>
      </w:pPr>
      <w:r w:rsidRPr="00CA4ABC">
        <w:rPr>
          <w:rFonts w:cstheme="minorHAnsi"/>
          <w:color w:val="000000" w:themeColor="text1"/>
        </w:rPr>
        <w:t>The</w:t>
      </w:r>
      <w:r w:rsidR="008626EB" w:rsidRPr="00CA4ABC">
        <w:rPr>
          <w:rFonts w:cstheme="minorHAnsi"/>
          <w:color w:val="000000" w:themeColor="text1"/>
        </w:rPr>
        <w:t xml:space="preserve"> RAG criteria (table 25)</w:t>
      </w:r>
      <w:r w:rsidRPr="00CA4ABC">
        <w:rPr>
          <w:rFonts w:cstheme="minorHAnsi"/>
          <w:color w:val="000000" w:themeColor="text1"/>
        </w:rPr>
        <w:t xml:space="preserve"> </w:t>
      </w:r>
      <w:r w:rsidR="008626EB" w:rsidRPr="00CA4ABC">
        <w:rPr>
          <w:rFonts w:cstheme="minorHAnsi"/>
          <w:color w:val="000000" w:themeColor="text1"/>
        </w:rPr>
        <w:t>reveal</w:t>
      </w:r>
      <w:r w:rsidR="00AD34BE" w:rsidRPr="00CA4ABC">
        <w:rPr>
          <w:rFonts w:cstheme="minorHAnsi"/>
          <w:color w:val="000000" w:themeColor="text1"/>
        </w:rPr>
        <w:t>ed</w:t>
      </w:r>
      <w:r w:rsidR="008626EB" w:rsidRPr="00CA4ABC">
        <w:rPr>
          <w:rFonts w:cstheme="minorHAnsi"/>
          <w:color w:val="000000" w:themeColor="text1"/>
        </w:rPr>
        <w:t xml:space="preserve"> </w:t>
      </w:r>
      <w:r w:rsidR="002C4DE0" w:rsidRPr="00CA4ABC">
        <w:rPr>
          <w:rFonts w:cstheme="minorHAnsi"/>
          <w:color w:val="000000" w:themeColor="text1"/>
        </w:rPr>
        <w:t>t</w:t>
      </w:r>
      <w:r w:rsidR="008626EB" w:rsidRPr="00CA4ABC">
        <w:rPr>
          <w:rFonts w:cstheme="minorHAnsi"/>
          <w:color w:val="000000" w:themeColor="text1"/>
        </w:rPr>
        <w:t xml:space="preserve">he acceptability of the </w:t>
      </w:r>
      <w:r w:rsidR="002C4DE0" w:rsidRPr="00CA4ABC">
        <w:rPr>
          <w:rFonts w:cstheme="minorHAnsi"/>
          <w:color w:val="000000" w:themeColor="text1"/>
        </w:rPr>
        <w:t xml:space="preserve">home-based </w:t>
      </w:r>
      <w:r w:rsidR="008626EB" w:rsidRPr="00CA4ABC">
        <w:rPr>
          <w:rFonts w:cstheme="minorHAnsi"/>
          <w:color w:val="000000" w:themeColor="text1"/>
        </w:rPr>
        <w:t>resistance exercise intervention was high.</w:t>
      </w:r>
      <w:r w:rsidR="002C4DE0" w:rsidRPr="00CA4ABC">
        <w:rPr>
          <w:rFonts w:cstheme="minorHAnsi"/>
          <w:color w:val="000000" w:themeColor="text1"/>
        </w:rPr>
        <w:t xml:space="preserve"> Th</w:t>
      </w:r>
      <w:r w:rsidR="005A5E43" w:rsidRPr="00CA4ABC">
        <w:rPr>
          <w:rFonts w:cstheme="minorHAnsi"/>
          <w:color w:val="000000" w:themeColor="text1"/>
        </w:rPr>
        <w:t>is</w:t>
      </w:r>
      <w:r w:rsidR="002C4DE0" w:rsidRPr="00CA4ABC">
        <w:rPr>
          <w:rFonts w:cstheme="minorHAnsi"/>
          <w:color w:val="000000" w:themeColor="text1"/>
        </w:rPr>
        <w:t xml:space="preserve"> positive result </w:t>
      </w:r>
      <w:r w:rsidR="005A5E43" w:rsidRPr="00CA4ABC">
        <w:rPr>
          <w:rFonts w:cstheme="minorHAnsi"/>
          <w:color w:val="000000" w:themeColor="text1"/>
        </w:rPr>
        <w:t>supports</w:t>
      </w:r>
      <w:r w:rsidR="002C4DE0" w:rsidRPr="00CA4ABC">
        <w:rPr>
          <w:rFonts w:cstheme="minorHAnsi"/>
          <w:color w:val="000000" w:themeColor="text1"/>
        </w:rPr>
        <w:t xml:space="preserve"> its incorporation in future trial designs. Additional support for </w:t>
      </w:r>
      <w:r w:rsidR="00852A24" w:rsidRPr="00CA4ABC">
        <w:rPr>
          <w:rFonts w:cstheme="minorHAnsi"/>
          <w:color w:val="000000" w:themeColor="text1"/>
        </w:rPr>
        <w:t xml:space="preserve">digital exercise interventions </w:t>
      </w:r>
      <w:r w:rsidR="005A5E43" w:rsidRPr="00CA4ABC">
        <w:rPr>
          <w:rFonts w:cstheme="minorHAnsi"/>
          <w:color w:val="000000" w:themeColor="text1"/>
        </w:rPr>
        <w:t>has</w:t>
      </w:r>
      <w:r w:rsidR="00852A24" w:rsidRPr="00CA4ABC">
        <w:rPr>
          <w:rFonts w:cstheme="minorHAnsi"/>
          <w:color w:val="000000" w:themeColor="text1"/>
        </w:rPr>
        <w:t xml:space="preserve"> been documented by systematic review</w:t>
      </w:r>
      <w:r w:rsidRPr="00CA4ABC">
        <w:rPr>
          <w:rFonts w:cstheme="minorHAnsi"/>
          <w:color w:val="000000" w:themeColor="text1"/>
        </w:rPr>
        <w:t>s</w:t>
      </w:r>
      <w:r w:rsidR="00852A24" w:rsidRPr="00CA4ABC">
        <w:rPr>
          <w:rFonts w:cstheme="minorHAnsi"/>
          <w:color w:val="000000" w:themeColor="text1"/>
        </w:rPr>
        <w:t xml:space="preserve"> </w:t>
      </w:r>
      <w:r w:rsidR="005D3DFD" w:rsidRPr="00CA4ABC">
        <w:rPr>
          <w:rFonts w:cstheme="minorHAnsi"/>
          <w:color w:val="000000" w:themeColor="text1"/>
        </w:rPr>
        <w:t xml:space="preserve">investigating both effectiveness </w:t>
      </w:r>
      <w:r w:rsidR="005A5E43" w:rsidRPr="00CA4ABC">
        <w:rPr>
          <w:rFonts w:cstheme="minorHAnsi"/>
          <w:color w:val="000000" w:themeColor="text1"/>
        </w:rPr>
        <w:t>of</w:t>
      </w:r>
      <w:r w:rsidR="005D3DFD" w:rsidRPr="00CA4ABC">
        <w:rPr>
          <w:rFonts w:cstheme="minorHAnsi"/>
          <w:color w:val="000000" w:themeColor="text1"/>
        </w:rPr>
        <w:t xml:space="preserve"> improv</w:t>
      </w:r>
      <w:r w:rsidR="005A5E43" w:rsidRPr="00CA4ABC">
        <w:rPr>
          <w:rFonts w:cstheme="minorHAnsi"/>
          <w:color w:val="000000" w:themeColor="text1"/>
        </w:rPr>
        <w:t>ing</w:t>
      </w:r>
      <w:r w:rsidR="005D3DFD" w:rsidRPr="00CA4ABC">
        <w:rPr>
          <w:rFonts w:cstheme="minorHAnsi"/>
          <w:color w:val="000000" w:themeColor="text1"/>
        </w:rPr>
        <w:t xml:space="preserve"> physical activity and exercise </w:t>
      </w:r>
      <w:r w:rsidR="005D3DFD" w:rsidRPr="00CA4ABC">
        <w:rPr>
          <w:rFonts w:cstheme="minorHAnsi"/>
          <w:color w:val="000000" w:themeColor="text1"/>
        </w:rPr>
        <w:lastRenderedPageBreak/>
        <w:t xml:space="preserve">outcomes </w:t>
      </w:r>
      <w:r w:rsidR="005D3DF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{"citationItems":[{"id":"ITEM-1","itemData":{"DOI":"10.3389/FRESC.2022.925620","ISSN":"2673-6861","abstract":"Objective: The aim of this systematic review was to determine the effectiveness of self-guided digital physical activity (PA) and exercise interventions to improve physical activity and exercise (PA&amp;E) outcomes for people living with chronic health conditions. Digital health interventions, especially those with minimal human contact, may offer a sustainable solution to accessing ongoing services and support for this population. Methods: A comprehensive and systematic search was conducted up to December 2021, through seven databases for randomized trials that evaluated the effect of self-guided web- or internet-based PA interventions on physical activity or exercise outcomes. Included studies had to have interventions with minimal human contact and interaction with participants needed to be automatically generated. All studies were screened for eligibility and relevant data were extracted. Two independent reviewers assessed the risk of bias using the Cochrane risk of bias tool. Standardized mean differences and 95% confidence intervals (CI) were calculated. PA data were pooled, and forest plots were generated. Results: Sixteen studies met the eligibility criteria and included a total of 2439 participants. There was wide variation in health conditions and intervention characteristics in mode and parameters of delivery and in the application of theory and behavioral strategies. Self-reported PA in the intervention group was greater than controls at the end of the intervention (standardized mean difference (SMD) 0.2, 95% CI=0.1, 0.3) and at follow up (SMD 0.3, 95% CI 0.2 to 0.5). The difference in objectively measured PA was small and non-significant (SMD 0.3, 95% CI ‐0.2 to 0.9). All interventions included behavioral strategies and ten of the sixteen were underpinned by theory. Conclusions: Self-guided digital PA&amp;E interventions provided a positive effect on PA immediately after the intervention. An unexpected and positive finding was a sustained increase in PA at follow-up, particularly for interventions where the behavioral strategies were underpinned by a theoretical framework. Interventions with minimal contact have the potential to support sustained PA engagement at least as well as interventions with supervision.","author":[{"dropping-particle":"","family":"Stavric","given":"Verna","non-dropping-particle":"","parse-names":false,"suffix":""},{"dropping-particle":"","family":"Kayes","given":"Nicola M.","non-dropping-particle":"","parse-names":false,"suffix":""},{"dropping-particle":"","family":"Rashid","given":"Usman","non-dropping-particle":"","parse-names":false,"suffix":""},{"dropping-particle":"","family":"Saywell","given":"Nicola L.","non-dropping-particle":"","parse-names":false,"suffix":""}],"container-title":"Frontiers in Rehabilitation Sciences","id":"ITEM-1","issued":{"date-parts":[["2022","6","24"]]},"page":"120","publisher":"Frontiers","title":"The Effectiveness of Self-Guided Digital Interventions to Improve Physical Activity and Exercise Outcomes for People With Chronic Conditions: A Systematic Review and Meta-Analysis","type":"article-journal","volume":"3"},"uris":["http://www.mendeley.com/documents/?uuid=71bb8e9d-be05-35c7-8424-14d780cebc24"]}],"mendeley":{"formattedCitation":"(285)","plainTextFormattedCitation":"(285)","previouslyFormattedCitation":"(285)"},"properties":{"noteIndex":0},"schema":"https://github.com/citation-style-language/schema/raw/master/csl-citation.json"}</w:instrText>
      </w:r>
      <w:r w:rsidR="005D3DFD" w:rsidRPr="00CA4ABC">
        <w:rPr>
          <w:rFonts w:cstheme="minorHAnsi"/>
          <w:color w:val="000000" w:themeColor="text1"/>
        </w:rPr>
        <w:fldChar w:fldCharType="separate"/>
      </w:r>
      <w:r w:rsidR="00FF0BCE" w:rsidRPr="00FF0BCE">
        <w:rPr>
          <w:rFonts w:cstheme="minorHAnsi"/>
          <w:noProof/>
          <w:color w:val="000000" w:themeColor="text1"/>
        </w:rPr>
        <w:t>(285)</w:t>
      </w:r>
      <w:r w:rsidR="005D3DFD" w:rsidRPr="00CA4ABC">
        <w:rPr>
          <w:rFonts w:cstheme="minorHAnsi"/>
          <w:color w:val="000000" w:themeColor="text1"/>
        </w:rPr>
        <w:fldChar w:fldCharType="end"/>
      </w:r>
      <w:r w:rsidR="005D3DFD" w:rsidRPr="00CA4ABC">
        <w:rPr>
          <w:rFonts w:cstheme="minorHAnsi"/>
          <w:color w:val="000000" w:themeColor="text1"/>
        </w:rPr>
        <w:t xml:space="preserve"> and adherence to exercise programmes </w:t>
      </w:r>
      <w:r w:rsidR="005D3DF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{"citationItems":[{"id":"ITEM-1","itemData":{"DOI":"10.1186/S40945-022-00148-Z/FIGURES/2","ISSN":"20570082","abstract":"Background: Home exercise regimes are a well-utilised rehabilitation intervention for many conditions; however, adherence to prescribed programmes remains low. Digital interventions are recommended as an adjunct to face-to-face interventions by the National Health Service in the UK and may offer increased exercise adherence, however the evidence for this is conflicting. Method: A systematic review was undertaken using MEDLINE and CINAHL databases using the PRISMA guidelines. Randomised controlled trials in any clinical population evaluating the adherence to prescribed home exercise interventions with and without additional digital interventions were included. Publication quality was assessed using the Cochrane Risk of Bias tool. Results: The search strategy returned a total of 1336 articles, of which 10 randomised controlled trials containing data for 1117 participants were eligible for inclusion. 565 participants were randomised to receive the interventions, and 552 to the control. Seven of the ten trials reported a significant difference in adherence between the control and intervention groups favouring an additional digital intervention. Three trials reported equivalent findings. These three reported longer-term outcomes, suggesting an interaction between adherence and duration of intervention. There was substantial heterogeneity in outcome assessment metrics used across the trials prohibiting formal meta-analysis. This included studies were of low to moderate quality in terms of risk of bias. Conclusion: The addition of a digital interventions to prescribed home exercise programmes can likely increase exercise adherence in the short term, with longer term effects less certain.","author":[{"dropping-particle":"","family":"Lang","given":"Sabine","non-dropping-particle":"","parse-names":false,"suffix":""},{"dropping-particle":"","family":"McLelland","given":"Colin","non-dropping-particle":"","parse-names":false,"suffix":""},{"dropping-particle":"","family":"MacDonald","given":"Donnie","non-dropping-particle":"","parse-names":false,"suffix":""},{"dropping-particle":"","family":"Hamilton","given":"David F.","non-dropping-particle":"","parse-names":false,"suffix":""}],"container-title":"Archives of Physiotherapy","id":"ITEM-1","issue":"1","issued":{"date-parts":[["2022","12","1"]]},"page":"1-12","publisher":"BioMed Central Ltd","title":"Do digital interventions increase adherence to home exercise rehabilitation? A systematic review of randomised controlled trials","type":"article-journal","volume":"12"},"uris":["http://www.mendeley.com/documents/?uuid=bf20a778-b0b0-3161-88bb-a5646fff5dbc"]}],"mendeley":{"formattedCitation":"(286)","plainTextFormattedCitation":"(286)","previouslyFormattedCitation":"(286)"},"properties":{"noteIndex":0},"schema":"https://github.com/citation-style-language/schema/raw/master/csl-citation.json"}</w:instrText>
      </w:r>
      <w:r w:rsidR="005D3DFD" w:rsidRPr="00CA4ABC">
        <w:rPr>
          <w:rFonts w:cstheme="minorHAnsi"/>
          <w:color w:val="000000" w:themeColor="text1"/>
        </w:rPr>
        <w:fldChar w:fldCharType="separate"/>
      </w:r>
      <w:r w:rsidR="00FF0BCE" w:rsidRPr="00FF0BCE">
        <w:rPr>
          <w:rFonts w:cstheme="minorHAnsi"/>
          <w:noProof/>
          <w:color w:val="000000" w:themeColor="text1"/>
        </w:rPr>
        <w:t>(286)</w:t>
      </w:r>
      <w:r w:rsidR="005D3DFD" w:rsidRPr="00CA4ABC">
        <w:rPr>
          <w:rFonts w:cstheme="minorHAnsi"/>
          <w:color w:val="000000" w:themeColor="text1"/>
        </w:rPr>
        <w:fldChar w:fldCharType="end"/>
      </w:r>
      <w:r w:rsidR="005D3DFD" w:rsidRPr="00CA4ABC">
        <w:rPr>
          <w:rFonts w:cstheme="minorHAnsi"/>
          <w:color w:val="000000" w:themeColor="text1"/>
        </w:rPr>
        <w:t xml:space="preserve">. Moreover, similar research </w:t>
      </w:r>
      <w:r w:rsidR="006772BE" w:rsidRPr="00CA4ABC">
        <w:rPr>
          <w:rFonts w:cstheme="minorHAnsi"/>
          <w:color w:val="000000" w:themeColor="text1"/>
        </w:rPr>
        <w:t>conducted by Vikberg et al</w:t>
      </w:r>
      <w:r w:rsidR="005A5E43" w:rsidRPr="00CA4ABC">
        <w:rPr>
          <w:rFonts w:cstheme="minorHAnsi"/>
          <w:color w:val="000000" w:themeColor="text1"/>
        </w:rPr>
        <w:t>.</w:t>
      </w:r>
      <w:r w:rsidR="006772BE" w:rsidRPr="00CA4ABC">
        <w:rPr>
          <w:rFonts w:cstheme="minorHAnsi"/>
          <w:color w:val="000000" w:themeColor="text1"/>
        </w:rPr>
        <w:t xml:space="preserve"> </w:t>
      </w:r>
      <w:r w:rsidR="006772BE"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{"citationItems":[{"id":"ITEM-1","itemData":{"DOI":"10.3389/FPSYG.2022.869573/BIBTEX","ISSN":"16641078","abstract":"Background: Physical inactivity and low muscle mass are risk factors for falls, fractures and overall poor health. However, physical activity is reduced with increased age and only a fraction of older adults engages in resistance training (RT). Thus, strategies that facilitate RT among older adults are needed. The aim of the present study was to evaluate the effectiveness and user experience, and explore barriers and motivators toward an online delivered, home-based RT program in older adults with low muscle mass. Methods: Thirty men and women, 70–71 years of age with low muscle mass were assigned home-based RT with online exercise videos (3 times/week, 45 min/session for 10 weeks) accompanied with an initial supervised try-out session. Quantitative outcome measures included changes in lean body mass and physical function. Semi structured one-to-one interviews with a subset of the participants (n = 8) were also conducted to generate a greater understanding of the participants experience of the digitally supported RT. The material was transcribed and analyzed with qualitative content analysis. Results: Twenty-seven participants (90%) completed the trial. Lean body mass increased by 0.39 kg (95% CI: 0.06–0.72, p &lt; 0.05) and chair stand time improved by 1.6 s (95% CI: 0.8–2.3, p &lt; 0.001). No significant improvements were seen for balance or gait speed. The theme “Engaging in Digital Resistance Training with Personal Adaptation Leads to a Sense of Strength and Vitality” captured the participants experience of the intervention, where a sense of how the body was changing toward a more active lifestyle was described. Instructions, feedback, and intrinsic motivation were identified as key elements for compliance. Conclusion: The online delivered RT program for older adults with low muscle mass was feasible based on high compliance, user satisfaction, increased lean mass and improved chair-stand time. The participant experiences may explain the high compliance to the intervention and effects on outcomes. Based on these results, online delivered RT could be an accessible exercise routine for older adults with low muscle mass. More research is needed to verify the present findings and assess changes in a long-term perspective.","author":[{"dropping-particle":"","family":"Vikberg","given":"Sanna","non-dropping-particle":"","parse-names":false,"suffix":""},{"dropping-particle":"","family":"Björk","given":"Sabine","non-dropping-particle":"","parse-names":false,"suffix":""},{"dropping-particle":"","family":"Nordström","given":"Anna","non-dropping-particle":"","parse-names":false,"suffix":""},{"dropping-particle":"","family":"Nordström","given":"Peter","non-dropping-particle":"","parse-names":false,"suffix":""},{"dropping-particle":"","family":"Hult","given":"Andreas","non-dropping-particle":"","parse-names":false,"suffix":""}],"container-title":"Frontiers in Psychology","id":"ITEM-1","issued":{"date-parts":[["2022","6","3"]]},"page":"3075","publisher":"Frontiers Media S.A.","title":"Feasibility of an Online Delivered, Home-Based Resistance Training Program for Older Adults – A Mixed Methods Approach","type":"article-journal","volume":"13"},"uris":["http://www.mendeley.com/documents/?uuid=5eccd852-4a22-3441-8d69-cef4743b3cee"]}],"mendeley":{"formattedCitation":"(287)","plainTextFormattedCitation":"(287)","previouslyFormattedCitation":"(287)"},"properties":{"noteIndex":0},"schema":"https://github.com/citation-style-language/schema/raw/master/csl-citation.json"}</w:instrText>
      </w:r>
      <w:r w:rsidR="006772BE" w:rsidRPr="00CA4ABC">
        <w:rPr>
          <w:rFonts w:cstheme="minorHAnsi"/>
          <w:color w:val="000000" w:themeColor="text1"/>
        </w:rPr>
        <w:fldChar w:fldCharType="separate"/>
      </w:r>
      <w:r w:rsidR="00FF0BCE" w:rsidRPr="00FF0BCE">
        <w:rPr>
          <w:rFonts w:cstheme="minorHAnsi"/>
          <w:noProof/>
          <w:color w:val="000000" w:themeColor="text1"/>
        </w:rPr>
        <w:t>(287)</w:t>
      </w:r>
      <w:r w:rsidR="006772BE" w:rsidRPr="00CA4ABC">
        <w:rPr>
          <w:rFonts w:cstheme="minorHAnsi"/>
          <w:color w:val="000000" w:themeColor="text1"/>
        </w:rPr>
        <w:fldChar w:fldCharType="end"/>
      </w:r>
      <w:r w:rsidR="005A5E43" w:rsidRPr="00CA4ABC">
        <w:rPr>
          <w:rFonts w:cstheme="minorHAnsi"/>
          <w:color w:val="000000" w:themeColor="text1"/>
        </w:rPr>
        <w:t>,</w:t>
      </w:r>
      <w:r w:rsidR="006772BE" w:rsidRPr="00CA4ABC">
        <w:rPr>
          <w:rFonts w:cstheme="minorHAnsi"/>
          <w:color w:val="000000" w:themeColor="text1"/>
        </w:rPr>
        <w:t xml:space="preserve"> </w:t>
      </w:r>
      <w:r w:rsidR="005D3DFD" w:rsidRPr="00CA4ABC">
        <w:rPr>
          <w:rFonts w:cstheme="minorHAnsi"/>
          <w:color w:val="000000" w:themeColor="text1"/>
        </w:rPr>
        <w:t xml:space="preserve">whereby </w:t>
      </w:r>
      <w:r w:rsidR="00E4385D" w:rsidRPr="00CA4ABC">
        <w:rPr>
          <w:rFonts w:cstheme="minorHAnsi"/>
          <w:color w:val="000000" w:themeColor="text1"/>
        </w:rPr>
        <w:t xml:space="preserve">10 online training videos were pre-recorded and uploaded to a homepage for participants (n=27) to access, was also determined to be </w:t>
      </w:r>
      <w:r w:rsidR="00E043B6" w:rsidRPr="00CA4ABC">
        <w:rPr>
          <w:rFonts w:cstheme="minorHAnsi"/>
          <w:color w:val="000000" w:themeColor="text1"/>
        </w:rPr>
        <w:t>feasible</w:t>
      </w:r>
      <w:r w:rsidR="006772BE" w:rsidRPr="00CA4ABC">
        <w:rPr>
          <w:rFonts w:cstheme="minorHAnsi"/>
          <w:color w:val="000000" w:themeColor="text1"/>
        </w:rPr>
        <w:t>. This was</w:t>
      </w:r>
      <w:r w:rsidR="00E4385D" w:rsidRPr="00CA4ABC">
        <w:rPr>
          <w:rFonts w:cstheme="minorHAnsi"/>
          <w:color w:val="000000" w:themeColor="text1"/>
        </w:rPr>
        <w:t xml:space="preserve"> based on effectiveness and user experience accounts</w:t>
      </w:r>
      <w:r w:rsidR="006772BE" w:rsidRPr="00CA4ABC">
        <w:rPr>
          <w:rFonts w:cstheme="minorHAnsi"/>
          <w:color w:val="000000" w:themeColor="text1"/>
        </w:rPr>
        <w:t>, including</w:t>
      </w:r>
      <w:r w:rsidR="00E4385D" w:rsidRPr="00CA4ABC">
        <w:rPr>
          <w:rFonts w:cstheme="minorHAnsi"/>
          <w:color w:val="000000" w:themeColor="text1"/>
        </w:rPr>
        <w:t xml:space="preserve"> </w:t>
      </w:r>
      <w:r w:rsidR="00E4385D" w:rsidRPr="00CA4ABC">
        <w:rPr>
          <w:rFonts w:cstheme="minorHAnsi"/>
        </w:rPr>
        <w:t>high compliance and participant satisfaction</w:t>
      </w:r>
      <w:r w:rsidR="006772BE" w:rsidRPr="00CA4ABC">
        <w:rPr>
          <w:rFonts w:cstheme="minorHAnsi"/>
        </w:rPr>
        <w:t xml:space="preserve"> rates. </w:t>
      </w:r>
      <w:r w:rsidR="00E4385D" w:rsidRPr="00CA4ABC">
        <w:rPr>
          <w:rFonts w:cstheme="minorHAnsi"/>
          <w:color w:val="000000" w:themeColor="text1"/>
        </w:rPr>
        <w:t xml:space="preserve">Moreover, </w:t>
      </w:r>
      <w:r w:rsidR="006772BE" w:rsidRPr="00CA4ABC">
        <w:rPr>
          <w:rFonts w:cstheme="minorHAnsi"/>
          <w:color w:val="000000" w:themeColor="text1"/>
        </w:rPr>
        <w:t>semi</w:t>
      </w:r>
      <w:r w:rsidR="005A5E43" w:rsidRPr="00CA4ABC">
        <w:rPr>
          <w:rFonts w:cstheme="minorHAnsi"/>
          <w:color w:val="000000" w:themeColor="text1"/>
        </w:rPr>
        <w:t>-</w:t>
      </w:r>
      <w:r w:rsidR="006772BE" w:rsidRPr="00CA4ABC">
        <w:rPr>
          <w:rFonts w:cstheme="minorHAnsi"/>
          <w:color w:val="000000" w:themeColor="text1"/>
        </w:rPr>
        <w:t>structured</w:t>
      </w:r>
      <w:r w:rsidR="00E4385D" w:rsidRPr="00CA4ABC">
        <w:rPr>
          <w:rFonts w:cstheme="minorHAnsi"/>
          <w:color w:val="000000" w:themeColor="text1"/>
        </w:rPr>
        <w:t xml:space="preserve"> interviews</w:t>
      </w:r>
      <w:r w:rsidR="006772BE" w:rsidRPr="00CA4ABC">
        <w:rPr>
          <w:rFonts w:cstheme="minorHAnsi"/>
          <w:color w:val="000000" w:themeColor="text1"/>
        </w:rPr>
        <w:t xml:space="preserve"> revealed that </w:t>
      </w:r>
      <w:r w:rsidR="006772BE" w:rsidRPr="00CA4ABC">
        <w:rPr>
          <w:rFonts w:cstheme="minorHAnsi"/>
        </w:rPr>
        <w:t>both physical and mental changes were described by participants</w:t>
      </w:r>
      <w:r w:rsidRPr="00CA4ABC">
        <w:rPr>
          <w:rFonts w:cstheme="minorHAnsi"/>
        </w:rPr>
        <w:t>,</w:t>
      </w:r>
      <w:r w:rsidR="006772BE" w:rsidRPr="00CA4ABC">
        <w:rPr>
          <w:rFonts w:cstheme="minorHAnsi"/>
        </w:rPr>
        <w:t xml:space="preserve"> who also expressed aspirations to increase routine activity levels; findings also reflected by the themes of the qualitative analysis in the REMEND trial. </w:t>
      </w:r>
      <w:r w:rsidR="005D3DFD" w:rsidRPr="00CA4ABC">
        <w:rPr>
          <w:rFonts w:cstheme="minorHAnsi"/>
          <w:color w:val="000000" w:themeColor="text1"/>
        </w:rPr>
        <w:t xml:space="preserve">The participants in </w:t>
      </w:r>
      <w:r w:rsidR="006772BE" w:rsidRPr="00CA4ABC">
        <w:rPr>
          <w:rFonts w:cstheme="minorHAnsi"/>
          <w:color w:val="000000" w:themeColor="text1"/>
        </w:rPr>
        <w:t>Vikberg et al</w:t>
      </w:r>
      <w:r w:rsidR="005A5E43" w:rsidRPr="00CA4ABC">
        <w:rPr>
          <w:rFonts w:cstheme="minorHAnsi"/>
          <w:color w:val="000000" w:themeColor="text1"/>
        </w:rPr>
        <w:t>.</w:t>
      </w:r>
      <w:r w:rsidR="006772BE" w:rsidRPr="00CA4ABC">
        <w:rPr>
          <w:rFonts w:cstheme="minorHAnsi"/>
          <w:color w:val="000000" w:themeColor="text1"/>
        </w:rPr>
        <w:t>’s trial</w:t>
      </w:r>
      <w:r w:rsidR="005D3DFD" w:rsidRPr="00CA4ABC">
        <w:rPr>
          <w:rFonts w:cstheme="minorHAnsi"/>
          <w:color w:val="000000" w:themeColor="text1"/>
        </w:rPr>
        <w:t xml:space="preserve"> were older in age (</w:t>
      </w:r>
      <w:r w:rsidR="00E4385D" w:rsidRPr="00CA4ABC">
        <w:rPr>
          <w:rFonts w:cstheme="minorHAnsi"/>
          <w:color w:val="000000" w:themeColor="text1"/>
        </w:rPr>
        <w:t xml:space="preserve">70-71 years), however, and it was recorded that chair stand time was improved </w:t>
      </w:r>
      <w:r w:rsidR="00E4385D" w:rsidRPr="00CA4ABC">
        <w:rPr>
          <w:rFonts w:cstheme="minorHAnsi"/>
        </w:rPr>
        <w:t>by 1.6 s (95% CI: 0.8–2.3, p &lt; 0.001). More research is needed to explore the effectiveness of the feasibility</w:t>
      </w:r>
      <w:r w:rsidR="002E66A8">
        <w:rPr>
          <w:rFonts w:cstheme="minorHAnsi"/>
        </w:rPr>
        <w:t xml:space="preserve"> of </w:t>
      </w:r>
      <w:r w:rsidR="00E4385D" w:rsidRPr="00CA4ABC">
        <w:rPr>
          <w:rFonts w:cstheme="minorHAnsi"/>
        </w:rPr>
        <w:t>band workout</w:t>
      </w:r>
      <w:r w:rsidR="004E61B7" w:rsidRPr="00CA4ABC">
        <w:rPr>
          <w:rFonts w:cstheme="minorHAnsi"/>
        </w:rPr>
        <w:t>s</w:t>
      </w:r>
      <w:r w:rsidR="00E4385D" w:rsidRPr="00CA4ABC">
        <w:rPr>
          <w:rFonts w:cstheme="minorHAnsi"/>
        </w:rPr>
        <w:t xml:space="preserve"> in </w:t>
      </w:r>
      <w:r w:rsidR="005A5E43" w:rsidRPr="00CA4ABC">
        <w:rPr>
          <w:rFonts w:cstheme="minorHAnsi"/>
        </w:rPr>
        <w:t>middle-aged</w:t>
      </w:r>
      <w:r w:rsidR="00E4385D" w:rsidRPr="00CA4ABC">
        <w:rPr>
          <w:rFonts w:cstheme="minorHAnsi"/>
        </w:rPr>
        <w:t xml:space="preserve"> adults.</w:t>
      </w:r>
    </w:p>
    <w:p w14:paraId="3650702D" w14:textId="77777777" w:rsidR="00FE1558" w:rsidRPr="00CA4ABC" w:rsidRDefault="00FE1558" w:rsidP="0015606B">
      <w:pPr>
        <w:spacing w:line="360" w:lineRule="auto"/>
        <w:rPr>
          <w:rFonts w:cstheme="minorHAnsi"/>
          <w:color w:val="000000" w:themeColor="text1"/>
        </w:rPr>
      </w:pPr>
    </w:p>
    <w:p w14:paraId="1EE08C73" w14:textId="4A4D874E" w:rsidR="003F1723" w:rsidRPr="00CA4ABC" w:rsidRDefault="004E61B7" w:rsidP="00120E7F">
      <w:pPr>
        <w:spacing w:line="360" w:lineRule="auto"/>
        <w:rPr>
          <w:rFonts w:cstheme="minorHAnsi"/>
          <w:color w:val="000000" w:themeColor="text1"/>
        </w:rPr>
      </w:pPr>
      <w:r w:rsidRPr="00CA4ABC">
        <w:rPr>
          <w:rFonts w:cstheme="minorHAnsi"/>
          <w:color w:val="000000" w:themeColor="text1"/>
        </w:rPr>
        <w:t>Conversely, t</w:t>
      </w:r>
      <w:r w:rsidR="00B06ED4" w:rsidRPr="00CA4ABC">
        <w:rPr>
          <w:rFonts w:cstheme="minorHAnsi"/>
          <w:color w:val="000000" w:themeColor="text1"/>
        </w:rPr>
        <w:t xml:space="preserve">he RAG criteria </w:t>
      </w:r>
      <w:r w:rsidR="005A5E43" w:rsidRPr="00CA4ABC">
        <w:rPr>
          <w:rFonts w:cstheme="minorHAnsi"/>
          <w:color w:val="000000" w:themeColor="text1"/>
        </w:rPr>
        <w:t>were</w:t>
      </w:r>
      <w:r w:rsidR="00B06ED4" w:rsidRPr="00CA4ABC">
        <w:rPr>
          <w:rFonts w:cstheme="minorHAnsi"/>
          <w:color w:val="000000" w:themeColor="text1"/>
        </w:rPr>
        <w:t xml:space="preserve"> not met</w:t>
      </w:r>
      <w:r w:rsidRPr="00CA4ABC">
        <w:rPr>
          <w:rFonts w:cstheme="minorHAnsi"/>
          <w:color w:val="000000" w:themeColor="text1"/>
        </w:rPr>
        <w:t xml:space="preserve"> </w:t>
      </w:r>
      <w:r w:rsidR="00B06ED4" w:rsidRPr="00CA4ABC">
        <w:rPr>
          <w:rFonts w:cstheme="minorHAnsi"/>
          <w:color w:val="000000" w:themeColor="text1"/>
        </w:rPr>
        <w:t>for the acceptability of the protein intervention</w:t>
      </w:r>
      <w:r w:rsidR="00120E7F" w:rsidRPr="00CA4ABC">
        <w:rPr>
          <w:rFonts w:cstheme="minorHAnsi"/>
          <w:color w:val="000000" w:themeColor="text1"/>
        </w:rPr>
        <w:t xml:space="preserve"> </w:t>
      </w:r>
      <w:r w:rsidR="005A5E43" w:rsidRPr="00CA4ABC">
        <w:rPr>
          <w:rFonts w:cstheme="minorHAnsi"/>
          <w:color w:val="000000" w:themeColor="text1"/>
        </w:rPr>
        <w:t xml:space="preserve">(red) </w:t>
      </w:r>
      <w:r w:rsidR="00120E7F" w:rsidRPr="00CA4ABC">
        <w:rPr>
          <w:rFonts w:cstheme="minorHAnsi"/>
          <w:color w:val="000000" w:themeColor="text1"/>
        </w:rPr>
        <w:t>and adherence rates to the supplement</w:t>
      </w:r>
      <w:r w:rsidR="005A5E43" w:rsidRPr="00CA4ABC">
        <w:rPr>
          <w:rFonts w:cstheme="minorHAnsi"/>
          <w:color w:val="000000" w:themeColor="text1"/>
        </w:rPr>
        <w:t xml:space="preserve"> may reflect this (amber) </w:t>
      </w:r>
      <w:r w:rsidR="00120E7F" w:rsidRPr="00CA4ABC">
        <w:rPr>
          <w:rFonts w:cstheme="minorHAnsi"/>
          <w:color w:val="000000" w:themeColor="text1"/>
        </w:rPr>
        <w:t>(table 25</w:t>
      </w:r>
      <w:r w:rsidR="00B06ED4" w:rsidRPr="00CA4ABC">
        <w:rPr>
          <w:rFonts w:cstheme="minorHAnsi"/>
          <w:color w:val="000000" w:themeColor="text1"/>
        </w:rPr>
        <w:t>.</w:t>
      </w:r>
      <w:r w:rsidR="00120E7F" w:rsidRPr="00CA4ABC">
        <w:rPr>
          <w:rFonts w:cstheme="minorHAnsi"/>
          <w:color w:val="000000" w:themeColor="text1"/>
        </w:rPr>
        <w:t>)</w:t>
      </w:r>
      <w:r w:rsidR="00B06ED4" w:rsidRPr="00CA4ABC">
        <w:rPr>
          <w:rFonts w:cstheme="minorHAnsi"/>
          <w:color w:val="000000" w:themeColor="text1"/>
        </w:rPr>
        <w:t xml:space="preserve"> This information demonstrates that an alternative supplement should be sought out and tested. Focus-group research would be beneficial for understanding taste preferences</w:t>
      </w:r>
      <w:r w:rsidRPr="00CA4ABC">
        <w:rPr>
          <w:rFonts w:cstheme="minorHAnsi"/>
          <w:color w:val="000000" w:themeColor="text1"/>
        </w:rPr>
        <w:t xml:space="preserve"> and tolerability</w:t>
      </w:r>
      <w:r w:rsidR="00B06ED4" w:rsidRPr="00CA4ABC">
        <w:rPr>
          <w:rFonts w:cstheme="minorHAnsi"/>
          <w:color w:val="000000" w:themeColor="text1"/>
        </w:rPr>
        <w:t xml:space="preserve">. This should be conducted </w:t>
      </w:r>
      <w:r w:rsidRPr="00CA4ABC">
        <w:rPr>
          <w:rFonts w:cstheme="minorHAnsi"/>
          <w:color w:val="000000" w:themeColor="text1"/>
        </w:rPr>
        <w:t>to make a decision about the best protein supplement to use</w:t>
      </w:r>
      <w:r w:rsidR="00B06ED4" w:rsidRPr="00CA4ABC">
        <w:rPr>
          <w:rFonts w:cstheme="minorHAnsi"/>
          <w:color w:val="000000" w:themeColor="text1"/>
        </w:rPr>
        <w:t xml:space="preserve"> before </w:t>
      </w:r>
      <w:r w:rsidR="005A5E43" w:rsidRPr="00CA4ABC">
        <w:rPr>
          <w:rFonts w:cstheme="minorHAnsi"/>
          <w:color w:val="000000" w:themeColor="text1"/>
        </w:rPr>
        <w:t xml:space="preserve">its </w:t>
      </w:r>
      <w:r w:rsidR="00B06ED4" w:rsidRPr="00CA4ABC">
        <w:rPr>
          <w:rFonts w:cstheme="minorHAnsi"/>
          <w:color w:val="000000" w:themeColor="text1"/>
        </w:rPr>
        <w:t xml:space="preserve">inclusion into the RCT trial design is implemented. </w:t>
      </w:r>
      <w:r w:rsidR="00B06ED4" w:rsidRPr="00CA4ABC">
        <w:rPr>
          <w:rFonts w:cstheme="minorHAnsi"/>
          <w:color w:val="000000" w:themeColor="text1"/>
          <w:shd w:val="clear" w:color="auto" w:fill="FFFFFF"/>
        </w:rPr>
        <w:t>Herrema et al.</w:t>
      </w:r>
      <w:r w:rsidR="00B06ED4" w:rsidRPr="00CA4ABC">
        <w:rPr>
          <w:rFonts w:cstheme="minorHAnsi"/>
          <w:i/>
          <w:iCs/>
          <w:color w:val="000000" w:themeColor="text1"/>
          <w:shd w:val="clear" w:color="auto" w:fill="FFFFFF"/>
        </w:rPr>
        <w:t xml:space="preserve"> </w:t>
      </w:r>
      <w:r w:rsidR="00B06ED4" w:rsidRPr="00CA4ABC">
        <w:rPr>
          <w:rFonts w:cstheme="minorHAnsi"/>
          <w:i/>
          <w:iCs/>
          <w:color w:val="000000" w:themeColor="text1"/>
          <w:shd w:val="clear" w:color="auto" w:fill="FFFFFF"/>
        </w:rPr>
        <w:fldChar w:fldCharType="begin" w:fldLock="1"/>
      </w:r>
      <w:r w:rsidR="00821D82">
        <w:rPr>
          <w:rFonts w:cstheme="minorHAnsi"/>
          <w:i/>
          <w:iCs/>
          <w:color w:val="000000" w:themeColor="text1"/>
          <w:shd w:val="clear" w:color="auto" w:fill="FFFFFF"/>
        </w:rPr>
        <w:instrText>ADDIN CSL_CITATION {"citationItems":[{"id":"ITEM-1","itemData":{"DOI":"10.1123/JAPA.2017-0126","ISSN":"1543-267X","PMID":"28595022","abstract":"Interventions combining protein-rich diets with resistance exercises seem a promising avenue in helping to prevent sarcopenia. However, compliance to health interventions is generally low. The aim of the present study was to provide qualitative insights into the drivers and barriers that older adults experience when trying to comply with a combined dietary and physical exercise intervention. Semi-structured interviews with 18 older adults participating in such an intervention were conducted and analyzed using thematic content analysis. Most frequently reported drivers to comply with the diet were a fit with existing habits, knowledge on the health benefits, and product properties (taste, convenience, package). Drivers for physical exercises were existing habits, social contacts, customized support, and experienced physical improvement. It is suggested that customized support is important to successfully implement exercise-protein interventions amongst older adults, especially regarding participants' habits, product preferences, and social environment.","author":[{"dropping-particle":"","family":"Herrema","given":"Annemarthe L.","non-dropping-particle":"","parse-names":false,"suffix":""},{"dropping-particle":"","family":"Westerman","given":"Marjan J.","non-dropping-particle":"","parse-names":false,"suffix":""},{"dropping-particle":"","family":"Dongen","given":"Ellen Van J.I.","non-dropping-particle":"","parse-names":false,"suffix":""},{"dropping-particle":"","family":"Kudla","given":"Urszula","non-dropping-particle":"","parse-names":false,"suffix":""},{"dropping-particle":"","family":"Veltkamp","given":"Martijn","non-dropping-particle":"","parse-names":false,"suffix":""}],"container-title":"Journal of aging and physical activity","id":"ITEM-1","issue":"1","issued":{"date-parts":[["2018","1","1"]]},"page":"106-113","publisher":"J Aging Phys Act","title":"Combined Protein-Rich Diet With Resistance Exercise Intervention to Counteract Sarcopenia: A Qualitative Study on Drivers and Barriers of Compliance","type":"article-journal","volume":"26"},"uris":["http://www.mendeley.com/documents/?uuid=cced0d6f-b014-38d0-b010-a3b533d83151"]}],"mendeley":{"formattedCitation":"(288)","plainTextFormattedCitation":"(288)","previouslyFormattedCitation":"(288)"},"properties":{"noteIndex":0},"schema":"https://github.com/citation-style-language/schema/raw/master/csl-citation.json"}</w:instrText>
      </w:r>
      <w:r w:rsidR="00B06ED4" w:rsidRPr="00CA4ABC">
        <w:rPr>
          <w:rFonts w:cstheme="minorHAnsi"/>
          <w:i/>
          <w:iCs/>
          <w:color w:val="000000" w:themeColor="text1"/>
          <w:shd w:val="clear" w:color="auto" w:fill="FFFFFF"/>
        </w:rPr>
        <w:fldChar w:fldCharType="separate"/>
      </w:r>
      <w:r w:rsidR="00FF0BCE" w:rsidRPr="00FF0BCE">
        <w:rPr>
          <w:rFonts w:cstheme="minorHAnsi"/>
          <w:iCs/>
          <w:noProof/>
          <w:color w:val="000000" w:themeColor="text1"/>
          <w:shd w:val="clear" w:color="auto" w:fill="FFFFFF"/>
        </w:rPr>
        <w:t>(288)</w:t>
      </w:r>
      <w:r w:rsidR="00B06ED4" w:rsidRPr="00CA4ABC">
        <w:rPr>
          <w:rFonts w:cstheme="minorHAnsi"/>
          <w:i/>
          <w:iCs/>
          <w:color w:val="000000" w:themeColor="text1"/>
          <w:shd w:val="clear" w:color="auto" w:fill="FFFFFF"/>
        </w:rPr>
        <w:fldChar w:fldCharType="end"/>
      </w:r>
      <w:r w:rsidR="00B06ED4" w:rsidRPr="00CA4ABC">
        <w:rPr>
          <w:rFonts w:cstheme="minorHAnsi"/>
          <w:i/>
          <w:iCs/>
          <w:color w:val="000000" w:themeColor="text1"/>
          <w:shd w:val="clear" w:color="auto" w:fill="FFFFFF"/>
        </w:rPr>
        <w:t xml:space="preserve"> </w:t>
      </w:r>
      <w:r w:rsidR="00B06ED4" w:rsidRPr="00CA4ABC">
        <w:rPr>
          <w:rFonts w:cstheme="minorHAnsi"/>
          <w:color w:val="000000" w:themeColor="text1"/>
          <w:shd w:val="clear" w:color="auto" w:fill="FFFFFF"/>
        </w:rPr>
        <w:t xml:space="preserve">explored factors which </w:t>
      </w:r>
      <w:r w:rsidR="005A5E43" w:rsidRPr="00CA4ABC">
        <w:rPr>
          <w:rFonts w:cstheme="minorHAnsi"/>
          <w:color w:val="000000" w:themeColor="text1"/>
          <w:shd w:val="clear" w:color="auto" w:fill="FFFFFF"/>
        </w:rPr>
        <w:t>influence</w:t>
      </w:r>
      <w:r w:rsidRPr="00CA4ABC">
        <w:rPr>
          <w:rFonts w:cstheme="minorHAnsi"/>
          <w:color w:val="000000" w:themeColor="text1"/>
          <w:shd w:val="clear" w:color="auto" w:fill="FFFFFF"/>
        </w:rPr>
        <w:t>d</w:t>
      </w:r>
      <w:r w:rsidR="00B06ED4" w:rsidRPr="00CA4ABC">
        <w:rPr>
          <w:rFonts w:cstheme="minorHAnsi"/>
          <w:color w:val="000000" w:themeColor="text1"/>
          <w:shd w:val="clear" w:color="auto" w:fill="FFFFFF"/>
        </w:rPr>
        <w:t xml:space="preserve"> adhering to protein-rich dietary changes through semi-structured interviews with older adults (≥65 years). Promoting factors include: ease of incorporating it into their already healthy diet, awareness of the health benefits and the </w:t>
      </w:r>
      <w:r w:rsidR="005A5E43" w:rsidRPr="00CA4ABC">
        <w:rPr>
          <w:rFonts w:cstheme="minorHAnsi"/>
          <w:color w:val="000000" w:themeColor="text1"/>
          <w:shd w:val="clear" w:color="auto" w:fill="FFFFFF"/>
        </w:rPr>
        <w:t>product's appeal</w:t>
      </w:r>
      <w:r w:rsidR="00B06ED4" w:rsidRPr="00CA4ABC">
        <w:rPr>
          <w:rFonts w:cstheme="minorHAnsi"/>
          <w:color w:val="000000" w:themeColor="text1"/>
          <w:shd w:val="clear" w:color="auto" w:fill="FFFFFF"/>
        </w:rPr>
        <w:t xml:space="preserve"> (convenience, flavour, consistency and packaging.</w:t>
      </w:r>
      <w:r w:rsidR="005A5E43" w:rsidRPr="00CA4ABC">
        <w:rPr>
          <w:rFonts w:cstheme="minorHAnsi"/>
          <w:color w:val="000000" w:themeColor="text1"/>
          <w:shd w:val="clear" w:color="auto" w:fill="FFFFFF"/>
        </w:rPr>
        <w:t>)</w:t>
      </w:r>
      <w:r w:rsidR="00B06ED4" w:rsidRPr="00CA4ABC">
        <w:rPr>
          <w:rFonts w:cstheme="minorHAnsi"/>
          <w:color w:val="000000" w:themeColor="text1"/>
          <w:shd w:val="clear" w:color="auto" w:fill="FFFFFF"/>
        </w:rPr>
        <w:t xml:space="preserve"> </w:t>
      </w:r>
      <w:r w:rsidR="005A5E43" w:rsidRPr="00CA4ABC">
        <w:rPr>
          <w:rFonts w:cstheme="minorHAnsi"/>
          <w:color w:val="000000"/>
          <w:shd w:val="clear" w:color="auto" w:fill="FFFFFF"/>
        </w:rPr>
        <w:t xml:space="preserve">Paying attention to these factors would likely </w:t>
      </w:r>
      <w:r w:rsidR="00B06ED4" w:rsidRPr="00CA4ABC">
        <w:rPr>
          <w:rFonts w:cstheme="minorHAnsi"/>
          <w:color w:val="000000" w:themeColor="text1"/>
          <w:shd w:val="clear" w:color="auto" w:fill="FFFFFF"/>
        </w:rPr>
        <w:t>be necessary for middle-age</w:t>
      </w:r>
      <w:r w:rsidR="005A5E43" w:rsidRPr="00CA4ABC">
        <w:rPr>
          <w:rFonts w:cstheme="minorHAnsi"/>
          <w:color w:val="000000" w:themeColor="text1"/>
          <w:shd w:val="clear" w:color="auto" w:fill="FFFFFF"/>
        </w:rPr>
        <w:t>d</w:t>
      </w:r>
      <w:r w:rsidR="00B06ED4" w:rsidRPr="00CA4ABC">
        <w:rPr>
          <w:rFonts w:cstheme="minorHAnsi"/>
          <w:color w:val="000000" w:themeColor="text1"/>
          <w:shd w:val="clear" w:color="auto" w:fill="FFFFFF"/>
        </w:rPr>
        <w:t xml:space="preserve"> adults, too.</w:t>
      </w:r>
      <w:r w:rsidR="00FE1558" w:rsidRPr="00CA4ABC">
        <w:rPr>
          <w:rFonts w:cstheme="minorHAnsi"/>
          <w:color w:val="000000" w:themeColor="text1"/>
          <w:shd w:val="clear" w:color="auto" w:fill="FFFFFF"/>
        </w:rPr>
        <w:t xml:space="preserve"> </w:t>
      </w:r>
      <w:r w:rsidR="00FE1558" w:rsidRPr="00CA4ABC">
        <w:rPr>
          <w:rFonts w:cstheme="minorHAnsi"/>
          <w:color w:val="000000" w:themeColor="text1"/>
        </w:rPr>
        <w:t xml:space="preserve">A similar liquid protein supplement to ProSource plus </w:t>
      </w:r>
      <w:r w:rsidR="00E033FB" w:rsidRPr="00CA4ABC">
        <w:rPr>
          <w:rFonts w:cstheme="minorHAnsi"/>
          <w:color w:val="000000" w:themeColor="text1"/>
        </w:rPr>
        <w:t xml:space="preserve">that also </w:t>
      </w:r>
      <w:r w:rsidR="00FE1558" w:rsidRPr="00CA4ABC">
        <w:rPr>
          <w:rFonts w:cstheme="minorHAnsi"/>
          <w:color w:val="000000" w:themeColor="text1"/>
        </w:rPr>
        <w:t>contain</w:t>
      </w:r>
      <w:r w:rsidR="00E033FB" w:rsidRPr="00CA4ABC">
        <w:rPr>
          <w:rFonts w:cstheme="minorHAnsi"/>
          <w:color w:val="000000" w:themeColor="text1"/>
        </w:rPr>
        <w:t>ed</w:t>
      </w:r>
      <w:r w:rsidR="00FE1558" w:rsidRPr="00CA4ABC">
        <w:rPr>
          <w:rFonts w:cstheme="minorHAnsi"/>
          <w:color w:val="000000" w:themeColor="text1"/>
        </w:rPr>
        <w:t xml:space="preserve"> collagen (although casein was used instead of whey) was found to be intolerable by 24% of the participants, although this was not in a healthy population </w:t>
      </w:r>
      <w:r w:rsidR="00FE1558"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{"citationItems":[{"id":"ITEM-1","itemData":{"DOI":"10.1002/DAT.20127","ISSN":"00902934","abstract":"BACKGROUND: Decreased synthesis of albumin (Alb) results in hypoalbuminemia and occurs because of the interrelationship of inflammation and malnutrition (uremic malnutrition) observed in chronic hemodialysis (CHD) patients. Improving the nutrition status of CHD patients is necessary to prevent and treat uremic malnutrition. The issue remains of how to achieve this goal in CHD patients given the barriers to adequate and appropriate intake such as anorexia, impaired nutrient absorption, and necessary diet modifications. OBJECTIVE: To determine if oral supplementation with a collagen-casein-based hydrolyzed liquid protein can improve Alb levels in hypoalbuminemic CHD patients. PATIENTS AND METHODS: The study patients were adult outpatients on hemodialysis for at least 1 year whose serum Alb was between 2.8 and 3.7 g/dL and who had given written consent. Patients (age = 31-90 years) were divided into 2 groups according to days they had dialysis. Controls (n = 21; dialysis days Tuesday, Thursday, Saturday) received standard nutritional counseling. The study group (n = 29; dialysis days Monday, Wednesday, Friday) received 30 mL of liquid protein at the beginning and end of treatment. The main outcome measures were baseline and monthly Alb for 3 months and a subjective assessment of tolerance. RESULTS: Five subjects in the control group (final n = 16 [49%]) and 12 subjects in the study group (final n = 17 [51%]) did not complete the study. There was not a statistically significant correlation between baseline Alb and baseline CRP, r = -0.30 (p = 0.093), or between baseline Alb and baseline URR, r = 0.27 (p = 0.14). Average Alb of the control group did not differ between the baseline (3.43 g/dL) and final (3.44 g/dL) measurements, t = -0.54; df = 15; p = 0.60. In the study group, however, the final average Alb (SD) of 3.73 (0.28) was statistically significantly greater than the baseline average of 3.49 (0.20), t = -4.19; df = 16; p = 0.001. CONCLUSION: These statistically significant results indicate that oral supplementation with a collagen-casein-based hydrolyzed liquid protein can improve serum albumin levels of hypoalbuminemic CHD patients.","author":[{"dropping-particle":"","family":"Pittaoulis","given":"Ann","non-dropping-particle":"","parse-names":false,"suffix":""},{"dropping-particle":"","family":"Phillips","given":"Evelyn","non-dropping-particle":"","parse-names":false,"suffix":""}],"container-title":"Dialysis and Transplantation","id":"ITEM-1","issue":"5","issued":{"date-parts":[["2007","5"]]},"page":"258-265","title":"Can oral supplementation with a collagen-casein-based liquid protein improve serum albumin levels in hemodialysis patients?","type":"article-journal","volume":"36"},"uris":["http://www.mendeley.com/documents/?uuid=53cc6dbd-ee8d-37b5-b071-1577857eaee2"]}],"mendeley":{"formattedCitation":"(289)","plainTextFormattedCitation":"(289)","previouslyFormattedCitation":"(289)"},"properties":{"noteIndex":0},"schema":"https://github.com/citation-style-language/schema/raw/master/csl-citation.json"}</w:instrText>
      </w:r>
      <w:r w:rsidR="00FE1558" w:rsidRPr="00CA4ABC">
        <w:rPr>
          <w:rFonts w:cstheme="minorHAnsi"/>
          <w:color w:val="000000" w:themeColor="text1"/>
        </w:rPr>
        <w:fldChar w:fldCharType="separate"/>
      </w:r>
      <w:r w:rsidR="00FF0BCE" w:rsidRPr="00FF0BCE">
        <w:rPr>
          <w:rFonts w:cstheme="minorHAnsi"/>
          <w:noProof/>
          <w:color w:val="000000" w:themeColor="text1"/>
        </w:rPr>
        <w:t>(289)</w:t>
      </w:r>
      <w:r w:rsidR="00FE1558" w:rsidRPr="00CA4ABC">
        <w:rPr>
          <w:rFonts w:cstheme="minorHAnsi"/>
          <w:color w:val="000000" w:themeColor="text1"/>
        </w:rPr>
        <w:fldChar w:fldCharType="end"/>
      </w:r>
      <w:r w:rsidR="00FE1558" w:rsidRPr="00CA4ABC">
        <w:rPr>
          <w:rFonts w:cstheme="minorHAnsi"/>
          <w:color w:val="000000" w:themeColor="text1"/>
        </w:rPr>
        <w:t xml:space="preserve">. Nevertheless, taste was stated </w:t>
      </w:r>
      <w:r w:rsidR="00E033FB" w:rsidRPr="00CA4ABC">
        <w:rPr>
          <w:rFonts w:cstheme="minorHAnsi"/>
          <w:color w:val="000000" w:themeColor="text1"/>
        </w:rPr>
        <w:t xml:space="preserve">in </w:t>
      </w:r>
      <w:r w:rsidR="00FE1558" w:rsidRPr="00CA4ABC">
        <w:rPr>
          <w:rFonts w:cstheme="minorHAnsi"/>
          <w:color w:val="000000" w:themeColor="text1"/>
        </w:rPr>
        <w:t xml:space="preserve">the majority of these </w:t>
      </w:r>
      <w:r w:rsidR="00E033FB" w:rsidRPr="00CA4ABC">
        <w:rPr>
          <w:rFonts w:cstheme="minorHAnsi"/>
          <w:color w:val="000000" w:themeColor="text1"/>
        </w:rPr>
        <w:t xml:space="preserve">cases </w:t>
      </w:r>
      <w:r w:rsidR="00FE1558" w:rsidRPr="00CA4ABC">
        <w:rPr>
          <w:rFonts w:cstheme="minorHAnsi"/>
          <w:color w:val="000000" w:themeColor="text1"/>
        </w:rPr>
        <w:t xml:space="preserve">as the reason for withdrawal from the study. </w:t>
      </w:r>
      <w:r w:rsidR="00B06ED4" w:rsidRPr="00CA4ABC">
        <w:rPr>
          <w:rFonts w:cstheme="minorHAnsi"/>
          <w:color w:val="000000" w:themeColor="text1"/>
          <w:shd w:val="clear" w:color="auto" w:fill="FFFFFF"/>
        </w:rPr>
        <w:t>Furthermore, in chapter 4</w:t>
      </w:r>
      <w:r w:rsidR="00E033FB" w:rsidRPr="00CA4ABC">
        <w:rPr>
          <w:rFonts w:cstheme="minorHAnsi"/>
          <w:color w:val="000000" w:themeColor="text1"/>
          <w:shd w:val="clear" w:color="auto" w:fill="FFFFFF"/>
        </w:rPr>
        <w:t>,</w:t>
      </w:r>
      <w:r w:rsidR="00B06ED4" w:rsidRPr="00CA4ABC">
        <w:rPr>
          <w:rFonts w:cstheme="minorHAnsi"/>
          <w:color w:val="000000" w:themeColor="text1"/>
          <w:shd w:val="clear" w:color="auto" w:fill="FFFFFF"/>
        </w:rPr>
        <w:t xml:space="preserve"> we identified tha</w:t>
      </w:r>
      <w:r w:rsidR="00E033FB" w:rsidRPr="00CA4ABC">
        <w:rPr>
          <w:rFonts w:cstheme="minorHAnsi"/>
          <w:color w:val="000000" w:themeColor="text1"/>
          <w:shd w:val="clear" w:color="auto" w:fill="FFFFFF"/>
        </w:rPr>
        <w:t>t</w:t>
      </w:r>
      <w:r w:rsidR="00B06ED4" w:rsidRPr="00CA4ABC">
        <w:rPr>
          <w:rFonts w:cstheme="minorHAnsi"/>
          <w:color w:val="000000" w:themeColor="text1"/>
          <w:shd w:val="clear" w:color="auto" w:fill="FFFFFF"/>
        </w:rPr>
        <w:t xml:space="preserve"> being a vegetarian/vegan has associations with lower protein intakes. ProSource Plus was not acceptable for this population</w:t>
      </w:r>
      <w:r w:rsidR="00E033FB" w:rsidRPr="00CA4ABC">
        <w:rPr>
          <w:rFonts w:cstheme="minorHAnsi"/>
          <w:color w:val="000000" w:themeColor="text1"/>
          <w:shd w:val="clear" w:color="auto" w:fill="FFFFFF"/>
        </w:rPr>
        <w:t>,</w:t>
      </w:r>
      <w:r w:rsidR="00B06ED4" w:rsidRPr="00CA4ABC">
        <w:rPr>
          <w:rFonts w:cstheme="minorHAnsi"/>
          <w:color w:val="000000" w:themeColor="text1"/>
          <w:shd w:val="clear" w:color="auto" w:fill="FFFFFF"/>
        </w:rPr>
        <w:t xml:space="preserve"> and therefore if individuals with these dietary habits are targeted for intervention trials, selecting a </w:t>
      </w:r>
      <w:r w:rsidR="00E033FB" w:rsidRPr="00CA4ABC">
        <w:rPr>
          <w:rFonts w:cstheme="minorHAnsi"/>
          <w:color w:val="000000" w:themeColor="text1"/>
          <w:shd w:val="clear" w:color="auto" w:fill="FFFFFF"/>
        </w:rPr>
        <w:t xml:space="preserve">suitable </w:t>
      </w:r>
      <w:r w:rsidR="00B06ED4" w:rsidRPr="00CA4ABC">
        <w:rPr>
          <w:rFonts w:cstheme="minorHAnsi"/>
          <w:color w:val="000000" w:themeColor="text1"/>
          <w:shd w:val="clear" w:color="auto" w:fill="FFFFFF"/>
        </w:rPr>
        <w:t xml:space="preserve">supplement will be necessary. </w:t>
      </w:r>
      <w:r w:rsidR="00B06ED4" w:rsidRPr="00CA4ABC">
        <w:rPr>
          <w:rFonts w:cstheme="minorHAnsi"/>
          <w:color w:val="000000" w:themeColor="text1"/>
        </w:rPr>
        <w:t xml:space="preserve">This would be particularly important if it is decided to continue </w:t>
      </w:r>
      <w:r w:rsidR="00E033FB" w:rsidRPr="00CA4ABC">
        <w:rPr>
          <w:rFonts w:cstheme="minorHAnsi"/>
          <w:color w:val="000000" w:themeColor="text1"/>
        </w:rPr>
        <w:t>implementing</w:t>
      </w:r>
      <w:r w:rsidR="00B06ED4" w:rsidRPr="00CA4ABC">
        <w:rPr>
          <w:rFonts w:cstheme="minorHAnsi"/>
          <w:color w:val="000000" w:themeColor="text1"/>
        </w:rPr>
        <w:t xml:space="preserve"> two supplements</w:t>
      </w:r>
      <w:r w:rsidRPr="00CA4ABC">
        <w:rPr>
          <w:rFonts w:cstheme="minorHAnsi"/>
          <w:color w:val="000000" w:themeColor="text1"/>
        </w:rPr>
        <w:t xml:space="preserve"> per </w:t>
      </w:r>
      <w:r w:rsidR="00B06ED4" w:rsidRPr="00CA4ABC">
        <w:rPr>
          <w:rFonts w:cstheme="minorHAnsi"/>
          <w:color w:val="000000" w:themeColor="text1"/>
        </w:rPr>
        <w:t xml:space="preserve">day to participants. Nevertheless, </w:t>
      </w:r>
      <w:r w:rsidR="00E033FB" w:rsidRPr="00CA4ABC">
        <w:rPr>
          <w:rFonts w:cstheme="minorHAnsi"/>
          <w:color w:val="000000" w:themeColor="text1"/>
        </w:rPr>
        <w:t xml:space="preserve">the </w:t>
      </w:r>
      <w:r w:rsidR="00B06ED4" w:rsidRPr="00CA4ABC">
        <w:rPr>
          <w:rFonts w:cstheme="minorHAnsi"/>
          <w:color w:val="000000" w:themeColor="text1"/>
        </w:rPr>
        <w:t>adherence rate of the protein supplement w</w:t>
      </w:r>
      <w:r w:rsidR="00E033FB" w:rsidRPr="00CA4ABC">
        <w:rPr>
          <w:rFonts w:cstheme="minorHAnsi"/>
          <w:color w:val="000000" w:themeColor="text1"/>
        </w:rPr>
        <w:t>as</w:t>
      </w:r>
      <w:r w:rsidR="00B06ED4" w:rsidRPr="00CA4ABC">
        <w:rPr>
          <w:rFonts w:cstheme="minorHAnsi"/>
          <w:color w:val="000000" w:themeColor="text1"/>
        </w:rPr>
        <w:t xml:space="preserve"> </w:t>
      </w:r>
      <w:r w:rsidR="00B06ED4" w:rsidRPr="00CA4ABC">
        <w:rPr>
          <w:rFonts w:cstheme="minorHAnsi"/>
          <w:color w:val="000000" w:themeColor="text1"/>
        </w:rPr>
        <w:lastRenderedPageBreak/>
        <w:t>still adequate, however, th</w:t>
      </w:r>
      <w:r w:rsidR="00E033FB" w:rsidRPr="00CA4ABC">
        <w:rPr>
          <w:rFonts w:cstheme="minorHAnsi"/>
          <w:color w:val="000000" w:themeColor="text1"/>
        </w:rPr>
        <w:t>is</w:t>
      </w:r>
      <w:r w:rsidR="00B06ED4" w:rsidRPr="00CA4ABC">
        <w:rPr>
          <w:rFonts w:cstheme="minorHAnsi"/>
          <w:color w:val="000000" w:themeColor="text1"/>
        </w:rPr>
        <w:t xml:space="preserve"> may </w:t>
      </w:r>
      <w:r w:rsidR="00E033FB" w:rsidRPr="00CA4ABC">
        <w:rPr>
          <w:rFonts w:cstheme="minorHAnsi"/>
          <w:color w:val="000000" w:themeColor="text1"/>
        </w:rPr>
        <w:t>reflect</w:t>
      </w:r>
      <w:r w:rsidR="00B06ED4" w:rsidRPr="00CA4ABC">
        <w:rPr>
          <w:rFonts w:cstheme="minorHAnsi"/>
          <w:color w:val="000000" w:themeColor="text1"/>
        </w:rPr>
        <w:t xml:space="preserve"> the participant’s motivated nature to engage sufficiently with the research work. Moreover, when asked if they would </w:t>
      </w:r>
      <w:r w:rsidR="00E033FB" w:rsidRPr="00CA4ABC">
        <w:rPr>
          <w:rFonts w:cstheme="minorHAnsi"/>
          <w:color w:val="000000" w:themeColor="text1"/>
        </w:rPr>
        <w:t>“</w:t>
      </w:r>
      <w:r w:rsidR="00B06ED4" w:rsidRPr="00CA4ABC">
        <w:rPr>
          <w:rFonts w:cstheme="minorHAnsi"/>
          <w:color w:val="000000" w:themeColor="text1"/>
        </w:rPr>
        <w:t>consider taking the supplement if it was prescribed by a medical profession</w:t>
      </w:r>
      <w:r w:rsidR="00E033FB" w:rsidRPr="00CA4ABC">
        <w:rPr>
          <w:rFonts w:cstheme="minorHAnsi"/>
          <w:color w:val="000000" w:themeColor="text1"/>
        </w:rPr>
        <w:t>al”</w:t>
      </w:r>
      <w:r w:rsidR="00B06ED4" w:rsidRPr="00CA4ABC">
        <w:rPr>
          <w:rFonts w:cstheme="minorHAnsi"/>
          <w:color w:val="000000" w:themeColor="text1"/>
        </w:rPr>
        <w:t xml:space="preserve">, five participants stated </w:t>
      </w:r>
      <w:r w:rsidR="00E033FB" w:rsidRPr="00CA4ABC">
        <w:rPr>
          <w:rFonts w:cstheme="minorHAnsi"/>
          <w:color w:val="000000" w:themeColor="text1"/>
        </w:rPr>
        <w:t>“yes,”</w:t>
      </w:r>
      <w:r w:rsidR="00B06ED4" w:rsidRPr="00CA4ABC">
        <w:rPr>
          <w:rFonts w:cstheme="minorHAnsi"/>
          <w:color w:val="000000" w:themeColor="text1"/>
        </w:rPr>
        <w:t xml:space="preserve"> and one stated “maybe,” suggesting individuals may comply if they know i</w:t>
      </w:r>
      <w:r w:rsidR="00E033FB" w:rsidRPr="00CA4ABC">
        <w:rPr>
          <w:rFonts w:cstheme="minorHAnsi"/>
          <w:color w:val="000000" w:themeColor="text1"/>
        </w:rPr>
        <w:t>t</w:t>
      </w:r>
      <w:r w:rsidR="00B06ED4" w:rsidRPr="00CA4ABC">
        <w:rPr>
          <w:rFonts w:cstheme="minorHAnsi"/>
          <w:color w:val="000000" w:themeColor="text1"/>
        </w:rPr>
        <w:t xml:space="preserve"> is beneficial for their health. These findings are supported by responses to </w:t>
      </w:r>
      <w:r w:rsidR="00E033FB" w:rsidRPr="00CA4ABC">
        <w:rPr>
          <w:rFonts w:cstheme="minorHAnsi"/>
          <w:color w:val="000000" w:themeColor="text1"/>
        </w:rPr>
        <w:t xml:space="preserve">a </w:t>
      </w:r>
      <w:r w:rsidR="00B06ED4" w:rsidRPr="00CA4ABC">
        <w:rPr>
          <w:rFonts w:cstheme="minorHAnsi"/>
          <w:color w:val="000000" w:themeColor="text1"/>
        </w:rPr>
        <w:t xml:space="preserve">questionnaire designed to evaluate </w:t>
      </w:r>
      <w:r w:rsidR="00E033FB" w:rsidRPr="00CA4ABC">
        <w:rPr>
          <w:rFonts w:cstheme="minorHAnsi"/>
          <w:color w:val="000000" w:themeColor="text1"/>
        </w:rPr>
        <w:t xml:space="preserve">the </w:t>
      </w:r>
      <w:r w:rsidR="00B06ED4" w:rsidRPr="00CA4ABC">
        <w:rPr>
          <w:rFonts w:cstheme="minorHAnsi"/>
          <w:color w:val="000000" w:themeColor="text1"/>
        </w:rPr>
        <w:t xml:space="preserve">types of protein adults aged 60 years or older were consuming </w:t>
      </w:r>
      <w:r w:rsidR="00B06ED4"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{"citationItems":[{"id":"ITEM-1","itemData":{"URL":"https://www.journalijdr.com/knowledge-and-consumption-protein-older-adults-opportunity-improvement","accessed":{"date-parts":[["2022","12","19"]]},"id":"ITEM-1","issued":{"date-parts":[["0"]]},"title":"Knowledge and consumption of protein in older adults: Opportunity for improvement | International Journal of Development Research (IJDR)","type":"webpage"},"uris":["http://www.mendeley.com/documents/?uuid=84d2faeb-f10b-39d8-9e73-41973981c1c8"]}],"mendeley":{"formattedCitation":"(290)","plainTextFormattedCitation":"(290)","previouslyFormattedCitation":"(290)"},"properties":{"noteIndex":0},"schema":"https://github.com/citation-style-language/schema/raw/master/csl-citation.json"}</w:instrText>
      </w:r>
      <w:r w:rsidR="00B06ED4" w:rsidRPr="00CA4ABC">
        <w:rPr>
          <w:rFonts w:cstheme="minorHAnsi"/>
          <w:color w:val="000000" w:themeColor="text1"/>
        </w:rPr>
        <w:fldChar w:fldCharType="separate"/>
      </w:r>
      <w:r w:rsidR="00FF0BCE" w:rsidRPr="00FF0BCE">
        <w:rPr>
          <w:rFonts w:cstheme="minorHAnsi"/>
          <w:noProof/>
          <w:color w:val="000000" w:themeColor="text1"/>
        </w:rPr>
        <w:t>(290)</w:t>
      </w:r>
      <w:r w:rsidR="00B06ED4" w:rsidRPr="00CA4ABC">
        <w:rPr>
          <w:rFonts w:cstheme="minorHAnsi"/>
          <w:color w:val="000000" w:themeColor="text1"/>
        </w:rPr>
        <w:fldChar w:fldCharType="end"/>
      </w:r>
      <w:r w:rsidR="00B06ED4" w:rsidRPr="00CA4ABC">
        <w:rPr>
          <w:rFonts w:cstheme="minorHAnsi"/>
          <w:color w:val="000000" w:themeColor="text1"/>
        </w:rPr>
        <w:t xml:space="preserve">. </w:t>
      </w:r>
      <w:r w:rsidRPr="00CA4ABC">
        <w:rPr>
          <w:rFonts w:cstheme="minorHAnsi"/>
          <w:color w:val="000000" w:themeColor="text1"/>
          <w:shd w:val="clear" w:color="auto" w:fill="FFFFFF"/>
        </w:rPr>
        <w:t>R</w:t>
      </w:r>
      <w:r w:rsidR="00B06ED4" w:rsidRPr="00CA4ABC">
        <w:rPr>
          <w:rFonts w:cstheme="minorHAnsi"/>
          <w:color w:val="000000" w:themeColor="text1"/>
          <w:shd w:val="clear" w:color="auto" w:fill="FFFFFF"/>
        </w:rPr>
        <w:t>espondents</w:t>
      </w:r>
      <w:r w:rsidRPr="00CA4ABC">
        <w:rPr>
          <w:rFonts w:cstheme="minorHAnsi"/>
          <w:color w:val="000000" w:themeColor="text1"/>
          <w:shd w:val="clear" w:color="auto" w:fill="FFFFFF"/>
        </w:rPr>
        <w:t xml:space="preserve"> reported interest</w:t>
      </w:r>
      <w:r w:rsidR="00B06ED4" w:rsidRPr="00CA4ABC">
        <w:rPr>
          <w:rFonts w:cstheme="minorHAnsi"/>
          <w:color w:val="000000" w:themeColor="text1"/>
          <w:shd w:val="clear" w:color="auto" w:fill="FFFFFF"/>
        </w:rPr>
        <w:t xml:space="preserve"> in keeping their strength and were willing to consider taking protein supplements to maintain their muscle mass and physical function. Nevertheless, it still seems logical to select a supplement that is as palatable as possible whilst also </w:t>
      </w:r>
      <w:r w:rsidR="00E033FB" w:rsidRPr="00CA4ABC">
        <w:rPr>
          <w:rFonts w:cstheme="minorHAnsi"/>
          <w:color w:val="000000" w:themeColor="text1"/>
          <w:shd w:val="clear" w:color="auto" w:fill="FFFFFF"/>
        </w:rPr>
        <w:t>considering</w:t>
      </w:r>
      <w:r w:rsidR="00B06ED4" w:rsidRPr="00CA4ABC">
        <w:rPr>
          <w:rFonts w:cstheme="minorHAnsi"/>
          <w:color w:val="000000" w:themeColor="text1"/>
          <w:shd w:val="clear" w:color="auto" w:fill="FFFFFF"/>
        </w:rPr>
        <w:t xml:space="preserve"> other key features of protein supplementation i.e</w:t>
      </w:r>
      <w:r w:rsidR="00E033FB" w:rsidRPr="00CA4ABC">
        <w:rPr>
          <w:rFonts w:cstheme="minorHAnsi"/>
          <w:color w:val="000000" w:themeColor="text1"/>
          <w:shd w:val="clear" w:color="auto" w:fill="FFFFFF"/>
        </w:rPr>
        <w:t>.</w:t>
      </w:r>
      <w:r w:rsidR="00B06ED4" w:rsidRPr="00CA4ABC">
        <w:rPr>
          <w:rFonts w:cstheme="minorHAnsi"/>
          <w:color w:val="000000" w:themeColor="text1"/>
          <w:shd w:val="clear" w:color="auto" w:fill="FFFFFF"/>
        </w:rPr>
        <w:t xml:space="preserve"> appetite considerations, dose and source</w:t>
      </w:r>
      <w:r w:rsidR="00120E7F" w:rsidRPr="00CA4ABC">
        <w:rPr>
          <w:rFonts w:cstheme="minorHAnsi"/>
          <w:color w:val="000000" w:themeColor="text1"/>
          <w:shd w:val="clear" w:color="auto" w:fill="FFFFFF"/>
        </w:rPr>
        <w:t>.</w:t>
      </w:r>
      <w:r w:rsidR="00120E7F" w:rsidRPr="00CA4ABC">
        <w:rPr>
          <w:rFonts w:cstheme="minorHAnsi"/>
          <w:color w:val="000000" w:themeColor="text1"/>
        </w:rPr>
        <w:t xml:space="preserve"> </w:t>
      </w:r>
    </w:p>
    <w:p w14:paraId="4C8FB9F7" w14:textId="43DFE384" w:rsidR="00B06ED4" w:rsidRPr="00CA4ABC" w:rsidRDefault="00B06ED4" w:rsidP="00FE1558">
      <w:pPr>
        <w:pStyle w:val="NormalWeb"/>
        <w:spacing w:line="360" w:lineRule="auto"/>
        <w:rPr>
          <w:rFonts w:asciiTheme="minorHAnsi" w:hAnsiTheme="minorHAnsi" w:cstheme="minorHAnsi"/>
          <w:color w:val="000000" w:themeColor="text1"/>
          <w:shd w:val="clear" w:color="auto" w:fill="FFFFFF"/>
        </w:rPr>
      </w:pPr>
      <w:r w:rsidRPr="00CA4ABC">
        <w:rPr>
          <w:rFonts w:asciiTheme="minorHAnsi" w:hAnsiTheme="minorHAnsi" w:cstheme="minorHAnsi"/>
          <w:color w:val="000000" w:themeColor="text1"/>
        </w:rPr>
        <w:t xml:space="preserve"> Adherence to </w:t>
      </w:r>
      <w:r w:rsidR="00FE1558" w:rsidRPr="00CA4ABC">
        <w:rPr>
          <w:rFonts w:asciiTheme="minorHAnsi" w:hAnsiTheme="minorHAnsi" w:cstheme="minorHAnsi"/>
          <w:color w:val="000000" w:themeColor="text1"/>
        </w:rPr>
        <w:t>t</w:t>
      </w:r>
      <w:r w:rsidRPr="00CA4ABC">
        <w:rPr>
          <w:rFonts w:asciiTheme="minorHAnsi" w:hAnsiTheme="minorHAnsi" w:cstheme="minorHAnsi"/>
          <w:color w:val="000000" w:themeColor="text1"/>
        </w:rPr>
        <w:t xml:space="preserve">he exercise intervention was </w:t>
      </w:r>
      <w:r w:rsidR="00FE1558" w:rsidRPr="00CA4ABC">
        <w:rPr>
          <w:rFonts w:asciiTheme="minorHAnsi" w:hAnsiTheme="minorHAnsi" w:cstheme="minorHAnsi"/>
          <w:color w:val="000000" w:themeColor="text1"/>
        </w:rPr>
        <w:t xml:space="preserve">also </w:t>
      </w:r>
      <w:r w:rsidRPr="00CA4ABC">
        <w:rPr>
          <w:rFonts w:asciiTheme="minorHAnsi" w:hAnsiTheme="minorHAnsi" w:cstheme="minorHAnsi"/>
          <w:color w:val="000000" w:themeColor="text1"/>
        </w:rPr>
        <w:t>adequate</w:t>
      </w:r>
      <w:r w:rsidR="007E7A00" w:rsidRPr="00CA4ABC">
        <w:rPr>
          <w:rFonts w:asciiTheme="minorHAnsi" w:hAnsiTheme="minorHAnsi" w:cstheme="minorHAnsi"/>
          <w:color w:val="000000" w:themeColor="text1"/>
        </w:rPr>
        <w:t xml:space="preserve"> (amber, table 25.) </w:t>
      </w:r>
      <w:r w:rsidR="00020548" w:rsidRPr="00CA4ABC">
        <w:rPr>
          <w:rFonts w:asciiTheme="minorHAnsi" w:hAnsiTheme="minorHAnsi" w:cstheme="minorHAnsi"/>
          <w:color w:val="000000" w:themeColor="text1"/>
        </w:rPr>
        <w:t>Overall, t</w:t>
      </w:r>
      <w:r w:rsidR="007E7A00" w:rsidRPr="00CA4ABC">
        <w:rPr>
          <w:rFonts w:asciiTheme="minorHAnsi" w:hAnsiTheme="minorHAnsi" w:cstheme="minorHAnsi"/>
          <w:color w:val="000000" w:themeColor="text1"/>
        </w:rPr>
        <w:t>here was a variety in adherence rates a</w:t>
      </w:r>
      <w:r w:rsidR="00020548" w:rsidRPr="00CA4ABC">
        <w:rPr>
          <w:rFonts w:asciiTheme="minorHAnsi" w:hAnsiTheme="minorHAnsi" w:cstheme="minorHAnsi"/>
          <w:color w:val="000000" w:themeColor="text1"/>
        </w:rPr>
        <w:t>mong</w:t>
      </w:r>
      <w:r w:rsidR="007E7A00" w:rsidRPr="00CA4ABC">
        <w:rPr>
          <w:rFonts w:asciiTheme="minorHAnsi" w:hAnsiTheme="minorHAnsi" w:cstheme="minorHAnsi"/>
          <w:color w:val="000000" w:themeColor="text1"/>
        </w:rPr>
        <w:t xml:space="preserve"> participants. To increase trial engagement, understanding </w:t>
      </w:r>
      <w:r w:rsidR="003E2102" w:rsidRPr="00CA4ABC">
        <w:rPr>
          <w:rFonts w:asciiTheme="minorHAnsi" w:hAnsiTheme="minorHAnsi" w:cstheme="minorHAnsi"/>
          <w:color w:val="000000" w:themeColor="text1"/>
        </w:rPr>
        <w:t>and addressing some of the</w:t>
      </w:r>
      <w:r w:rsidR="007E7A00" w:rsidRPr="00CA4ABC">
        <w:rPr>
          <w:rFonts w:asciiTheme="minorHAnsi" w:hAnsiTheme="minorHAnsi" w:cstheme="minorHAnsi"/>
          <w:color w:val="000000" w:themeColor="text1"/>
        </w:rPr>
        <w:t xml:space="preserve"> reasons behind </w:t>
      </w:r>
      <w:r w:rsidR="003E2102" w:rsidRPr="00CA4ABC">
        <w:rPr>
          <w:rFonts w:asciiTheme="minorHAnsi" w:hAnsiTheme="minorHAnsi" w:cstheme="minorHAnsi"/>
          <w:color w:val="000000" w:themeColor="text1"/>
        </w:rPr>
        <w:t xml:space="preserve">why </w:t>
      </w:r>
      <w:r w:rsidR="00CF77CD">
        <w:rPr>
          <w:rFonts w:asciiTheme="minorHAnsi" w:hAnsiTheme="minorHAnsi" w:cstheme="minorHAnsi"/>
          <w:color w:val="000000" w:themeColor="text1"/>
        </w:rPr>
        <w:t>some participants did not achieve adherence targets</w:t>
      </w:r>
      <w:r w:rsidR="003E2102" w:rsidRPr="00CA4ABC">
        <w:rPr>
          <w:rFonts w:asciiTheme="minorHAnsi" w:hAnsiTheme="minorHAnsi" w:cstheme="minorHAnsi"/>
          <w:color w:val="000000" w:themeColor="text1"/>
        </w:rPr>
        <w:t xml:space="preserve"> could give insights into</w:t>
      </w:r>
      <w:r w:rsidR="00674232" w:rsidRPr="00CA4ABC">
        <w:rPr>
          <w:rFonts w:asciiTheme="minorHAnsi" w:hAnsiTheme="minorHAnsi" w:cstheme="minorHAnsi"/>
          <w:color w:val="000000" w:themeColor="text1"/>
        </w:rPr>
        <w:t xml:space="preserve"> possible</w:t>
      </w:r>
      <w:r w:rsidR="003E2102" w:rsidRPr="00CA4ABC">
        <w:rPr>
          <w:rFonts w:asciiTheme="minorHAnsi" w:hAnsiTheme="minorHAnsi" w:cstheme="minorHAnsi"/>
          <w:color w:val="000000" w:themeColor="text1"/>
        </w:rPr>
        <w:t xml:space="preserve"> protocol improvements</w:t>
      </w:r>
      <w:r w:rsidR="007E7A00" w:rsidRPr="00CA4ABC">
        <w:rPr>
          <w:rFonts w:asciiTheme="minorHAnsi" w:hAnsiTheme="minorHAnsi" w:cstheme="minorHAnsi"/>
          <w:color w:val="000000" w:themeColor="text1"/>
        </w:rPr>
        <w:t xml:space="preserve">. </w:t>
      </w:r>
      <w:r w:rsidR="003E2102" w:rsidRPr="00CA4ABC">
        <w:rPr>
          <w:rFonts w:asciiTheme="minorHAnsi" w:hAnsiTheme="minorHAnsi" w:cstheme="minorHAnsi"/>
          <w:color w:val="000000" w:themeColor="text1"/>
        </w:rPr>
        <w:t xml:space="preserve">Some participants stated that illness was the main reason for missing exercise classes. This is hard to avoid, particularly as the trial </w:t>
      </w:r>
      <w:r w:rsidR="00020548" w:rsidRPr="00CA4ABC">
        <w:rPr>
          <w:rFonts w:asciiTheme="minorHAnsi" w:hAnsiTheme="minorHAnsi" w:cstheme="minorHAnsi"/>
          <w:color w:val="000000" w:themeColor="text1"/>
        </w:rPr>
        <w:t>was conducted</w:t>
      </w:r>
      <w:r w:rsidR="003E2102" w:rsidRPr="00CA4ABC">
        <w:rPr>
          <w:rFonts w:asciiTheme="minorHAnsi" w:hAnsiTheme="minorHAnsi" w:cstheme="minorHAnsi"/>
          <w:color w:val="000000" w:themeColor="text1"/>
        </w:rPr>
        <w:t xml:space="preserve"> during winter when illness levels</w:t>
      </w:r>
      <w:r w:rsidR="00674232" w:rsidRPr="00CA4ABC">
        <w:rPr>
          <w:rFonts w:asciiTheme="minorHAnsi" w:hAnsiTheme="minorHAnsi" w:cstheme="minorHAnsi"/>
          <w:color w:val="000000" w:themeColor="text1"/>
        </w:rPr>
        <w:t>, including COVID,</w:t>
      </w:r>
      <w:r w:rsidR="003E2102" w:rsidRPr="00CA4ABC">
        <w:rPr>
          <w:rFonts w:asciiTheme="minorHAnsi" w:hAnsiTheme="minorHAnsi" w:cstheme="minorHAnsi"/>
          <w:color w:val="000000" w:themeColor="text1"/>
        </w:rPr>
        <w:t xml:space="preserve"> are at their highest. One participant (EN101) was</w:t>
      </w:r>
      <w:r w:rsidR="00674232" w:rsidRPr="00CA4ABC">
        <w:rPr>
          <w:rFonts w:asciiTheme="minorHAnsi" w:hAnsiTheme="minorHAnsi" w:cstheme="minorHAnsi"/>
          <w:color w:val="000000" w:themeColor="text1"/>
        </w:rPr>
        <w:t xml:space="preserve"> a</w:t>
      </w:r>
      <w:r w:rsidR="003E2102" w:rsidRPr="00CA4ABC">
        <w:rPr>
          <w:rFonts w:asciiTheme="minorHAnsi" w:hAnsiTheme="minorHAnsi" w:cstheme="minorHAnsi"/>
          <w:color w:val="000000" w:themeColor="text1"/>
        </w:rPr>
        <w:t xml:space="preserve"> particularly low responder, and semi-structured interview analysis from this participant could be beneficial for optimising the trial design for lesser motivated individuals</w:t>
      </w:r>
      <w:r w:rsidR="00CF77CD">
        <w:rPr>
          <w:rFonts w:asciiTheme="minorHAnsi" w:hAnsiTheme="minorHAnsi" w:cstheme="minorHAnsi"/>
          <w:color w:val="000000" w:themeColor="text1"/>
        </w:rPr>
        <w:t>,</w:t>
      </w:r>
      <w:r w:rsidR="003E2102" w:rsidRPr="00CA4ABC">
        <w:rPr>
          <w:rFonts w:asciiTheme="minorHAnsi" w:hAnsiTheme="minorHAnsi" w:cstheme="minorHAnsi"/>
          <w:color w:val="000000" w:themeColor="text1"/>
        </w:rPr>
        <w:t xml:space="preserve"> a population which </w:t>
      </w:r>
      <w:r w:rsidR="00020548" w:rsidRPr="00CA4ABC">
        <w:rPr>
          <w:rFonts w:asciiTheme="minorHAnsi" w:hAnsiTheme="minorHAnsi" w:cstheme="minorHAnsi"/>
          <w:color w:val="000000" w:themeColor="text1"/>
        </w:rPr>
        <w:t xml:space="preserve">would </w:t>
      </w:r>
      <w:r w:rsidR="003E2102" w:rsidRPr="00CA4ABC">
        <w:rPr>
          <w:rFonts w:asciiTheme="minorHAnsi" w:hAnsiTheme="minorHAnsi" w:cstheme="minorHAnsi"/>
          <w:color w:val="000000" w:themeColor="text1"/>
        </w:rPr>
        <w:t>be</w:t>
      </w:r>
      <w:r w:rsidR="00020548" w:rsidRPr="00CA4ABC">
        <w:rPr>
          <w:rFonts w:asciiTheme="minorHAnsi" w:hAnsiTheme="minorHAnsi" w:cstheme="minorHAnsi"/>
          <w:color w:val="000000" w:themeColor="text1"/>
        </w:rPr>
        <w:t xml:space="preserve"> a</w:t>
      </w:r>
      <w:r w:rsidR="003E2102" w:rsidRPr="00CA4ABC">
        <w:rPr>
          <w:rFonts w:asciiTheme="minorHAnsi" w:hAnsiTheme="minorHAnsi" w:cstheme="minorHAnsi"/>
          <w:color w:val="000000" w:themeColor="text1"/>
        </w:rPr>
        <w:t xml:space="preserve"> target for the full trial. They</w:t>
      </w:r>
      <w:r w:rsidR="007D3229" w:rsidRPr="00CA4ABC">
        <w:rPr>
          <w:rFonts w:asciiTheme="minorHAnsi" w:hAnsiTheme="minorHAnsi" w:cstheme="minorHAnsi"/>
          <w:color w:val="000000" w:themeColor="text1"/>
        </w:rPr>
        <w:t xml:space="preserve"> stated that the timetable of the classes w</w:t>
      </w:r>
      <w:r w:rsidR="00020548" w:rsidRPr="00CA4ABC">
        <w:rPr>
          <w:rFonts w:asciiTheme="minorHAnsi" w:hAnsiTheme="minorHAnsi" w:cstheme="minorHAnsi"/>
          <w:color w:val="000000" w:themeColor="text1"/>
        </w:rPr>
        <w:t>as</w:t>
      </w:r>
      <w:r w:rsidR="007D3229" w:rsidRPr="00CA4ABC">
        <w:rPr>
          <w:rFonts w:asciiTheme="minorHAnsi" w:hAnsiTheme="minorHAnsi" w:cstheme="minorHAnsi"/>
          <w:color w:val="000000" w:themeColor="text1"/>
        </w:rPr>
        <w:t xml:space="preserve"> their biggest barrier to engagement. They wanted to </w:t>
      </w:r>
      <w:r w:rsidR="00CF77CD">
        <w:rPr>
          <w:rFonts w:asciiTheme="minorHAnsi" w:hAnsiTheme="minorHAnsi" w:cstheme="minorHAnsi"/>
          <w:color w:val="000000" w:themeColor="text1"/>
        </w:rPr>
        <w:t>attend live classes but could not attend the available sessions</w:t>
      </w:r>
      <w:r w:rsidR="007D3229" w:rsidRPr="00CA4ABC">
        <w:rPr>
          <w:rFonts w:asciiTheme="minorHAnsi" w:hAnsiTheme="minorHAnsi" w:cstheme="minorHAnsi"/>
          <w:color w:val="000000" w:themeColor="text1"/>
        </w:rPr>
        <w:t xml:space="preserve">. Thinking about live class timetabling that would fit optimally into the </w:t>
      </w:r>
      <w:r w:rsidR="00CF77CD">
        <w:rPr>
          <w:rFonts w:asciiTheme="minorHAnsi" w:hAnsiTheme="minorHAnsi" w:cstheme="minorHAnsi"/>
          <w:color w:val="000000" w:themeColor="text1"/>
        </w:rPr>
        <w:t>participants' lifestyles</w:t>
      </w:r>
      <w:r w:rsidR="007D3229" w:rsidRPr="00CA4ABC">
        <w:rPr>
          <w:rFonts w:asciiTheme="minorHAnsi" w:hAnsiTheme="minorHAnsi" w:cstheme="minorHAnsi"/>
          <w:color w:val="000000" w:themeColor="text1"/>
        </w:rPr>
        <w:t xml:space="preserve"> should be a consideration. Factors </w:t>
      </w:r>
      <w:r w:rsidR="00020548" w:rsidRPr="00CA4ABC">
        <w:rPr>
          <w:rFonts w:asciiTheme="minorHAnsi" w:hAnsiTheme="minorHAnsi" w:cstheme="minorHAnsi"/>
          <w:color w:val="000000" w:themeColor="text1"/>
        </w:rPr>
        <w:t>to account for</w:t>
      </w:r>
      <w:r w:rsidR="007D3229" w:rsidRPr="00CA4ABC">
        <w:rPr>
          <w:rFonts w:asciiTheme="minorHAnsi" w:hAnsiTheme="minorHAnsi" w:cstheme="minorHAnsi"/>
          <w:color w:val="000000" w:themeColor="text1"/>
        </w:rPr>
        <w:t xml:space="preserve"> include: work schedules, household responsibilities and additional accountabilities such as </w:t>
      </w:r>
      <w:r w:rsidR="00020548" w:rsidRPr="00CA4ABC">
        <w:rPr>
          <w:rFonts w:asciiTheme="minorHAnsi" w:hAnsiTheme="minorHAnsi" w:cstheme="minorHAnsi"/>
          <w:color w:val="000000" w:themeColor="text1"/>
        </w:rPr>
        <w:t>caregiving</w:t>
      </w:r>
      <w:r w:rsidR="007D3229" w:rsidRPr="00CA4ABC">
        <w:rPr>
          <w:rFonts w:asciiTheme="minorHAnsi" w:hAnsiTheme="minorHAnsi" w:cstheme="minorHAnsi"/>
          <w:color w:val="000000" w:themeColor="text1"/>
        </w:rPr>
        <w:t xml:space="preserve"> </w:t>
      </w:r>
      <w:r w:rsidR="00120E7F" w:rsidRPr="00CA4ABC">
        <w:rPr>
          <w:rFonts w:asciiTheme="minorHAnsi" w:hAnsiTheme="minorHAnsi" w:cstheme="minorHAnsi"/>
          <w:color w:val="000000" w:themeColor="text1"/>
        </w:rPr>
        <w:fldChar w:fldCharType="begin" w:fldLock="1"/>
      </w:r>
      <w:r w:rsidR="00821D82">
        <w:rPr>
          <w:rFonts w:asciiTheme="minorHAnsi" w:hAnsiTheme="minorHAnsi" w:cstheme="minorHAnsi"/>
          <w:color w:val="000000" w:themeColor="text1"/>
        </w:rPr>
        <w:instrText>ADDIN CSL_CITATION {"citationItems":[{"id":"ITEM-1","itemData":{"DOI":"10.1007/s10433-021-00666-y","ISBN":"0123456789","abstract":"Disclosing socioeconomic differences in informal care provision is increasingly important in aging societies as it helps to identify the segments of the population that may need targeted support and the types of national investments to support family caregivers. This study examines the association between individual-level socioeconomic status and informal care provision within the household. We also examine the role of contextual factors, income inequality, and the generosity of social spending, to identify how macro-level socioeconomic resource structures shape individuals' provision of care to household members. We use pooled data from the Survey of Health, Ageing and Retirement in Europe (SHARE, waves 1, 2, 4, 5, 6) and the English Longitudinal Study of Ageing (ELSA, waves 2, 3, 4, 6, 7). Poisson regression multilevel models estimate the associations between household socioeconomic status (education, income, and wealth), and country socioeconomic resources (income inequality and social spending as a percentage of GDP), and the likelihood of older adults' informal care provision within the household. Results indicate that lower individual socioeconomic resources-education, income, and wealth-were associated with a higher incidence of older adults' informal care provision within the household. At the macro-level, income inequality was positively associated while social spending was negatively associated with older adults' care provision within the household. Our findings suggest that socioeconomically disadvantaged groups are more likely to provide informal care, which may reinforce socioeconomic inequalities. At the national level, more equitable resource distribution and social spending may reduce intensive family caregiving.","author":[{"dropping-particle":"","family":"Quashie","given":"Nekehia T","non-dropping-particle":"","parse-names":false,"suffix":""},{"dropping-particle":"","family":"Wagner","given":"Melanie","non-dropping-particle":"","parse-names":false,"suffix":""},{"dropping-particle":"","family":"Verbakel","given":"Ellen","non-dropping-particle":"","parse-names":false,"suffix":""},{"dropping-particle":"","family":"Deindl","given":"· Christian","non-dropping-particle":"","parse-names":false,"suffix":""}],"container-title":"European Journal of Ageing","id":"ITEM-1","issued":{"date-parts":[["2022"]]},"page":"621-632","title":"Socioeconomic differences in informal caregiving in Europe","type":"article-journal","volume":"19"},"uris":["http://www.mendeley.com/documents/?uuid=5cd1a583-ec98-3bd3-9584-d49eafc2ecc0"]}],"mendeley":{"formattedCitation":"(291)","plainTextFormattedCitation":"(291)","previouslyFormattedCitation":"(291)"},"properties":{"noteIndex":0},"schema":"https://github.com/citation-style-language/schema/raw/master/csl-citation.json"}</w:instrText>
      </w:r>
      <w:r w:rsidR="00120E7F" w:rsidRPr="00CA4ABC">
        <w:rPr>
          <w:rFonts w:asciiTheme="minorHAnsi" w:hAnsiTheme="minorHAnsi" w:cstheme="minorHAnsi"/>
          <w:color w:val="000000" w:themeColor="text1"/>
        </w:rPr>
        <w:fldChar w:fldCharType="separate"/>
      </w:r>
      <w:r w:rsidR="00FF0BCE" w:rsidRPr="00FF0BCE">
        <w:rPr>
          <w:rFonts w:asciiTheme="minorHAnsi" w:hAnsiTheme="minorHAnsi" w:cstheme="minorHAnsi"/>
          <w:noProof/>
          <w:color w:val="000000" w:themeColor="text1"/>
        </w:rPr>
        <w:t>(291)</w:t>
      </w:r>
      <w:r w:rsidR="00120E7F" w:rsidRPr="00CA4ABC">
        <w:rPr>
          <w:rFonts w:asciiTheme="minorHAnsi" w:hAnsiTheme="minorHAnsi" w:cstheme="minorHAnsi"/>
          <w:color w:val="000000" w:themeColor="text1"/>
        </w:rPr>
        <w:fldChar w:fldCharType="end"/>
      </w:r>
      <w:r w:rsidR="00120E7F" w:rsidRPr="00CA4ABC">
        <w:rPr>
          <w:rFonts w:asciiTheme="minorHAnsi" w:hAnsiTheme="minorHAnsi" w:cstheme="minorHAnsi"/>
          <w:color w:val="000000" w:themeColor="text1"/>
        </w:rPr>
        <w:t xml:space="preserve">. </w:t>
      </w:r>
      <w:r w:rsidR="00CE0F29" w:rsidRPr="00CA4ABC">
        <w:rPr>
          <w:rFonts w:asciiTheme="minorHAnsi" w:hAnsiTheme="minorHAnsi" w:cstheme="minorHAnsi"/>
          <w:color w:val="000000" w:themeColor="text1"/>
        </w:rPr>
        <w:t xml:space="preserve">Systematic review findings also document that adherence to exercise programs are strongly influenced by personal factors, including </w:t>
      </w:r>
      <w:r w:rsidR="00120E7F" w:rsidRPr="00CA4ABC">
        <w:rPr>
          <w:rFonts w:asciiTheme="minorHAnsi" w:hAnsiTheme="minorHAnsi" w:cstheme="minorHAnsi"/>
          <w:color w:val="000000" w:themeColor="text1"/>
        </w:rPr>
        <w:t>demographic</w:t>
      </w:r>
      <w:r w:rsidR="00CE0F29" w:rsidRPr="00CA4ABC">
        <w:rPr>
          <w:rFonts w:asciiTheme="minorHAnsi" w:hAnsiTheme="minorHAnsi" w:cstheme="minorHAnsi"/>
          <w:color w:val="000000" w:themeColor="text1"/>
        </w:rPr>
        <w:t xml:space="preserve">, health status, physical and psychological factors </w:t>
      </w:r>
      <w:r w:rsidR="00CE0F29" w:rsidRPr="00CA4ABC">
        <w:rPr>
          <w:rFonts w:asciiTheme="minorHAnsi" w:hAnsiTheme="minorHAnsi" w:cstheme="minorHAnsi"/>
          <w:color w:val="000000" w:themeColor="text1"/>
        </w:rPr>
        <w:fldChar w:fldCharType="begin" w:fldLock="1"/>
      </w:r>
      <w:r w:rsidR="00821D82">
        <w:rPr>
          <w:rFonts w:asciiTheme="minorHAnsi" w:hAnsiTheme="minorHAnsi" w:cstheme="minorHAnsi"/>
          <w:color w:val="000000" w:themeColor="text1"/>
        </w:rPr>
        <w:instrText>ADDIN CSL_CITATION {"citationItems":[{"id":"ITEM-1","itemData":{"DOI":"10.1016/j.jphys.2014.06.012","ISSN":"18369561","abstract":"Question: How has adherence been measured in recent prospective studies focusing on adherence to exercise programs among older people? What is the range of adherence rates? Which factors are associated with better adherence? Design: Systematic review of prospective studies that had a primary aim of assessing adherence to exercise programs. Participants: Older people undertaking exercise programs. Intervention: Exercise programs. Outcome measures: Measures of adherence, adherence rates and factors associated with adherence. Results: Nine eligible papers were identified. The most common adherence measures were the proportion of participants completing exercise programs (ie, did not cease participation, four studies, range 65 to 86%), proportion of available sessions attended (five studies, range 58 to 77%) and average number of home exercise sessions completed per week (two studies, range 1.5 to 3 times per week). Adherence rates were generally higher in supervised programs. The person-level factors associated with better adherence included: demographic factors (higher socioeconomic status, living alone); health status (fewer health conditions, better self-rated health, taking fewer medications); physical factors (better physical abilities); and psychological factors (better cognitive ability, fewer depressive symptoms). Conclusion: Older people's adherence to exercise programs is most commonly measured with dropout and attendance rates and is associated with a range of program and personal factors. © 2014.","author":[{"dropping-particle":"","family":"Picorelli","given":"Alexandra Miranda Assumpção","non-dropping-particle":"","parse-names":false,"suffix":""},{"dropping-particle":"","family":"Pereira","given":"Leani Souza Máximo","non-dropping-particle":"","parse-names":false,"suffix":""},{"dropping-particle":"","family":"Pereira","given":"Daniele Sirineu","non-dropping-particle":"","parse-names":false,"suffix":""},{"dropping-particle":"","family":"Felício","given":"Diogo","non-dropping-particle":"","parse-names":false,"suffix":""},{"dropping-particle":"","family":"Sherrington","given":"Catherine","non-dropping-particle":"","parse-names":false,"suffix":""}],"container-title":"Journal of Physiotherapy","id":"ITEM-1","issue":"3","issued":{"date-parts":[["2014"]]},"page":"151-156","publisher":"Australian Physiotherapy Association","title":"Adherence to exercise programs for older people is influenced by program characteristics and personal factors: A systematic review","type":"article-journal","volume":"60"},"uris":["http://www.mendeley.com/documents/?uuid=437ba679-b98a-35f7-8319-241cbbb6b546"]}],"mendeley":{"formattedCitation":"(292)","plainTextFormattedCitation":"(292)","previouslyFormattedCitation":"(292)"},"properties":{"noteIndex":0},"schema":"https://github.com/citation-style-language/schema/raw/master/csl-citation.json"}</w:instrText>
      </w:r>
      <w:r w:rsidR="00CE0F29" w:rsidRPr="00CA4ABC">
        <w:rPr>
          <w:rFonts w:asciiTheme="minorHAnsi" w:hAnsiTheme="minorHAnsi" w:cstheme="minorHAnsi"/>
          <w:color w:val="000000" w:themeColor="text1"/>
        </w:rPr>
        <w:fldChar w:fldCharType="separate"/>
      </w:r>
      <w:r w:rsidR="00FF0BCE" w:rsidRPr="00FF0BCE">
        <w:rPr>
          <w:rFonts w:asciiTheme="minorHAnsi" w:hAnsiTheme="minorHAnsi" w:cstheme="minorHAnsi"/>
          <w:noProof/>
          <w:color w:val="000000" w:themeColor="text1"/>
        </w:rPr>
        <w:t>(292)</w:t>
      </w:r>
      <w:r w:rsidR="00CE0F29" w:rsidRPr="00CA4ABC">
        <w:rPr>
          <w:rFonts w:asciiTheme="minorHAnsi" w:hAnsiTheme="minorHAnsi" w:cstheme="minorHAnsi"/>
          <w:color w:val="000000" w:themeColor="text1"/>
        </w:rPr>
        <w:fldChar w:fldCharType="end"/>
      </w:r>
      <w:r w:rsidR="00CE0F29" w:rsidRPr="00CA4ABC">
        <w:rPr>
          <w:rFonts w:asciiTheme="minorHAnsi" w:hAnsiTheme="minorHAnsi" w:cstheme="minorHAnsi"/>
          <w:color w:val="000000" w:themeColor="text1"/>
        </w:rPr>
        <w:t>, emphasising that these</w:t>
      </w:r>
      <w:r w:rsidR="00020548" w:rsidRPr="00CA4ABC">
        <w:rPr>
          <w:rFonts w:asciiTheme="minorHAnsi" w:hAnsiTheme="minorHAnsi" w:cstheme="minorHAnsi"/>
          <w:color w:val="000000" w:themeColor="text1"/>
        </w:rPr>
        <w:t xml:space="preserve"> also</w:t>
      </w:r>
      <w:r w:rsidR="00CE0F29" w:rsidRPr="00CA4ABC">
        <w:rPr>
          <w:rFonts w:asciiTheme="minorHAnsi" w:hAnsiTheme="minorHAnsi" w:cstheme="minorHAnsi"/>
          <w:color w:val="000000" w:themeColor="text1"/>
        </w:rPr>
        <w:t xml:space="preserve"> require </w:t>
      </w:r>
      <w:r w:rsidR="00020548" w:rsidRPr="00CA4ABC">
        <w:rPr>
          <w:rFonts w:asciiTheme="minorHAnsi" w:hAnsiTheme="minorHAnsi" w:cstheme="minorHAnsi"/>
          <w:color w:val="000000" w:themeColor="text1"/>
        </w:rPr>
        <w:t>attention</w:t>
      </w:r>
      <w:r w:rsidR="00CE0F29" w:rsidRPr="00CA4ABC">
        <w:rPr>
          <w:rFonts w:asciiTheme="minorHAnsi" w:hAnsiTheme="minorHAnsi" w:cstheme="minorHAnsi"/>
          <w:color w:val="000000" w:themeColor="text1"/>
        </w:rPr>
        <w:t xml:space="preserve">. </w:t>
      </w:r>
    </w:p>
    <w:p w14:paraId="6E4A1920" w14:textId="09156073" w:rsidR="004C12CF" w:rsidRPr="00CA4ABC" w:rsidRDefault="00020548" w:rsidP="004053D7">
      <w:pPr>
        <w:spacing w:line="360" w:lineRule="auto"/>
        <w:rPr>
          <w:rFonts w:cstheme="minorHAnsi"/>
          <w:color w:val="000000" w:themeColor="text1"/>
        </w:rPr>
      </w:pPr>
      <w:r w:rsidRPr="00CA4ABC">
        <w:rPr>
          <w:rFonts w:cstheme="minorHAnsi"/>
          <w:color w:val="000000" w:themeColor="text1"/>
        </w:rPr>
        <w:t>S</w:t>
      </w:r>
      <w:r w:rsidR="00B06ED4" w:rsidRPr="00CA4ABC">
        <w:rPr>
          <w:rFonts w:cstheme="minorHAnsi"/>
          <w:color w:val="000000" w:themeColor="text1"/>
        </w:rPr>
        <w:t>mall participant numbers were obtained for this feasibility trial</w:t>
      </w:r>
      <w:r w:rsidRPr="00CA4ABC">
        <w:rPr>
          <w:rFonts w:cstheme="minorHAnsi"/>
          <w:color w:val="000000" w:themeColor="text1"/>
        </w:rPr>
        <w:t>. However,</w:t>
      </w:r>
      <w:r w:rsidR="00B06ED4" w:rsidRPr="00CA4ABC">
        <w:rPr>
          <w:rFonts w:cstheme="minorHAnsi"/>
          <w:color w:val="000000" w:themeColor="text1"/>
        </w:rPr>
        <w:t xml:space="preserve"> these were in line with recruitment targets (table 25.) </w:t>
      </w:r>
      <w:r w:rsidR="004C12CF" w:rsidRPr="00CA4ABC">
        <w:rPr>
          <w:rFonts w:cstheme="minorHAnsi"/>
          <w:color w:val="000000" w:themeColor="text1"/>
        </w:rPr>
        <w:t xml:space="preserve">Rolling this out to a </w:t>
      </w:r>
      <w:r w:rsidR="007E7C66" w:rsidRPr="00CA4ABC">
        <w:rPr>
          <w:rFonts w:cstheme="minorHAnsi"/>
          <w:color w:val="000000" w:themeColor="text1"/>
        </w:rPr>
        <w:t>larger scale</w:t>
      </w:r>
      <w:r w:rsidR="004C12CF" w:rsidRPr="00CA4ABC">
        <w:rPr>
          <w:rFonts w:cstheme="minorHAnsi"/>
          <w:color w:val="000000" w:themeColor="text1"/>
        </w:rPr>
        <w:t xml:space="preserve"> trial, power </w:t>
      </w:r>
      <w:r w:rsidR="004C12CF" w:rsidRPr="00CA4ABC">
        <w:rPr>
          <w:rFonts w:cstheme="minorHAnsi"/>
          <w:color w:val="000000" w:themeColor="text1"/>
        </w:rPr>
        <w:lastRenderedPageBreak/>
        <w:t>calculations are necessary.</w:t>
      </w:r>
      <w:r w:rsidR="00D656B1">
        <w:rPr>
          <w:rFonts w:cstheme="minorHAnsi"/>
          <w:color w:val="000000" w:themeColor="text1"/>
        </w:rPr>
        <w:t xml:space="preserve"> </w:t>
      </w:r>
      <w:r w:rsidR="004C12CF" w:rsidRPr="00CA4ABC">
        <w:rPr>
          <w:rFonts w:cstheme="minorHAnsi"/>
          <w:color w:val="000000" w:themeColor="text1"/>
        </w:rPr>
        <w:t xml:space="preserve">Based on guidance </w:t>
      </w:r>
      <w:r w:rsidRPr="00CA4ABC">
        <w:rPr>
          <w:rFonts w:cstheme="minorHAnsi"/>
          <w:color w:val="000000" w:themeColor="text1"/>
        </w:rPr>
        <w:t xml:space="preserve">for exercise training studies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{"citationItems":[{"id":"ITEM-1","itemData":{"DOI":"10.3389/FPHYS.2018.01007","ISSN":"1664042X","PMID":"30140237","abstract":"Randomized controlled trials (RCTs) can be regarded as gold standard in investigating dose-response and causal relationships in exercise science. Recommendations for exercise training routines and efficacy analyses of certain training regimen require valid data derived from robust RCTs. Moreover, meta-analyses rely on RCTs and both RCTs and meta-analyses are considered the highest level of scientific evidence. Beyond general study design a variety of methodological aspects and notable pitfalls has to be considered. Therefore, exercise training studies should be carefully constructed focusing on the consistency of the whole design \"package\" from an explicit hypothesis or research question over study design and methodology to data analysis and interpretation. The present scoping review covers all main aspects of planning, conducting, and analyzing exercise based RCTs. We aim to focus on relevant aspects regarding study design, statistical power, training planning and documentation as well as traditional and recent statistical approaches. We intend to provide a comprehensive hands-on paper for conceptualizing future exercise training studies and hope to stimulate and encourage researchers to conduct sound and valid RCTs in the field of exercise training.","author":[{"dropping-particle":"","family":"Hecksteden","given":"Anne","non-dropping-particle":"","parse-names":false,"suffix":""},{"dropping-particle":"","family":"Faude","given":"Oliver","non-dropping-particle":"","parse-names":false,"suffix":""},{"dropping-particle":"","family":"Meyer","given":"Tim","non-dropping-particle":"","parse-names":false,"suffix":""},{"dropping-particle":"","family":"Donath","given":"Lars","non-dropping-particle":"","parse-names":false,"suffix":""}],"container-title":"Frontiers in Physiology","id":"ITEM-1","issue":"JUL","issued":{"date-parts":[["2018","7","26"]]},"publisher":"Frontiers Media SA","title":"How to Construct, Conduct and Analyze an Exercise Training Study?","type":"article-journal","volume":"9"},"uris":["http://www.mendeley.com/documents/?uuid=b253a93b-e6ab-36f1-a54b-7f983d64ef3f"]}],"mendeley":{"formattedCitation":"(293)","plainTextFormattedCitation":"(293)","previouslyFormattedCitation":"(293)"},"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(293)</w:t>
      </w:r>
      <w:r w:rsidR="004C12CF" w:rsidRPr="00CA4ABC">
        <w:rPr>
          <w:rFonts w:cstheme="minorHAnsi"/>
          <w:color w:val="000000" w:themeColor="text1"/>
        </w:rPr>
        <w:fldChar w:fldCharType="end"/>
      </w:r>
      <w:r w:rsidR="004C12CF" w:rsidRPr="00CA4ABC">
        <w:rPr>
          <w:rFonts w:cstheme="minorHAnsi"/>
          <w:color w:val="000000" w:themeColor="text1"/>
        </w:rPr>
        <w:t xml:space="preserve"> it is important to address the following considerations a priori: </w:t>
      </w:r>
      <w:r w:rsidR="008801BC" w:rsidRPr="00CA4ABC">
        <w:rPr>
          <w:rFonts w:cstheme="minorHAnsi"/>
          <w:color w:val="000000" w:themeColor="text1"/>
        </w:rPr>
        <w:t>t</w:t>
      </w:r>
      <w:r w:rsidR="004C12CF" w:rsidRPr="00CA4ABC">
        <w:rPr>
          <w:rFonts w:cstheme="minorHAnsi"/>
          <w:color w:val="000000" w:themeColor="text1"/>
          <w:shd w:val="clear" w:color="auto" w:fill="FFFFFF"/>
        </w:rPr>
        <w:t xml:space="preserve">he number of </w:t>
      </w:r>
      <w:r w:rsidR="00CF77CD">
        <w:rPr>
          <w:rFonts w:cstheme="minorHAnsi"/>
          <w:color w:val="000000" w:themeColor="text1"/>
          <w:shd w:val="clear" w:color="auto" w:fill="FFFFFF"/>
        </w:rPr>
        <w:t>primary</w:t>
      </w:r>
      <w:r w:rsidR="004C12CF" w:rsidRPr="00CA4ABC">
        <w:rPr>
          <w:rFonts w:cstheme="minorHAnsi"/>
          <w:color w:val="000000" w:themeColor="text1"/>
          <w:shd w:val="clear" w:color="auto" w:fill="FFFFFF"/>
        </w:rPr>
        <w:t xml:space="preserve"> outcomes, the smallest clinically or practically worthwhile effect, types I and II error rates, the baseline variability of the </w:t>
      </w:r>
      <w:r w:rsidR="00053748">
        <w:rPr>
          <w:rFonts w:cstheme="minorHAnsi"/>
          <w:color w:val="000000" w:themeColor="text1"/>
          <w:shd w:val="clear" w:color="auto" w:fill="FFFFFF"/>
        </w:rPr>
        <w:t>primary</w:t>
      </w:r>
      <w:r w:rsidR="004C12CF" w:rsidRPr="00CA4ABC">
        <w:rPr>
          <w:rFonts w:cstheme="minorHAnsi"/>
          <w:color w:val="000000" w:themeColor="text1"/>
          <w:shd w:val="clear" w:color="auto" w:fill="FFFFFF"/>
        </w:rPr>
        <w:t xml:space="preserve"> outcome parameter as </w:t>
      </w:r>
      <w:r w:rsidR="00000C86" w:rsidRPr="00CA4ABC">
        <w:rPr>
          <w:rFonts w:cstheme="minorHAnsi"/>
          <w:color w:val="000000" w:themeColor="text1"/>
          <w:shd w:val="clear" w:color="auto" w:fill="FFFFFF"/>
        </w:rPr>
        <w:t xml:space="preserve">and </w:t>
      </w:r>
      <w:r w:rsidR="004C12CF" w:rsidRPr="00CA4ABC">
        <w:rPr>
          <w:rFonts w:cstheme="minorHAnsi"/>
          <w:color w:val="000000" w:themeColor="text1"/>
          <w:shd w:val="clear" w:color="auto" w:fill="FFFFFF"/>
        </w:rPr>
        <w:t xml:space="preserve">the statistical approach for data analysis </w:t>
      </w:r>
      <w:r w:rsidR="004C12CF"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{"citationItems":[{"id":"ITEM-1","itemData":{"DOI":"10.1016/J.PTSP.2005.05.004","ISSN":"1466-853X","abstract":"Background: An explicit justification of sample size is now mandatory for most proposals submitted to funding bodies, ethics committees and, increasingly, for articles submitted for publication in journals. However, the process of sample size estimation is often confusing. Aim: Here, we present a primer of sample size estimation in an attempt to demystify the process. Method: First, we present a discussion of the parameters involved in power analysis and sample size estimation. These include the smallest worthwhile effect to be detected, the Types I and II error rates, and the variability in the outcome measure. Secondly, through a simplified, example 'dialogue', we illustrate the decision-making process involved in assigning appropriate parameter values to arrive at a ballpark figure for required sample size. We adopt a hypothetical, parallel-group, randomized trial design, though the general principles and concepts are transferable to other designs. The illustration is based on a traditional, power-analytic, null hypothesis-testing framework. In brief, we also address sample size estimation methods based on the required precision of the mean effect estimate. Conclusion: Rigorous sample size planning is important. Researchers should be honest and explicit regarding the decisions made for each of the parameters involved in sample size estimation. © 2005 Elsevier Ltd. All rights reserved.","author":[{"dropping-particle":"","family":"Batterham","given":"Alan M.","non-dropping-particle":"","parse-names":false,"suffix":""},{"dropping-particle":"","family":"Atkinson","given":"Greg","non-dropping-particle":"","parse-names":false,"suffix":""}],"container-title":"Physical Therapy in Sport","id":"ITEM-1","issue":"3","issued":{"date-parts":[["2005","8","1"]]},"page":"153-163","publisher":"Churchill Livingstone","title":"How big does my sample need to be? A primer on the murky world of sample size estimation","type":"article-journal","volume":"6"},"uris":["http://www.mendeley.com/documents/?uuid=b1f3981b-8acc-3e2c-ab5c-cf4c6ffcb4be"]}],"mendeley":{"formattedCitation":"(294)","plainTextFormattedCitation":"(294)","previouslyFormattedCitation":"(294)"},"properties":{"noteIndex":0},"schema":"https://github.com/citation-style-language/schema/raw/master/csl-citation.json"}</w:instrText>
      </w:r>
      <w:r w:rsidR="004C12CF"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(294)</w:t>
      </w:r>
      <w:r w:rsidR="004C12CF" w:rsidRPr="00CA4ABC">
        <w:rPr>
          <w:rFonts w:cstheme="minorHAnsi"/>
          <w:color w:val="000000" w:themeColor="text1"/>
          <w:shd w:val="clear" w:color="auto" w:fill="FFFFFF"/>
        </w:rPr>
        <w:fldChar w:fldCharType="end"/>
      </w:r>
      <w:r w:rsidR="004C12CF" w:rsidRPr="00CA4ABC">
        <w:rPr>
          <w:rFonts w:cstheme="minorHAnsi"/>
          <w:color w:val="000000" w:themeColor="text1"/>
          <w:shd w:val="clear" w:color="auto" w:fill="FFFFFF"/>
        </w:rPr>
        <w:t>.</w:t>
      </w:r>
      <w:r w:rsidR="00D656B1">
        <w:rPr>
          <w:rFonts w:cstheme="minorHAnsi"/>
          <w:color w:val="000000" w:themeColor="text1"/>
          <w:shd w:val="clear" w:color="auto" w:fill="FFFFFF"/>
        </w:rPr>
        <w:t xml:space="preserve"> </w:t>
      </w:r>
      <w:r w:rsidR="00EA28AA" w:rsidRPr="00CA4ABC">
        <w:rPr>
          <w:rFonts w:cstheme="minorHAnsi"/>
          <w:color w:val="000000" w:themeColor="text1"/>
        </w:rPr>
        <w:t>It is</w:t>
      </w:r>
      <w:r w:rsidR="00784C10" w:rsidRPr="00CA4ABC">
        <w:rPr>
          <w:rFonts w:cstheme="minorHAnsi"/>
          <w:color w:val="000000" w:themeColor="text1"/>
        </w:rPr>
        <w:t xml:space="preserve"> </w:t>
      </w:r>
      <w:r w:rsidR="004C12CF" w:rsidRPr="00CA4ABC">
        <w:rPr>
          <w:rFonts w:cstheme="minorHAnsi"/>
          <w:color w:val="000000" w:themeColor="text1"/>
        </w:rPr>
        <w:t xml:space="preserve">also </w:t>
      </w:r>
      <w:r w:rsidR="00784C10" w:rsidRPr="00CA4ABC">
        <w:rPr>
          <w:rFonts w:cstheme="minorHAnsi"/>
          <w:color w:val="000000" w:themeColor="text1"/>
        </w:rPr>
        <w:t xml:space="preserve">important </w:t>
      </w:r>
      <w:r w:rsidR="004C12CF" w:rsidRPr="00CA4ABC">
        <w:rPr>
          <w:rFonts w:cstheme="minorHAnsi"/>
          <w:color w:val="000000" w:themeColor="text1"/>
        </w:rPr>
        <w:t xml:space="preserve">to ensure </w:t>
      </w:r>
      <w:r w:rsidRPr="00CA4ABC">
        <w:rPr>
          <w:rFonts w:cstheme="minorHAnsi"/>
          <w:color w:val="000000" w:themeColor="text1"/>
        </w:rPr>
        <w:t xml:space="preserve">that </w:t>
      </w:r>
      <w:r w:rsidR="00000C86" w:rsidRPr="00CA4ABC">
        <w:rPr>
          <w:rFonts w:cstheme="minorHAnsi"/>
          <w:color w:val="000000" w:themeColor="text1"/>
        </w:rPr>
        <w:t xml:space="preserve">the </w:t>
      </w:r>
      <w:r w:rsidR="00053748">
        <w:rPr>
          <w:rFonts w:cstheme="minorHAnsi"/>
          <w:color w:val="000000" w:themeColor="text1"/>
        </w:rPr>
        <w:t>trial's eligibility criteria reflect</w:t>
      </w:r>
      <w:r w:rsidR="004C12CF" w:rsidRPr="00CA4ABC">
        <w:rPr>
          <w:rFonts w:cstheme="minorHAnsi"/>
          <w:color w:val="000000" w:themeColor="text1"/>
        </w:rPr>
        <w:t xml:space="preserve"> those who could benefit from the intervention. </w:t>
      </w:r>
      <w:r w:rsidR="007E7C66" w:rsidRPr="00CA4ABC">
        <w:rPr>
          <w:rFonts w:cstheme="minorHAnsi"/>
          <w:color w:val="000000" w:themeColor="text1"/>
        </w:rPr>
        <w:t>Furthermore, a</w:t>
      </w:r>
      <w:r w:rsidR="004C12CF" w:rsidRPr="00CA4ABC">
        <w:rPr>
          <w:rFonts w:cstheme="minorHAnsi"/>
          <w:color w:val="000000" w:themeColor="text1"/>
        </w:rPr>
        <w:t xml:space="preserve">s outlined in theme 3, participants in this feasibility trial were motivated and already health-conscious. This likely enhanced their commitment to the trial and </w:t>
      </w:r>
      <w:r w:rsidR="003F1723" w:rsidRPr="00CA4ABC">
        <w:rPr>
          <w:rFonts w:cstheme="minorHAnsi"/>
          <w:color w:val="000000" w:themeColor="text1"/>
        </w:rPr>
        <w:t>led to</w:t>
      </w:r>
      <w:r w:rsidR="004C12CF" w:rsidRPr="00CA4ABC">
        <w:rPr>
          <w:rFonts w:cstheme="minorHAnsi"/>
          <w:color w:val="000000" w:themeColor="text1"/>
        </w:rPr>
        <w:t xml:space="preserve"> </w:t>
      </w:r>
      <w:r w:rsidR="00000C86" w:rsidRPr="00CA4ABC">
        <w:rPr>
          <w:rFonts w:cstheme="minorHAnsi"/>
          <w:color w:val="000000" w:themeColor="text1"/>
        </w:rPr>
        <w:t>higher-than-average</w:t>
      </w:r>
      <w:r w:rsidR="003F1723" w:rsidRPr="00CA4ABC">
        <w:rPr>
          <w:rFonts w:cstheme="minorHAnsi"/>
          <w:color w:val="000000" w:themeColor="text1"/>
        </w:rPr>
        <w:t xml:space="preserve"> </w:t>
      </w:r>
      <w:r w:rsidR="004C12CF" w:rsidRPr="00CA4ABC">
        <w:rPr>
          <w:rFonts w:cstheme="minorHAnsi"/>
          <w:color w:val="000000" w:themeColor="text1"/>
        </w:rPr>
        <w:t>adherence rates to the intervention</w:t>
      </w:r>
      <w:r w:rsidR="00000C86" w:rsidRPr="00CA4ABC">
        <w:rPr>
          <w:rFonts w:cstheme="minorHAnsi"/>
          <w:color w:val="000000" w:themeColor="text1"/>
        </w:rPr>
        <w:t>s</w:t>
      </w:r>
      <w:r w:rsidR="004C12CF" w:rsidRPr="00CA4ABC">
        <w:rPr>
          <w:rFonts w:cstheme="minorHAnsi"/>
          <w:color w:val="000000" w:themeColor="text1"/>
        </w:rPr>
        <w:t>. This could introduce trial bias</w:t>
      </w:r>
      <w:r w:rsidR="00784C10" w:rsidRPr="00CA4ABC">
        <w:rPr>
          <w:rFonts w:cstheme="minorHAnsi"/>
          <w:color w:val="000000" w:themeColor="text1"/>
        </w:rPr>
        <w:t xml:space="preserve"> and impact</w:t>
      </w:r>
      <w:r w:rsidR="004C12CF" w:rsidRPr="00CA4ABC">
        <w:rPr>
          <w:rFonts w:cstheme="minorHAnsi"/>
          <w:color w:val="000000" w:themeColor="text1"/>
        </w:rPr>
        <w:t xml:space="preserve"> </w:t>
      </w:r>
      <w:r w:rsidR="00EF273A" w:rsidRPr="00CA4ABC">
        <w:rPr>
          <w:rFonts w:cstheme="minorHAnsi"/>
          <w:color w:val="000000" w:themeColor="text1"/>
        </w:rPr>
        <w:t xml:space="preserve">the </w:t>
      </w:r>
      <w:r w:rsidR="004C12CF" w:rsidRPr="00CA4ABC">
        <w:rPr>
          <w:rFonts w:cstheme="minorHAnsi"/>
          <w:color w:val="000000" w:themeColor="text1"/>
        </w:rPr>
        <w:t>generalisation of the results. Individuals from lower socio-economic backgrounds can be underrepresented in trials</w:t>
      </w:r>
      <w:r w:rsidR="00EF273A" w:rsidRPr="00CA4ABC">
        <w:rPr>
          <w:rFonts w:cstheme="minorHAnsi"/>
          <w:color w:val="000000" w:themeColor="text1"/>
        </w:rPr>
        <w:t>,</w:t>
      </w:r>
      <w:r w:rsidR="004C12CF" w:rsidRPr="00CA4ABC">
        <w:rPr>
          <w:rFonts w:cstheme="minorHAnsi"/>
          <w:color w:val="000000" w:themeColor="text1"/>
        </w:rPr>
        <w:t xml:space="preserve"> and </w:t>
      </w:r>
      <w:r w:rsidR="00EF273A" w:rsidRPr="00CA4ABC">
        <w:rPr>
          <w:rFonts w:cstheme="minorHAnsi"/>
          <w:color w:val="000000" w:themeColor="text1"/>
        </w:rPr>
        <w:t xml:space="preserve">a </w:t>
      </w:r>
      <w:r w:rsidR="008801BC" w:rsidRPr="00CA4ABC">
        <w:rPr>
          <w:rFonts w:cstheme="minorHAnsi"/>
          <w:color w:val="000000" w:themeColor="text1"/>
        </w:rPr>
        <w:t>f</w:t>
      </w:r>
      <w:r w:rsidR="004C12CF" w:rsidRPr="00CA4ABC">
        <w:rPr>
          <w:rFonts w:cstheme="minorHAnsi"/>
          <w:color w:val="000000" w:themeColor="text1"/>
        </w:rPr>
        <w:t xml:space="preserve">lexible recruitment strategy can aid with capturing a heterogenous population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{"citationItems":[{"id":"ITEM-1","itemData":{"DOI":"10.1093/PUBMED/FDY134","ISSN":"1741-3842","PMID":"30137402","abstract":"Background Issues surrounding gender and menfs health have become an increasing focus of public health globally. Unhealthy lifestyles and lower engagement in health promotion initiatives contributed to lower life expectancy and higher mortality rates among men. This study presents the pre-adoption characteristics of men who registered for eMen on the Movef.a community-based physical activity (CBPA) programme, to ascertain whether the programme reached its intended target group, i.e. eat-riskf adult men who did not meet physical activity (PA) guidelines and were likely to have multiple risk factors for cardiovascular disease (CVD). Methods Multiple recruitment strategies were adopted to engage the target group and baseline data collection included a range of demographic, self-report and outcome measures. Results The recruitment strategy succeeded in reaching the target group, with the majority (n = 927) presenting being previously inactive (89.0%), overweight/obese (89.7%) and having multiple CVD risk factors (53.1% ≥ 2 risk factors). However, the strategy was less successful in engaging ehard-to-reachf groups, with the majority being middle-aged, white, married/cohabiting, educated and employed. Conclusions A gender-sensitized, partnership and community outreach recruitment strategy can maximize the reach and recruitment of an eat-riskf cohort for CBPA initiatives, but more targeted approaches are needed to recruit marginalized groups of men.","author":[{"dropping-particle":"","family":"Kelly","given":"Liam","non-dropping-particle":"","parse-names":false,"suffix":""},{"dropping-particle":"","family":"Harrison","given":"Michael","non-dropping-particle":"","parse-names":false,"suffix":""},{"dropping-particle":"","family":"Richardson","given":"Noel","non-dropping-particle":"","parse-names":false,"suffix":""},{"dropping-particle":"","family":"Carroll","given":"Paula","non-dropping-particle":"","parse-names":false,"suffix":""},{"dropping-particle":"","family":"Robertson","given":"Steve","non-dropping-particle":"","parse-names":false,"suffix":""},{"dropping-particle":"","family":"Keohane","given":"Aisling","non-dropping-particle":"","parse-names":false,"suffix":""},{"dropping-particle":"","family":"Donohoe","given":"Alex","non-dropping-particle":"","parse-names":false,"suffix":""}],"container-title":"Journal of Public Health","id":"ITEM-1","issue":"2","issued":{"date-parts":[["2019","6","1"]]},"page":"e192-e202","publisher":"Oxford Academic","title":"Reaching beyond the ‘worried well’: pre-adoption characteristics of participants in ‘Men on the Move’, a community-based physical activity programme","type":"article-journal","volume":"41"},"uris":["http://www.mendeley.com/documents/?uuid=5b292613-eece-3f38-9cd6-f7bf530b8bd2"]}],"mendeley":{"formattedCitation":"(295)","plainTextFormattedCitation":"(295)","previouslyFormattedCitation":"(295)"},"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(295)</w:t>
      </w:r>
      <w:r w:rsidR="004C12CF" w:rsidRPr="00CA4ABC">
        <w:rPr>
          <w:rFonts w:cstheme="minorHAnsi"/>
          <w:color w:val="000000" w:themeColor="text1"/>
        </w:rPr>
        <w:fldChar w:fldCharType="end"/>
      </w:r>
      <w:r w:rsidR="004C12CF" w:rsidRPr="00CA4ABC">
        <w:rPr>
          <w:rFonts w:cstheme="minorHAnsi"/>
          <w:color w:val="000000" w:themeColor="text1"/>
        </w:rPr>
        <w:t>. Furthermore, to scale the trial up, it may be necessary that waves of cohorts are required, run</w:t>
      </w:r>
      <w:r w:rsidR="008801BC" w:rsidRPr="00CA4ABC">
        <w:rPr>
          <w:rFonts w:cstheme="minorHAnsi"/>
          <w:color w:val="000000" w:themeColor="text1"/>
        </w:rPr>
        <w:t>ning</w:t>
      </w:r>
      <w:r w:rsidR="004C12CF" w:rsidRPr="00CA4ABC">
        <w:rPr>
          <w:rFonts w:cstheme="minorHAnsi"/>
          <w:color w:val="000000" w:themeColor="text1"/>
        </w:rPr>
        <w:t xml:space="preserve"> on different </w:t>
      </w:r>
      <w:r w:rsidR="00EF273A" w:rsidRPr="00CA4ABC">
        <w:rPr>
          <w:rFonts w:cstheme="minorHAnsi"/>
          <w:color w:val="000000" w:themeColor="text1"/>
        </w:rPr>
        <w:t>time scales</w:t>
      </w:r>
      <w:r w:rsidR="004C12CF" w:rsidRPr="00CA4ABC">
        <w:rPr>
          <w:rFonts w:cstheme="minorHAnsi"/>
          <w:color w:val="000000" w:themeColor="text1"/>
        </w:rPr>
        <w:t xml:space="preserve"> or in parallel with one another. </w:t>
      </w:r>
      <w:r w:rsidR="00053748">
        <w:rPr>
          <w:rFonts w:cstheme="minorHAnsi"/>
          <w:color w:val="000000" w:themeColor="text1"/>
        </w:rPr>
        <w:t xml:space="preserve">Several instructors may likely be required to achieve this, </w:t>
      </w:r>
      <w:r w:rsidR="004C12CF" w:rsidRPr="00CA4ABC">
        <w:rPr>
          <w:rFonts w:cstheme="minorHAnsi"/>
          <w:color w:val="000000" w:themeColor="text1"/>
        </w:rPr>
        <w:t xml:space="preserve">and offering multiple timeslots to undertake the live workout sessions </w:t>
      </w:r>
      <w:r w:rsidR="00713BA4" w:rsidRPr="00CA4ABC">
        <w:rPr>
          <w:rFonts w:cstheme="minorHAnsi"/>
          <w:color w:val="000000" w:themeColor="text1"/>
        </w:rPr>
        <w:t xml:space="preserve">could </w:t>
      </w:r>
      <w:r w:rsidR="008801BC" w:rsidRPr="00CA4ABC">
        <w:rPr>
          <w:rFonts w:cstheme="minorHAnsi"/>
          <w:color w:val="000000" w:themeColor="text1"/>
        </w:rPr>
        <w:t xml:space="preserve">also </w:t>
      </w:r>
      <w:r w:rsidR="004C12CF" w:rsidRPr="00CA4ABC">
        <w:rPr>
          <w:rFonts w:cstheme="minorHAnsi"/>
          <w:color w:val="000000" w:themeColor="text1"/>
        </w:rPr>
        <w:t>benefit engagement.</w:t>
      </w:r>
    </w:p>
    <w:p w14:paraId="2BB2DE35" w14:textId="77777777" w:rsidR="004C12CF" w:rsidRPr="00CA4ABC" w:rsidRDefault="004C12CF" w:rsidP="004053D7">
      <w:pPr>
        <w:spacing w:line="360" w:lineRule="auto"/>
        <w:rPr>
          <w:rFonts w:cstheme="minorHAnsi"/>
          <w:color w:val="000000" w:themeColor="text1"/>
        </w:rPr>
      </w:pPr>
    </w:p>
    <w:p w14:paraId="08035B38" w14:textId="495830EB" w:rsidR="004C12CF" w:rsidRPr="00CA4ABC" w:rsidRDefault="00D656B1" w:rsidP="004053D7">
      <w:pPr>
        <w:spacing w:line="360" w:lineRule="auto"/>
        <w:rPr>
          <w:rFonts w:cstheme="minorHAnsi"/>
          <w:color w:val="000000" w:themeColor="text1"/>
        </w:rPr>
      </w:pPr>
      <w:r>
        <w:rPr>
          <w:rFonts w:cstheme="minorHAnsi"/>
          <w:color w:val="000000" w:themeColor="text1"/>
        </w:rPr>
        <w:t xml:space="preserve">Primary outcome measurements focused on the feasibility aspects of the trial. </w:t>
      </w:r>
      <w:r w:rsidR="00B23DCE">
        <w:rPr>
          <w:rFonts w:cstheme="minorHAnsi"/>
          <w:color w:val="000000" w:themeColor="text1"/>
        </w:rPr>
        <w:t>Consequentially, l</w:t>
      </w:r>
      <w:r>
        <w:rPr>
          <w:rFonts w:cstheme="minorHAnsi"/>
          <w:color w:val="000000" w:themeColor="text1"/>
        </w:rPr>
        <w:t xml:space="preserve">ower importance was placed on gauging the efficacy signal of the trial. Several factors also feed into making conclusions about efficacy more difficult, including the low participant numbers, </w:t>
      </w:r>
      <w:r w:rsidR="0001449D">
        <w:rPr>
          <w:rFonts w:cstheme="minorHAnsi"/>
          <w:color w:val="000000" w:themeColor="text1"/>
        </w:rPr>
        <w:t>particularly</w:t>
      </w:r>
      <w:r>
        <w:rPr>
          <w:rFonts w:cstheme="minorHAnsi"/>
          <w:color w:val="000000" w:themeColor="text1"/>
        </w:rPr>
        <w:t xml:space="preserve"> in each arm of the trial</w:t>
      </w:r>
      <w:r w:rsidR="0001449D">
        <w:rPr>
          <w:rFonts w:cstheme="minorHAnsi"/>
          <w:color w:val="000000" w:themeColor="text1"/>
        </w:rPr>
        <w:t xml:space="preserve">, meaning conducting accurate statistical calculations are limited </w:t>
      </w:r>
      <w:r w:rsidR="00F72DEB">
        <w:rPr>
          <w:rFonts w:cstheme="minorHAnsi"/>
          <w:color w:val="000000" w:themeColor="text1"/>
        </w:rPr>
        <w:t>and</w:t>
      </w:r>
      <w:r w:rsidR="0001449D">
        <w:rPr>
          <w:rFonts w:cstheme="minorHAnsi"/>
          <w:color w:val="000000" w:themeColor="text1"/>
        </w:rPr>
        <w:t xml:space="preserve"> caution should be paid to the outcomes documented in table 29. Moreover, the accuracy of some protocols was compromised to allow for the possibility of participants to repeat the measurement protocols at home in the event that further lockdown restrictions were announced. All of these factors will be addressed in future trials. Notwithstanding,</w:t>
      </w:r>
      <w:r>
        <w:rPr>
          <w:rFonts w:cstheme="minorHAnsi"/>
          <w:color w:val="000000" w:themeColor="text1"/>
        </w:rPr>
        <w:t xml:space="preserve"> </w:t>
      </w:r>
      <w:r w:rsidR="0001449D">
        <w:rPr>
          <w:rFonts w:cstheme="minorHAnsi"/>
          <w:color w:val="000000" w:themeColor="text1"/>
        </w:rPr>
        <w:t>t</w:t>
      </w:r>
      <w:r w:rsidR="004C12CF" w:rsidRPr="00CA4ABC">
        <w:rPr>
          <w:rFonts w:cstheme="minorHAnsi"/>
          <w:color w:val="000000" w:themeColor="text1"/>
        </w:rPr>
        <w:t xml:space="preserve">he participant’s reflection on muscle changes, </w:t>
      </w:r>
      <w:r w:rsidR="00053748">
        <w:rPr>
          <w:rFonts w:cstheme="minorHAnsi"/>
          <w:color w:val="000000" w:themeColor="text1"/>
        </w:rPr>
        <w:t>band resistance increases, and DOMS experiences</w:t>
      </w:r>
      <w:r w:rsidR="004C12CF" w:rsidRPr="00CA4ABC">
        <w:rPr>
          <w:rFonts w:cstheme="minorHAnsi"/>
          <w:color w:val="000000" w:themeColor="text1"/>
        </w:rPr>
        <w:t xml:space="preserve"> </w:t>
      </w:r>
      <w:r w:rsidR="00EF273A" w:rsidRPr="00CA4ABC">
        <w:rPr>
          <w:rFonts w:cstheme="minorHAnsi"/>
          <w:color w:val="000000" w:themeColor="text1"/>
        </w:rPr>
        <w:t>(</w:t>
      </w:r>
      <w:r w:rsidR="004C12CF" w:rsidRPr="00CA4ABC">
        <w:rPr>
          <w:rFonts w:cstheme="minorHAnsi"/>
          <w:color w:val="000000" w:themeColor="text1"/>
        </w:rPr>
        <w:t>theme 1</w:t>
      </w:r>
      <w:r w:rsidR="00EF273A" w:rsidRPr="00CA4ABC">
        <w:rPr>
          <w:rFonts w:cstheme="minorHAnsi"/>
          <w:color w:val="000000" w:themeColor="text1"/>
        </w:rPr>
        <w:t xml:space="preserve">) </w:t>
      </w:r>
      <w:r w:rsidR="004C12CF" w:rsidRPr="00CA4ABC">
        <w:rPr>
          <w:rFonts w:cstheme="minorHAnsi"/>
          <w:color w:val="000000" w:themeColor="text1"/>
        </w:rPr>
        <w:t>suggests that hypertrophy may have been achieved</w:t>
      </w:r>
      <w:r w:rsidR="00EF273A" w:rsidRPr="00CA4ABC">
        <w:rPr>
          <w:rFonts w:cstheme="minorHAnsi"/>
          <w:color w:val="000000" w:themeColor="text1"/>
        </w:rPr>
        <w:t>. This</w:t>
      </w:r>
      <w:r w:rsidR="004C12CF" w:rsidRPr="00CA4ABC">
        <w:rPr>
          <w:rFonts w:cstheme="minorHAnsi"/>
          <w:color w:val="000000" w:themeColor="text1"/>
        </w:rPr>
        <w:t xml:space="preserve"> offer</w:t>
      </w:r>
      <w:r w:rsidR="00EF273A" w:rsidRPr="00CA4ABC">
        <w:rPr>
          <w:rFonts w:cstheme="minorHAnsi"/>
          <w:color w:val="000000" w:themeColor="text1"/>
        </w:rPr>
        <w:t>s</w:t>
      </w:r>
      <w:r w:rsidR="004C12CF" w:rsidRPr="00CA4ABC">
        <w:rPr>
          <w:rFonts w:cstheme="minorHAnsi"/>
          <w:color w:val="000000" w:themeColor="text1"/>
        </w:rPr>
        <w:t xml:space="preserve"> support for the effectiveness of the intervention</w:t>
      </w:r>
      <w:r w:rsidR="00674232" w:rsidRPr="00CA4ABC">
        <w:rPr>
          <w:rFonts w:cstheme="minorHAnsi"/>
          <w:color w:val="000000" w:themeColor="text1"/>
        </w:rPr>
        <w:t>, but</w:t>
      </w:r>
      <w:r w:rsidR="0001449D">
        <w:rPr>
          <w:rFonts w:cstheme="minorHAnsi"/>
          <w:color w:val="000000" w:themeColor="text1"/>
        </w:rPr>
        <w:t xml:space="preserve"> needs quantifying</w:t>
      </w:r>
      <w:r w:rsidR="00674232" w:rsidRPr="00CA4ABC">
        <w:rPr>
          <w:rFonts w:cstheme="minorHAnsi"/>
          <w:color w:val="000000" w:themeColor="text1"/>
        </w:rPr>
        <w:t>. DOMS</w:t>
      </w:r>
      <w:r w:rsidR="004C12CF" w:rsidRPr="00CA4ABC">
        <w:rPr>
          <w:rFonts w:cstheme="minorHAnsi"/>
          <w:color w:val="000000" w:themeColor="text1"/>
        </w:rPr>
        <w:t xml:space="preserve"> are most common following unaccustomed physical activity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{"citationItems":[{"id":"ITEM-1","itemData":{"ISSN":"15300315","PMID":"6392811","abstract":"Delayed-onset muscular soreness (DOMS), the sensation of pain and stiffness in the muscles that occurs from 1 to 5 d following unaccustomed exercise, can adversely affect muscular performance, both from voluntary reduction of effort and from inherent loss of capacity of the muscles to produce force. This reduction in performance is temporary; permanent impairment does not occur. A number of clinical correlates are associated with DOMS, including elevations in plasma enzymes, myoglobinemia, and abnormal muscle histology and ultrastructure; exertional rhabdomyolysis appears to be the extreme form of DOMS. Presently, the best treatment for DOMS appears to be muscular activity, although the sensation again returns following the exercise. Training for the specific contractile activity that causes DOMS reduces the soreness response. The etiology and cellular mechanisms of DOMS are not known, but a number of hypotheses exist to explain the phenomenon. The following model may be proposed: 1) high tensions (particularly those associated with eccentric exercise) in the contractile/elastic system of the muscle result in structural damage; 2) cell membrane damage leads to disruption of Ca&lt;sup&gt;++&lt;/sup&gt; homeostasis in the injured fibers, resulting in necrosis that peaks about 2 d post-exercise; and 3) products of macrophage activity and intracellular contents accumulate in the interstitium, which in turn stimulate free nerve endings of group-IV sensory neurons in the muscles leading to the sensation of DOMS. © 1984 The American College of Sports Medicine.","author":[{"dropping-particle":"","family":"Armstrong","given":"R. B.","non-dropping-particle":"","parse-names":false,"suffix":""}],"container-title":"Medicine and Science in Sports and Exercise","id":"ITEM-1","issue":"6","issued":{"date-parts":[["1984"]]},"page":"529-538","title":"Mechanisms of exercise-induced delayed onset muscular soreness: A brief review","type":"article-journal","volume":"16"},"uris":["http://www.mendeley.com/documents/?uuid=8ade7c13-3bba-3f67-b670-3ecce45f66e5"]}],"mendeley":{"formattedCitation":"(296)","plainTextFormattedCitation":"(296)","previouslyFormattedCitation":"(296)"},"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(296)</w:t>
      </w:r>
      <w:r w:rsidR="004C12CF" w:rsidRPr="00CA4ABC">
        <w:rPr>
          <w:rFonts w:cstheme="minorHAnsi"/>
          <w:color w:val="000000" w:themeColor="text1"/>
        </w:rPr>
        <w:fldChar w:fldCharType="end"/>
      </w:r>
      <w:r w:rsidR="004C12CF" w:rsidRPr="00CA4ABC">
        <w:rPr>
          <w:rFonts w:cstheme="minorHAnsi"/>
          <w:color w:val="000000" w:themeColor="text1"/>
        </w:rPr>
        <w:t xml:space="preserve">, so </w:t>
      </w:r>
      <w:r w:rsidR="00053748">
        <w:rPr>
          <w:rFonts w:cstheme="minorHAnsi"/>
          <w:color w:val="000000" w:themeColor="text1"/>
        </w:rPr>
        <w:t xml:space="preserve">they </w:t>
      </w:r>
      <w:r w:rsidR="004C12CF" w:rsidRPr="00CA4ABC">
        <w:rPr>
          <w:rFonts w:cstheme="minorHAnsi"/>
          <w:color w:val="000000" w:themeColor="text1"/>
        </w:rPr>
        <w:t>may</w:t>
      </w:r>
      <w:r w:rsidR="00EF273A" w:rsidRPr="00CA4ABC">
        <w:rPr>
          <w:rFonts w:cstheme="minorHAnsi"/>
          <w:color w:val="000000" w:themeColor="text1"/>
        </w:rPr>
        <w:t xml:space="preserve"> </w:t>
      </w:r>
      <w:r w:rsidR="004C12CF" w:rsidRPr="00CA4ABC">
        <w:rPr>
          <w:rFonts w:cstheme="minorHAnsi"/>
          <w:color w:val="000000" w:themeColor="text1"/>
        </w:rPr>
        <w:t xml:space="preserve">be expected in this cohort. These were often reported to be experienced a day or two after the participant had completed an exercise session, as may be expected </w:t>
      </w:r>
      <w:r w:rsidR="00000C86" w:rsidRPr="00CA4ABC">
        <w:rPr>
          <w:rFonts w:cstheme="minorHAnsi"/>
          <w:color w:val="000000" w:themeColor="text1"/>
        </w:rPr>
        <w:t>based on the typical</w:t>
      </w:r>
      <w:r w:rsidR="004C12CF" w:rsidRPr="00CA4ABC">
        <w:rPr>
          <w:rFonts w:cstheme="minorHAnsi"/>
          <w:color w:val="000000" w:themeColor="text1"/>
        </w:rPr>
        <w:t xml:space="preserve"> timeline of DOMS</w:t>
      </w:r>
      <w:r w:rsidR="00EF273A" w:rsidRPr="00CA4ABC">
        <w:rPr>
          <w:rFonts w:cstheme="minorHAnsi"/>
          <w:color w:val="000000" w:themeColor="text1"/>
        </w:rPr>
        <w:t xml:space="preserve">. The </w:t>
      </w:r>
      <w:r w:rsidR="004C12CF" w:rsidRPr="00CA4ABC">
        <w:rPr>
          <w:rFonts w:cstheme="minorHAnsi"/>
          <w:color w:val="000000" w:themeColor="text1"/>
        </w:rPr>
        <w:t xml:space="preserve">ACSM states they </w:t>
      </w:r>
      <w:r w:rsidR="00000C86" w:rsidRPr="00CA4ABC">
        <w:rPr>
          <w:rFonts w:cstheme="minorHAnsi"/>
          <w:color w:val="000000" w:themeColor="text1"/>
        </w:rPr>
        <w:t>occur</w:t>
      </w:r>
      <w:r w:rsidR="004C12CF" w:rsidRPr="00CA4ABC">
        <w:rPr>
          <w:rFonts w:cstheme="minorHAnsi"/>
          <w:color w:val="000000" w:themeColor="text1"/>
        </w:rPr>
        <w:t xml:space="preserve"> 12-24 hour post-workout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{"citationItems":[{"id":"ITEM-1","itemData":{"id":"ITEM-1","issued":{"date-parts":[["2011"]]},"title":"Delayed Onset Muscle Soreness (DOMS)","type":"article-journal"},"uris":["http://www.mendeley.com/documents/?uuid=6321c376-1d42-3aac-b917-b789f2fbbe41"]}],"mendeley":{"formattedCitation":"(297)","plainTextFormattedCitation":"(297)","previouslyFormattedCitation":"(297)"},"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(297)</w:t>
      </w:r>
      <w:r w:rsidR="004C12CF" w:rsidRPr="00CA4ABC">
        <w:rPr>
          <w:rFonts w:cstheme="minorHAnsi"/>
          <w:color w:val="000000" w:themeColor="text1"/>
        </w:rPr>
        <w:fldChar w:fldCharType="end"/>
      </w:r>
      <w:r w:rsidR="004C12CF" w:rsidRPr="00CA4ABC">
        <w:rPr>
          <w:rFonts w:cstheme="minorHAnsi"/>
          <w:color w:val="000000" w:themeColor="text1"/>
        </w:rPr>
        <w:t xml:space="preserve">. </w:t>
      </w:r>
    </w:p>
    <w:p w14:paraId="03CF1D28" w14:textId="77777777" w:rsidR="004C12CF" w:rsidRPr="00CA4ABC" w:rsidRDefault="004C12CF" w:rsidP="004053D7">
      <w:pPr>
        <w:spacing w:line="360" w:lineRule="auto"/>
        <w:rPr>
          <w:rFonts w:cstheme="minorHAnsi"/>
          <w:color w:val="000000" w:themeColor="text1"/>
        </w:rPr>
      </w:pPr>
    </w:p>
    <w:p w14:paraId="3B9E48A5" w14:textId="18F82735" w:rsidR="004C12CF" w:rsidRPr="00CA4ABC" w:rsidRDefault="008801BC" w:rsidP="004053D7">
      <w:pPr>
        <w:spacing w:line="360" w:lineRule="auto"/>
        <w:rPr>
          <w:rFonts w:cstheme="minorHAnsi"/>
          <w:color w:val="000000" w:themeColor="text1"/>
        </w:rPr>
      </w:pPr>
      <w:r w:rsidRPr="00CA4ABC">
        <w:rPr>
          <w:rFonts w:cstheme="minorHAnsi"/>
          <w:color w:val="000000" w:themeColor="text1"/>
        </w:rPr>
        <w:lastRenderedPageBreak/>
        <w:t>I</w:t>
      </w:r>
      <w:r w:rsidR="004C12CF" w:rsidRPr="00CA4ABC">
        <w:rPr>
          <w:rFonts w:cstheme="minorHAnsi"/>
          <w:color w:val="000000" w:themeColor="text1"/>
        </w:rPr>
        <w:t xml:space="preserve">mproving sedentary behaviours </w:t>
      </w:r>
      <w:r w:rsidR="00EF273A" w:rsidRPr="00CA4ABC">
        <w:rPr>
          <w:rFonts w:cstheme="minorHAnsi"/>
          <w:color w:val="000000" w:themeColor="text1"/>
        </w:rPr>
        <w:t>will</w:t>
      </w:r>
      <w:r w:rsidR="004C12CF" w:rsidRPr="00CA4ABC">
        <w:rPr>
          <w:rFonts w:cstheme="minorHAnsi"/>
          <w:color w:val="000000" w:themeColor="text1"/>
        </w:rPr>
        <w:t xml:space="preserve"> likely feed into a host of beneficial health outcomes. </w:t>
      </w:r>
      <w:r w:rsidR="00EF273A" w:rsidRPr="00CA4ABC">
        <w:rPr>
          <w:rFonts w:cstheme="minorHAnsi"/>
          <w:color w:val="000000"/>
          <w:shd w:val="clear" w:color="auto" w:fill="FFFFFF"/>
        </w:rPr>
        <w:t xml:space="preserve">The RAPA questionnaire scores suggest that most participants increased their physical activity levels </w:t>
      </w:r>
      <w:r w:rsidR="00000C86" w:rsidRPr="00CA4ABC">
        <w:rPr>
          <w:rFonts w:cstheme="minorHAnsi"/>
          <w:color w:val="000000"/>
          <w:shd w:val="clear" w:color="auto" w:fill="FFFFFF"/>
        </w:rPr>
        <w:t>from</w:t>
      </w:r>
      <w:r w:rsidR="00EF273A" w:rsidRPr="00CA4ABC">
        <w:rPr>
          <w:rFonts w:cstheme="minorHAnsi"/>
          <w:color w:val="000000"/>
          <w:shd w:val="clear" w:color="auto" w:fill="FFFFFF"/>
        </w:rPr>
        <w:t xml:space="preserve"> engaging in the research.</w:t>
      </w:r>
      <w:r w:rsidR="00EF273A" w:rsidRPr="00CA4ABC">
        <w:rPr>
          <w:rFonts w:cstheme="minorHAnsi"/>
          <w:color w:val="000000" w:themeColor="text1"/>
        </w:rPr>
        <w:t xml:space="preserve"> </w:t>
      </w:r>
      <w:r w:rsidR="004C12CF" w:rsidRPr="00CA4ABC">
        <w:rPr>
          <w:rFonts w:cstheme="minorHAnsi"/>
          <w:color w:val="000000" w:themeColor="text1"/>
        </w:rPr>
        <w:t>This is likely to have health benefits</w:t>
      </w:r>
      <w:r w:rsidR="00EF273A" w:rsidRPr="00CA4ABC">
        <w:rPr>
          <w:rFonts w:cstheme="minorHAnsi"/>
          <w:color w:val="000000" w:themeColor="text1"/>
        </w:rPr>
        <w:t xml:space="preserve"> that </w:t>
      </w:r>
      <w:r w:rsidR="004C12CF" w:rsidRPr="00CA4ABC">
        <w:rPr>
          <w:rFonts w:cstheme="minorHAnsi"/>
          <w:color w:val="000000" w:themeColor="text1"/>
        </w:rPr>
        <w:t>extend beyond muscle health and</w:t>
      </w:r>
      <w:r w:rsidR="00EF273A" w:rsidRPr="00CA4ABC">
        <w:rPr>
          <w:rFonts w:cstheme="minorHAnsi"/>
          <w:color w:val="000000" w:themeColor="text1"/>
        </w:rPr>
        <w:t>,</w:t>
      </w:r>
      <w:r w:rsidR="004C12CF" w:rsidRPr="00CA4ABC">
        <w:rPr>
          <w:rFonts w:cstheme="minorHAnsi"/>
          <w:color w:val="000000" w:themeColor="text1"/>
        </w:rPr>
        <w:t xml:space="preserve"> </w:t>
      </w:r>
      <w:r w:rsidRPr="00CA4ABC">
        <w:rPr>
          <w:rFonts w:cstheme="minorHAnsi"/>
          <w:color w:val="000000" w:themeColor="text1"/>
        </w:rPr>
        <w:t>despite</w:t>
      </w:r>
      <w:r w:rsidR="004C12CF" w:rsidRPr="00CA4ABC">
        <w:rPr>
          <w:rFonts w:cstheme="minorHAnsi"/>
          <w:color w:val="000000" w:themeColor="text1"/>
        </w:rPr>
        <w:t xml:space="preserve"> not</w:t>
      </w:r>
      <w:r w:rsidRPr="00CA4ABC">
        <w:rPr>
          <w:rFonts w:cstheme="minorHAnsi"/>
          <w:color w:val="000000" w:themeColor="text1"/>
        </w:rPr>
        <w:t xml:space="preserve"> being</w:t>
      </w:r>
      <w:r w:rsidR="004C12CF" w:rsidRPr="00CA4ABC">
        <w:rPr>
          <w:rFonts w:cstheme="minorHAnsi"/>
          <w:color w:val="000000" w:themeColor="text1"/>
        </w:rPr>
        <w:t xml:space="preserve"> a primary objective,</w:t>
      </w:r>
      <w:r w:rsidR="00784C10" w:rsidRPr="00CA4ABC">
        <w:rPr>
          <w:rFonts w:cstheme="minorHAnsi"/>
          <w:color w:val="000000" w:themeColor="text1"/>
        </w:rPr>
        <w:t xml:space="preserve"> should be considered in future trial </w:t>
      </w:r>
      <w:r w:rsidR="00EF273A" w:rsidRPr="00CA4ABC">
        <w:rPr>
          <w:rFonts w:cstheme="minorHAnsi"/>
          <w:color w:val="000000" w:themeColor="text1"/>
        </w:rPr>
        <w:t>designs</w:t>
      </w:r>
      <w:r w:rsidR="00784C10" w:rsidRPr="00CA4ABC">
        <w:rPr>
          <w:rFonts w:cstheme="minorHAnsi"/>
          <w:color w:val="000000" w:themeColor="text1"/>
        </w:rPr>
        <w:t xml:space="preserve">. </w:t>
      </w:r>
      <w:r w:rsidR="004C12CF" w:rsidRPr="00CA4ABC">
        <w:rPr>
          <w:rFonts w:cstheme="minorHAnsi"/>
          <w:color w:val="000000" w:themeColor="text1"/>
        </w:rPr>
        <w:t xml:space="preserve">Sedentary behaviour </w:t>
      </w:r>
      <w:r w:rsidR="00784C10" w:rsidRPr="00CA4ABC">
        <w:rPr>
          <w:rFonts w:cstheme="minorHAnsi"/>
          <w:color w:val="000000" w:themeColor="text1"/>
        </w:rPr>
        <w:t xml:space="preserve">is an </w:t>
      </w:r>
      <w:r w:rsidR="004C12CF" w:rsidRPr="00CA4ABC">
        <w:rPr>
          <w:rFonts w:cstheme="minorHAnsi"/>
          <w:color w:val="000000" w:themeColor="text1"/>
        </w:rPr>
        <w:t>independent risk factor for weight gain and chronic disease</w:t>
      </w:r>
      <w:r w:rsidR="00000C86" w:rsidRPr="00CA4ABC">
        <w:rPr>
          <w:rFonts w:cstheme="minorHAnsi"/>
          <w:color w:val="000000" w:themeColor="text1"/>
        </w:rPr>
        <w:t>s</w:t>
      </w:r>
      <w:r w:rsidR="00053748">
        <w:rPr>
          <w:rFonts w:cstheme="minorHAnsi"/>
          <w:color w:val="000000" w:themeColor="text1"/>
        </w:rPr>
        <w:t>,</w:t>
      </w:r>
      <w:r w:rsidR="004C12CF" w:rsidRPr="00CA4ABC">
        <w:rPr>
          <w:rFonts w:cstheme="minorHAnsi"/>
          <w:color w:val="000000" w:themeColor="text1"/>
        </w:rPr>
        <w:t xml:space="preserve"> including CVD, diabetes and cancer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{"citationItems":[{"id":"ITEM-1","itemData":{"DOI":"10.1016/J.AMEPRE.2011.05.004","ISSN":"1873-2607","PMID":"21767729","abstract":"Context: To systematically review and provide an informative synthesis of findings from longitudinal studies published since 1996 reporting on relationships between self-reported sedentary behavior and device-based measures of sedentary time with health-related outcomes in adults. Evidence acquisition: Studies published between 1996 and January 2011 were identified by examining existing literature reviews and by systematic searches in Web of Science, MEDLINE, PubMed, and PsycINFO. English-written articles were selected according to study design, targeted behavior, and health outcome. Evidence synthesis: Forty-eight articles met the inclusion criteria; of these, 46 incorporated self-reported measures including total sitting time; TV viewing time only; TV viewing time and other screen-time behaviors; and TV viewing time plus other sedentary behaviors. Findings indicate a consistent relationship of self-reported sedentary behavior with mortality and with weight gain from childhood to the adult years. However, findings were mixed for associations with disease incidence, weight gain during adulthood, and cardiometabolic risk. Of the three studies that used device-based measures of sedentary time, one showed that markers of obesity predicted sedentary time, whereas inconclusive findings have been observed for markers of insulin resistance. Conclusions: There is a growing body of evidence that sedentary behavior may be a distinct risk factor, independent of physical activity, for multiple adverse health outcomes in adults. Prospective studies using device-based measures are required to provide a clearer understanding of the impact of sedentary time on health outcomes. © 2011 American Journal of Preventive Medicine.","author":[{"dropping-particle":"","family":"Thorp","given":"Alicia A.","non-dropping-particle":"","parse-names":false,"suffix":""},{"dropping-particle":"","family":"Owen","given":"Neville","non-dropping-particle":"","parse-names":false,"suffix":""},{"dropping-particle":"","family":"Neuhaus","given":"Maike","non-dropping-particle":"","parse-names":false,"suffix":""},{"dropping-particle":"","family":"Dunstan","given":"David W.","non-dropping-particle":"","parse-names":false,"suffix":""}],"container-title":"American journal of preventive medicine","id":"ITEM-1","issue":"2","issued":{"date-parts":[["2011"]]},"page":"207-215","publisher":"Am J Prev Med","title":"Sedentary behaviors and subsequent health outcomes in adults a systematic review of longitudinal studies, 1996-2011","type":"article-journal","volume":"41"},"uris":["http://www.mendeley.com/documents/?uuid=b6cc269f-8f2c-3614-aa65-58cc692cc8f4"]},{"id":"ITEM-2","itemData":{"DOI":"10.1007/S00125-012-2677-Z","ISSN":"1432-0428","PMID":"22890825","abstract":"Aims/hypothesis Sedentary (sitting) behaviours are ubiquitous in modern society. We conducted a systematic review and meta-analysis to examine the association of sedentary time with diabetes, cardiovascular disease and cardiovascular and all-cause mortality. Methods Medline, Embase and the Cochrane Library databases were searched for terms related to sedentary time and health outcomes. Cross-sectional and prospective studies were included. RR/HR and 95% CIs were extracted by two independent reviewers. Data were adjusted for baseline event rate and pooled using a random-effects model. Bayesian predictive effects and intervals were calculated to indicate the variance in outcomes that would be expected if new studies were conducted in the future. Results Eighteen studies (16 prospective, two cross-sectional) were included, with 794,577 participants. Fifteen of these studies were moderate to high quality. The greatest sedentary time compared with the lowest was associated with a 112% increase in the RR of diabetes (RR 2.12; 95%credible interval [CrI] 1.61, 2.78), a 147%increase in the RR of cardiovascular events (RR 2.47; 95% CI 1.44, 4.24), a 90% increase in the risk of cardiovascular mortality (HR 1.90; 95%CrI 1.36, 2.66) and a 49%increase in the risk of all-cause mortality (HR 1.49; 95% CrI 1.14, 2.03). The predictive effects and intervals were only significant for diabetes. Conclusions/interpretation Sedentary time is associated with an increased risk of diabetes, cardiovascular disease and cardiovascular and all-cause mortality; the strength of the association is most consistent for diabetes. © Springer-Verlag 2012.","author":[{"dropping-particle":"","family":"Wilmot","given":"E. G.","non-dropping-particle":"","parse-names":false,"suffix":""},{"dropping-particle":"","family":"Edwardson","given":"C. L.","non-dropping-particle":"","parse-names":false,"suffix":""},{"dropping-particle":"","family":"Achana","given":"F. A.","non-dropping-particle":"","parse-names":false,"suffix":""},{"dropping-particle":"","family":"Davies","given":"M. J.","non-dropping-particle":"","parse-names":false,"suffix":""},{"dropping-particle":"","family":"Gorely","given":"T.","non-dropping-particle":"","parse-names":false,"suffix":""},{"dropping-particle":"","family":"Gray","given":"L. J.","non-dropping-particle":"","parse-names":false,"suffix":""},{"dropping-particle":"","family":"Khunti","given":"K.","non-dropping-particle":"","parse-names":false,"suffix":""},{"dropping-particle":"","family":"Yates","given":"T.","non-dropping-particle":"","parse-names":false,"suffix":""},{"dropping-particle":"","family":"Biddle","given":"S. J.H.","non-dropping-particle":"","parse-names":false,"suffix":""}],"container-title":"Diabetologia","id":"ITEM-2","issue":"11","issued":{"date-parts":[["2012"]]},"page":"2895-2905","publisher":"Diabetologia","title":"Sedentary time in adults and the association with diabetes, cardiovascular disease and death: systematic review and meta-analysis","type":"article-journal","volume":"55"},"uris":["http://www.mendeley.com/documents/?uuid=4e46947e-9053-32e7-a362-e72d79a00825"]}],"mendeley":{"formattedCitation":"(298,299)","plainTextFormattedCitation":"(298,299)","previouslyFormattedCitation":"(298,299)"},"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(298,299)</w:t>
      </w:r>
      <w:r w:rsidR="004C12CF" w:rsidRPr="00CA4ABC">
        <w:rPr>
          <w:rFonts w:cstheme="minorHAnsi"/>
          <w:color w:val="000000" w:themeColor="text1"/>
        </w:rPr>
        <w:fldChar w:fldCharType="end"/>
      </w:r>
      <w:r w:rsidR="004C12CF" w:rsidRPr="00CA4ABC">
        <w:rPr>
          <w:rFonts w:cstheme="minorHAnsi"/>
          <w:color w:val="000000" w:themeColor="text1"/>
        </w:rPr>
        <w:t xml:space="preserve">, so </w:t>
      </w:r>
      <w:r w:rsidR="00000C86" w:rsidRPr="00CA4ABC">
        <w:rPr>
          <w:rFonts w:cstheme="minorHAnsi"/>
          <w:color w:val="000000" w:themeColor="text1"/>
        </w:rPr>
        <w:t>tackling</w:t>
      </w:r>
      <w:r w:rsidR="004C12CF" w:rsidRPr="00CA4ABC">
        <w:rPr>
          <w:rFonts w:cstheme="minorHAnsi"/>
          <w:color w:val="000000" w:themeColor="text1"/>
        </w:rPr>
        <w:t xml:space="preserve"> this by increasing physical activity is of value. </w:t>
      </w:r>
    </w:p>
    <w:p w14:paraId="4255B5DC" w14:textId="77777777" w:rsidR="004C12CF" w:rsidRPr="00CA4ABC" w:rsidRDefault="004C12CF" w:rsidP="004053D7">
      <w:pPr>
        <w:spacing w:line="360" w:lineRule="auto"/>
        <w:rPr>
          <w:rFonts w:cstheme="minorHAnsi"/>
          <w:color w:val="000000" w:themeColor="text1"/>
        </w:rPr>
      </w:pPr>
    </w:p>
    <w:p w14:paraId="6D2EA38B" w14:textId="72371CB4" w:rsidR="004C12CF" w:rsidRPr="00CA4ABC" w:rsidRDefault="004C12CF" w:rsidP="004053D7">
      <w:pPr>
        <w:spacing w:line="360" w:lineRule="auto"/>
        <w:rPr>
          <w:rFonts w:cstheme="minorHAnsi"/>
          <w:color w:val="000000" w:themeColor="text1"/>
          <w:shd w:val="clear" w:color="auto" w:fill="FFFFFF"/>
        </w:rPr>
      </w:pPr>
      <w:r w:rsidRPr="00CA4ABC">
        <w:rPr>
          <w:rFonts w:cstheme="minorHAnsi"/>
          <w:color w:val="000000" w:themeColor="text1"/>
        </w:rPr>
        <w:t xml:space="preserve">Another positive result of the findings was the emergence of mental </w:t>
      </w:r>
      <w:r w:rsidR="00EF273A" w:rsidRPr="00CA4ABC">
        <w:rPr>
          <w:rFonts w:cstheme="minorHAnsi"/>
          <w:color w:val="000000" w:themeColor="text1"/>
        </w:rPr>
        <w:t>well-being</w:t>
      </w:r>
      <w:r w:rsidRPr="00CA4ABC">
        <w:rPr>
          <w:rFonts w:cstheme="minorHAnsi"/>
          <w:color w:val="000000" w:themeColor="text1"/>
        </w:rPr>
        <w:t xml:space="preserve"> benefits experienced by the participants (theme 2.) </w:t>
      </w:r>
      <w:r w:rsidR="00713BA4" w:rsidRPr="00CA4ABC">
        <w:rPr>
          <w:rFonts w:cstheme="minorHAnsi"/>
          <w:color w:val="000000" w:themeColor="text1"/>
        </w:rPr>
        <w:t>Despite</w:t>
      </w:r>
      <w:r w:rsidRPr="00CA4ABC">
        <w:rPr>
          <w:rFonts w:cstheme="minorHAnsi"/>
          <w:color w:val="000000" w:themeColor="text1"/>
        </w:rPr>
        <w:t xml:space="preserve"> not necessarily feed</w:t>
      </w:r>
      <w:r w:rsidR="00EF273A" w:rsidRPr="00CA4ABC">
        <w:rPr>
          <w:rFonts w:cstheme="minorHAnsi"/>
          <w:color w:val="000000" w:themeColor="text1"/>
        </w:rPr>
        <w:t>ing</w:t>
      </w:r>
      <w:r w:rsidRPr="00CA4ABC">
        <w:rPr>
          <w:rFonts w:cstheme="minorHAnsi"/>
          <w:color w:val="000000" w:themeColor="text1"/>
        </w:rPr>
        <w:t xml:space="preserve"> into the focus of muscle loss prevention, it is </w:t>
      </w:r>
      <w:r w:rsidR="008801BC" w:rsidRPr="00CA4ABC">
        <w:rPr>
          <w:rFonts w:cstheme="minorHAnsi"/>
          <w:color w:val="000000" w:themeColor="text1"/>
        </w:rPr>
        <w:t xml:space="preserve">still </w:t>
      </w:r>
      <w:r w:rsidRPr="00CA4ABC">
        <w:rPr>
          <w:rFonts w:cstheme="minorHAnsi"/>
          <w:color w:val="000000" w:themeColor="text1"/>
        </w:rPr>
        <w:t xml:space="preserve">arguably an important outcome. Improving life quality through exercise has been previously documented by a meta-analysis of 56 original studies that </w:t>
      </w:r>
      <w:r w:rsidR="00053748">
        <w:rPr>
          <w:rFonts w:cstheme="minorHAnsi"/>
          <w:color w:val="000000" w:themeColor="text1"/>
        </w:rPr>
        <w:t>measured quality of life</w:t>
      </w:r>
      <w:r w:rsidRPr="00CA4ABC">
        <w:rPr>
          <w:rFonts w:cstheme="minorHAnsi"/>
          <w:color w:val="000000" w:themeColor="text1"/>
        </w:rPr>
        <w:t xml:space="preserve"> (QoL) following exercise interventions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{"citationItems":[{"id":"ITEM-1","itemData":{"DOI":"10.1016/J.SOCSCIMED.2009.02.028","ISSN":"1873-5347","PMID":"19297065","abstract":"The aim of the study was to provide an overview of the effect of exercise interventions on subjective quality of life (QoL) across adult clinical populations and well people, and to systematically investigate the impact of the exercise setting, intensity and type on these outcomes. From a systematic search of six electronic databases, 56 original studies were extracted, reporting on 7937 sick and well people. A meta-analysis was conducted on change in QoL from pre- to post-intervention compared with outcomes from a no-exercise control group, using weighted (by the study's sample size) pooled mean effect sizes and a fixed-effects model. Significant differences in outcome were found when treatment purpose was compared; prevention/promotion (well populations), rehabilitation, or disease management. Three to 6 months post-baseline, a moderate positive effect of exercise interventions was found for overall QoL in rehabilitation patients, but no significant effect for well or disease management groups. However, physical and psychological QoL domains improved significantly relative to controls in well participants. Psychological QoL was significantly poorer relative to controls in the disease management group. This pattern of results persisted over 1 year. With some exceptions, better overall QoL was reported for light intensity exercise undertaken in group settings, with greater improvement in physical QoL following moderate intensity exercise. The implications for future health care practice and research are discussed. © 2009 Elsevier Ltd. All rights reserved.","author":[{"dropping-particle":"","family":"Gillison","given":"Fiona Bridget","non-dropping-particle":"","parse-names":false,"suffix":""},{"dropping-particle":"","family":"Skevington","given":"Suzanne M.","non-dropping-particle":"","parse-names":false,"suffix":""},{"dropping-particle":"","family":"Sato","given":"Ayana","non-dropping-particle":"","parse-names":false,"suffix":""},{"dropping-particle":"","family":"Standage","given":"Martyn","non-dropping-particle":"","parse-names":false,"suffix":""},{"dropping-particle":"","family":"Evangelidou","given":"Stella","non-dropping-particle":"","parse-names":false,"suffix":""}],"container-title":"Social science &amp; medicine (1982)","id":"ITEM-1","issue":"9","issued":{"date-parts":[["2009","5"]]},"page":"1700-1710","publisher":"Soc Sci Med","title":"The effects of exercise interventions on quality of life in clinical and healthy populations; a meta-analysis","type":"article-journal","volume":"68"},"uris":["http://www.mendeley.com/documents/?uuid=eabf9567-c7a7-360f-b17b-787beaee2ce1"]}],"mendeley":{"formattedCitation":"(300)","plainTextFormattedCitation":"(300)","previouslyFormattedCitation":"(300)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(300)</w:t>
      </w:r>
      <w:r w:rsidRPr="00CA4ABC">
        <w:rPr>
          <w:rFonts w:cstheme="minorHAnsi"/>
          <w:color w:val="000000" w:themeColor="text1"/>
        </w:rPr>
        <w:fldChar w:fldCharType="end"/>
      </w:r>
      <w:r w:rsidRPr="00CA4ABC">
        <w:rPr>
          <w:rFonts w:cstheme="minorHAnsi"/>
          <w:color w:val="000000" w:themeColor="text1"/>
        </w:rPr>
        <w:t xml:space="preserve">. Whilst exercise modalities differed in settings, intensity and type, overall </w:t>
      </w:r>
      <w:r w:rsidRPr="00CA4ABC">
        <w:rPr>
          <w:rFonts w:cstheme="minorHAnsi"/>
          <w:color w:val="000000" w:themeColor="text1"/>
          <w:shd w:val="clear" w:color="auto" w:fill="FFFFFF"/>
        </w:rPr>
        <w:t xml:space="preserve">physical and psychological QoL domains improved significantly relative to controls. </w:t>
      </w:r>
      <w:r w:rsidR="00EF273A" w:rsidRPr="00CA4ABC">
        <w:rPr>
          <w:rFonts w:cstheme="minorHAnsi"/>
          <w:color w:val="000000" w:themeColor="text1"/>
          <w:shd w:val="clear" w:color="auto" w:fill="FFFFFF"/>
        </w:rPr>
        <w:t>The n</w:t>
      </w:r>
      <w:r w:rsidRPr="00CA4ABC">
        <w:rPr>
          <w:rFonts w:cstheme="minorHAnsi"/>
          <w:color w:val="000000" w:themeColor="text1"/>
          <w:shd w:val="clear" w:color="auto" w:fill="FFFFFF"/>
        </w:rPr>
        <w:t>ext step for this research should involve taking QoL measurements</w:t>
      </w:r>
      <w:r w:rsidR="00053748">
        <w:rPr>
          <w:rFonts w:cstheme="minorHAnsi"/>
          <w:color w:val="000000" w:themeColor="text1"/>
          <w:shd w:val="clear" w:color="auto" w:fill="FFFFFF"/>
        </w:rPr>
        <w:t>; not</w:t>
      </w:r>
      <w:r w:rsidR="00713BA4" w:rsidRPr="00CA4ABC">
        <w:rPr>
          <w:rFonts w:cstheme="minorHAnsi"/>
          <w:color w:val="000000" w:themeColor="text1"/>
          <w:shd w:val="clear" w:color="auto" w:fill="FFFFFF"/>
        </w:rPr>
        <w:t xml:space="preserve"> collecting this was likely</w:t>
      </w:r>
      <w:r w:rsidRPr="00CA4ABC">
        <w:rPr>
          <w:rFonts w:cstheme="minorHAnsi"/>
          <w:color w:val="000000" w:themeColor="text1"/>
          <w:shd w:val="clear" w:color="auto" w:fill="FFFFFF"/>
        </w:rPr>
        <w:t xml:space="preserve"> an oversight of the feasibility trial.</w:t>
      </w:r>
    </w:p>
    <w:p w14:paraId="3144F78B" w14:textId="77777777" w:rsidR="004C12CF" w:rsidRPr="00CA4ABC" w:rsidRDefault="004C12CF" w:rsidP="004053D7">
      <w:pPr>
        <w:spacing w:line="360" w:lineRule="auto"/>
        <w:rPr>
          <w:rFonts w:cstheme="minorHAnsi"/>
          <w:color w:val="000000" w:themeColor="text1"/>
        </w:rPr>
      </w:pPr>
    </w:p>
    <w:p w14:paraId="3DD966A3" w14:textId="7EB025FD" w:rsidR="004C12CF" w:rsidRPr="00CA4ABC" w:rsidRDefault="00053748" w:rsidP="004053D7">
      <w:pPr>
        <w:spacing w:line="360" w:lineRule="auto"/>
        <w:rPr>
          <w:rFonts w:cstheme="minorHAnsi"/>
          <w:color w:val="000000" w:themeColor="text1"/>
        </w:rPr>
      </w:pPr>
      <w:r>
        <w:rPr>
          <w:rFonts w:cstheme="minorHAnsi"/>
          <w:color w:val="000000" w:themeColor="text1"/>
        </w:rPr>
        <w:t xml:space="preserve">When delivering the intervention, promoting overall health benefits, including mental health, </w:t>
      </w:r>
      <w:r w:rsidR="004C12CF" w:rsidRPr="00CA4ABC">
        <w:rPr>
          <w:rFonts w:cstheme="minorHAnsi"/>
          <w:color w:val="000000" w:themeColor="text1"/>
        </w:rPr>
        <w:t xml:space="preserve">is likely to </w:t>
      </w:r>
      <w:r w:rsidR="00DB4386" w:rsidRPr="00CA4ABC">
        <w:rPr>
          <w:rFonts w:cstheme="minorHAnsi"/>
          <w:color w:val="000000" w:themeColor="text1"/>
        </w:rPr>
        <w:t>benefit</w:t>
      </w:r>
      <w:r w:rsidR="004C12CF" w:rsidRPr="00CA4ABC">
        <w:rPr>
          <w:rFonts w:cstheme="minorHAnsi"/>
          <w:color w:val="000000" w:themeColor="text1"/>
        </w:rPr>
        <w:t xml:space="preserve"> enrolment and engagement. Focus group research conducted by Henwood et al</w:t>
      </w:r>
      <w:r w:rsidR="00DB4386" w:rsidRPr="00CA4ABC">
        <w:rPr>
          <w:rFonts w:cstheme="minorHAnsi"/>
          <w:color w:val="000000" w:themeColor="text1"/>
        </w:rPr>
        <w:t>.</w:t>
      </w:r>
      <w:r w:rsidR="004C12CF" w:rsidRPr="00CA4ABC">
        <w:rPr>
          <w:rFonts w:cstheme="minorHAnsi"/>
          <w:color w:val="000000" w:themeColor="text1"/>
        </w:rPr>
        <w:t xml:space="preserve">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{"citationItems":[{"id":"ITEM-1","itemData":{"DOI":"10.1017/S0144686X10001406","ISSN":"0144686X","abstract":"For older adults, exercise that challenges the muscular system, commonly referred to as resistance training, has significant physical, psychometrical and functional benefits. While well recognised by the scientific community, the translation of these benefits into practice has received little attention. Particularly neglected is an understanding of the personal experiences, motivation towards and adherence to resistance training recommendations among older adults. This paper investigated the benefits older individuals attribute to resistance training and the motivational tactics they employed to undertake it. Data were drawn from three focus groups where participants (≥65 years; presently, previously or wanting to become involved in a resistance training intervention) were encouraged to openly discuss resistance training, physical activity and exercise. Findings revealed that participants were aware of the benefits of training on general and functional health, and that these benefits were employed in the motivation to train. In addition, presently or previously trained individuals stress the importance of environment and programme structure as a training motivator. The benefits to mental and social health, effect on ageing and body image were also raised. However, participants discussed these in a broad context. While it could be said that public knowledge reflects current evidence, it is also clear that individuals are still unaware of a number of specific benefits. © 2011 Cambridge University Press.","author":[{"dropping-particle":"","family":"Henwood","given":"Tim","non-dropping-particle":"","parse-names":false,"suffix":""},{"dropping-particle":"","family":"Tuckett","given":"Anthony","non-dropping-particle":"","parse-names":false,"suffix":""},{"dropping-particle":"","family":"Edelstein","given":"Offer","non-dropping-particle":"","parse-names":false,"suffix":""},{"dropping-particle":"","family":"Bartlett","given":"Helen","non-dropping-particle":"","parse-names":false,"suffix":""}],"container-title":"Ageing and Society","id":"ITEM-1","issue":"8","issued":{"date-parts":[["2011","11"]]},"page":"1330-1349","title":"Exercise in later life: The older adults' perspective about resistance training","type":"article-journal","volume":"31"},"uris":["http://www.mendeley.com/documents/?uuid=2a4d430d-e594-30a5-a47d-4013ea54e74a"]}],"mendeley":{"formattedCitation":"(301)","plainTextFormattedCitation":"(301)","previouslyFormattedCitation":"(301)"},"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(301)</w:t>
      </w:r>
      <w:r w:rsidR="004C12CF" w:rsidRPr="00CA4ABC">
        <w:rPr>
          <w:rFonts w:cstheme="minorHAnsi"/>
          <w:color w:val="000000" w:themeColor="text1"/>
        </w:rPr>
        <w:fldChar w:fldCharType="end"/>
      </w:r>
      <w:r w:rsidR="004C12CF" w:rsidRPr="00CA4ABC">
        <w:rPr>
          <w:rFonts w:cstheme="minorHAnsi"/>
          <w:color w:val="000000" w:themeColor="text1"/>
        </w:rPr>
        <w:t xml:space="preserve"> with adults aged &gt;65 years</w:t>
      </w:r>
      <w:r w:rsidR="004B15FC" w:rsidRPr="00CA4ABC">
        <w:rPr>
          <w:rFonts w:cstheme="minorHAnsi"/>
          <w:color w:val="000000" w:themeColor="text1"/>
        </w:rPr>
        <w:t>,</w:t>
      </w:r>
      <w:r w:rsidR="004C12CF" w:rsidRPr="00CA4ABC">
        <w:rPr>
          <w:rFonts w:cstheme="minorHAnsi"/>
          <w:color w:val="000000" w:themeColor="text1"/>
        </w:rPr>
        <w:t xml:space="preserve"> where resistance training was openly</w:t>
      </w:r>
      <w:r w:rsidR="003C3DBF" w:rsidRPr="00CA4ABC">
        <w:rPr>
          <w:rFonts w:cstheme="minorHAnsi"/>
          <w:color w:val="000000" w:themeColor="text1"/>
        </w:rPr>
        <w:t xml:space="preserve"> discussed,</w:t>
      </w:r>
      <w:r w:rsidR="004C12CF" w:rsidRPr="00CA4ABC">
        <w:rPr>
          <w:rFonts w:cstheme="minorHAnsi"/>
          <w:color w:val="000000" w:themeColor="text1"/>
        </w:rPr>
        <w:t xml:space="preserve"> found that functional health and physical ability appeared to be the biggest motivator</w:t>
      </w:r>
      <w:r w:rsidR="00000C86" w:rsidRPr="00CA4ABC">
        <w:rPr>
          <w:rFonts w:cstheme="minorHAnsi"/>
          <w:color w:val="000000" w:themeColor="text1"/>
        </w:rPr>
        <w:t>s</w:t>
      </w:r>
      <w:r w:rsidR="004C12CF" w:rsidRPr="00CA4ABC">
        <w:rPr>
          <w:rFonts w:cstheme="minorHAnsi"/>
          <w:color w:val="000000" w:themeColor="text1"/>
        </w:rPr>
        <w:t xml:space="preserve"> for engagement. </w:t>
      </w:r>
      <w:r>
        <w:rPr>
          <w:rFonts w:cstheme="minorHAnsi"/>
          <w:color w:val="000000" w:themeColor="text1"/>
        </w:rPr>
        <w:t>Further focus groups support this</w:t>
      </w:r>
      <w:r w:rsidR="004C12CF" w:rsidRPr="00CA4ABC">
        <w:rPr>
          <w:rFonts w:cstheme="minorHAnsi"/>
          <w:color w:val="000000" w:themeColor="text1"/>
        </w:rPr>
        <w:t xml:space="preserve"> with adults aged 66-78 years to better understand barriers and facilitators to </w:t>
      </w:r>
      <w:r w:rsidR="004B15FC" w:rsidRPr="00CA4ABC">
        <w:rPr>
          <w:rFonts w:cstheme="minorHAnsi"/>
          <w:color w:val="000000" w:themeColor="text1"/>
        </w:rPr>
        <w:t>engaging</w:t>
      </w:r>
      <w:r w:rsidR="004C12CF" w:rsidRPr="00CA4ABC">
        <w:rPr>
          <w:rFonts w:cstheme="minorHAnsi"/>
          <w:color w:val="000000" w:themeColor="text1"/>
        </w:rPr>
        <w:t xml:space="preserve"> in exercise programs.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{"citationItems":[{"id":"ITEM-1","itemData":{"DOI":"10.3121/CMR.2013.1171","ISSN":"15546179","PMID":"24415748","abstract":"Objective: Regular physical activity (PA) is important for maintaining long-term physical, cognitive, and emotional health. However, few older adults engage in routine PA, and even fewer take advantage of programs designed to enhance PA participation. Though most managed Medicare members have free access to the Silver Sneakers and EnhanceFitness PA programs, the vast majority of eligible seniors do not utilize these programs. The goal of this qualitative study was to better understand the barriers to and facilitators of PA and participation in PA programs among older adults.\nDesign: This was a qualitative study using focus group interviews. Setting: Focus groups took place at three Group Health clinics in King County, Washington.\nParticipants: Fifty-two randomly selected Group Health Medicare members between the ages of 66 to 78 participated.\nMethods: We conducted four focus groups with 13 participants each. Focus group discussions were audio-recorded, transcribed, and analyzed using an inductive thematic approach and a social-ecological framework.\nResults: Men and women were nearly equally represented among the participants, and the sample was largely white (77%), well-educated (69% college graduates), and relatively physically active. Prominent barriers to PA and PA program participation were physical limitations due to health conditions or aging, lack of professional guidance, and inadequate distribution of information on available and appropriate PA options and programs. Facilitators included the motivation to maintain physical and mental health and access to affordable, convenient, and stimulating PA options.\nConclusion: Older adult populations may benefit from greater support and information from their providers and health care systems on how to safely and successfully improve or maintain PA levels through later adulthood. Efforts among health care systems to boost PA among older adults may need to consider patient-centered adjustments to current PA programs, as well as alternative methods for promoting overall active lifestyle choices.","author":[{"dropping-particle":"","family":"Bethancourt","given":"Hilary J.","non-dropping-particle":"","parse-names":false,"suffix":""},{"dropping-particle":"","family":"Rosenberg","given":"Dori E.","non-dropping-particle":"","parse-names":false,"suffix":""},{"dropping-particle":"","family":"Beatty","given":"Tara","non-dropping-particle":"","parse-names":false,"suffix":""},{"dropping-particle":"","family":"Arterburn","given":"David E.","non-dropping-particle":"","parse-names":false,"suffix":""}],"container-title":"Clinical Medicine &amp; Research","id":"ITEM-1","issue":"1-2","issued":{"date-parts":[["2014","9","1"]]},"page":"10","publisher":"Marshfield Clinic","title":"Barriers to and Facilitators of Physical Activity Program Use Among Older Adults","type":"article-journal","volume":"12"},"uris":["http://www.mendeley.com/documents/?uuid=37377cb2-4b62-33b6-9fc1-abfe7156051b"]}],"mendeley":{"formattedCitation":"(302)","plainTextFormattedCitation":"(302)","previouslyFormattedCitation":"(302)"},"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(302)</w:t>
      </w:r>
      <w:r w:rsidR="004C12CF" w:rsidRPr="00CA4ABC">
        <w:rPr>
          <w:rFonts w:cstheme="minorHAnsi"/>
          <w:color w:val="000000" w:themeColor="text1"/>
        </w:rPr>
        <w:fldChar w:fldCharType="end"/>
      </w:r>
      <w:r w:rsidR="004C12CF" w:rsidRPr="00CA4ABC">
        <w:rPr>
          <w:rFonts w:cstheme="minorHAnsi"/>
          <w:color w:val="000000" w:themeColor="text1"/>
        </w:rPr>
        <w:t xml:space="preserve">. Findings revealed that motivation to maintain physical and mental health </w:t>
      </w:r>
      <w:r w:rsidR="00DB4386" w:rsidRPr="00CA4ABC">
        <w:rPr>
          <w:rFonts w:cstheme="minorHAnsi"/>
          <w:color w:val="000000" w:themeColor="text1"/>
        </w:rPr>
        <w:t>facilitated</w:t>
      </w:r>
      <w:r w:rsidR="004C12CF" w:rsidRPr="00CA4ABC">
        <w:rPr>
          <w:rFonts w:cstheme="minorHAnsi"/>
          <w:color w:val="000000" w:themeColor="text1"/>
        </w:rPr>
        <w:t xml:space="preserve"> physical activity engagement.  Furthermore, Wienke and Jekauc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{"citationItems":[{"id":"ITEM-1","itemData":{"DOI":"10.3389/FPSYG.2016.01296","ISSN":"16641078","PMID":"27621718","abstract":"Although previous research has shown that emotions are consistently associated with sport and exercise behavior, the working mechanisms are not understood to the extent of creating an intervention. The aim of this study is to identify situations and aspects of recreational sport and exercise, which lead to positive emotional reactions in people taking part in regular and long-term exercise. In this study, 24 adults (12 female, 12 male) distributed over three age groups (young, middle, and late adulthood), took part in recreational sports (individual or team sport) for at least 5 years. Semi-structured in depth interviews with questions about sport and exercise habits, long term participation and emotional response in a sporting environment were conducted in order to ascertain those situations and aspects of the exercise program triggering positive emotions. Interviews were transcribed verbatim and followed Grounded Theory principles. Emerging concepts were grouped and merged into different categories representing the key aspects of sport and exercise. Four factors were identified which are associated with the emergence of positive emotions in recreational sport and exercise. Firstly, perceived competence is one of the major factors influencing emotions during exercise and can represent individual and collective success and progress, competition and challenge. Secondly, perceived social interaction is another factor comprising of all sorts of peer-related aspects such as communication with others, being part of a group and creating close relationships or friendships. Thirdly, novelty experience in contrast to other none-sporting activities such as work, family or other leisure activities was another factor. The last factor found was the perceived physical exertion comprising of the degree of exhaustion, a possibly delayed turnaround in the emotional response and the aspect of sport being a physical compensation for everyday sedentary life. The results of this study provide the starting point for the development of interventions to enhance positive emotions in sports in order to increase maintenance and adherence to recreational sport and exercise.","author":[{"dropping-particle":"","family":"Wienke","given":"Benjamin","non-dropping-particle":"","parse-names":false,"suffix":""},{"dropping-particle":"","family":"Jekauc","given":"Darko","non-dropping-particle":"","parse-names":false,"suffix":""}],"container-title":"Frontiers in Psychology","id":"ITEM-1","issue":"AUG","issued":{"date-parts":[["2016","8","29"]]},"publisher":"Frontiers Media SA","title":"A Qualitative Analysis of Emotional Facilitators in Exercise","type":"article-journal","volume":"7"},"uris":["http://www.mendeley.com/documents/?uuid=2c135e57-3bd0-3620-bde1-a31bdb8d68f7"]}],"mendeley":{"formattedCitation":"(303)","plainTextFormattedCitation":"(303)","previouslyFormattedCitation":"(303)"},"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(303)</w:t>
      </w:r>
      <w:r w:rsidR="004C12CF" w:rsidRPr="00CA4ABC">
        <w:rPr>
          <w:rFonts w:cstheme="minorHAnsi"/>
          <w:color w:val="000000" w:themeColor="text1"/>
        </w:rPr>
        <w:fldChar w:fldCharType="end"/>
      </w:r>
      <w:r w:rsidR="004C12CF" w:rsidRPr="00CA4ABC">
        <w:rPr>
          <w:rFonts w:cstheme="minorHAnsi"/>
          <w:color w:val="000000" w:themeColor="text1"/>
        </w:rPr>
        <w:t xml:space="preserve"> explored emotional facilitators of exercise via ground theory analysis of semi-structured interviews question</w:t>
      </w:r>
      <w:r w:rsidR="00784C10" w:rsidRPr="00CA4ABC">
        <w:rPr>
          <w:rFonts w:cstheme="minorHAnsi"/>
          <w:color w:val="000000" w:themeColor="text1"/>
        </w:rPr>
        <w:t>ing adults</w:t>
      </w:r>
      <w:r w:rsidR="004C12CF" w:rsidRPr="00CA4ABC">
        <w:rPr>
          <w:rFonts w:cstheme="minorHAnsi"/>
          <w:color w:val="000000" w:themeColor="text1"/>
        </w:rPr>
        <w:t xml:space="preserve"> about their </w:t>
      </w:r>
      <w:r w:rsidR="004C12CF" w:rsidRPr="00CA4ABC">
        <w:rPr>
          <w:rFonts w:cstheme="minorHAnsi"/>
          <w:color w:val="000000" w:themeColor="text1"/>
          <w:shd w:val="clear" w:color="auto" w:fill="FFFFFF"/>
        </w:rPr>
        <w:t>sport and exercise habits, long</w:t>
      </w:r>
      <w:r w:rsidR="00DB4386" w:rsidRPr="00CA4ABC">
        <w:rPr>
          <w:rFonts w:cstheme="minorHAnsi"/>
          <w:color w:val="000000" w:themeColor="text1"/>
          <w:shd w:val="clear" w:color="auto" w:fill="FFFFFF"/>
        </w:rPr>
        <w:t>-</w:t>
      </w:r>
      <w:r w:rsidR="004C12CF" w:rsidRPr="00CA4ABC">
        <w:rPr>
          <w:rFonts w:cstheme="minorHAnsi"/>
          <w:color w:val="000000" w:themeColor="text1"/>
          <w:shd w:val="clear" w:color="auto" w:fill="FFFFFF"/>
        </w:rPr>
        <w:t xml:space="preserve">term participation and emotional response in a sporting environment. A theme which emerged from their research and </w:t>
      </w:r>
      <w:r>
        <w:rPr>
          <w:rFonts w:cstheme="minorHAnsi"/>
          <w:color w:val="000000" w:themeColor="text1"/>
          <w:shd w:val="clear" w:color="auto" w:fill="FFFFFF"/>
        </w:rPr>
        <w:t>aligned</w:t>
      </w:r>
      <w:r w:rsidR="004C12CF" w:rsidRPr="00CA4ABC">
        <w:rPr>
          <w:rFonts w:cstheme="minorHAnsi"/>
          <w:color w:val="000000" w:themeColor="text1"/>
          <w:shd w:val="clear" w:color="auto" w:fill="FFFFFF"/>
        </w:rPr>
        <w:t xml:space="preserve"> with the REMEND trial findings include</w:t>
      </w:r>
      <w:r>
        <w:rPr>
          <w:rFonts w:cstheme="minorHAnsi"/>
          <w:color w:val="000000" w:themeColor="text1"/>
          <w:shd w:val="clear" w:color="auto" w:fill="FFFFFF"/>
        </w:rPr>
        <w:t>s</w:t>
      </w:r>
      <w:r w:rsidR="004C12CF" w:rsidRPr="00CA4ABC">
        <w:rPr>
          <w:rFonts w:cstheme="minorHAnsi"/>
          <w:color w:val="000000" w:themeColor="text1"/>
          <w:shd w:val="clear" w:color="auto" w:fill="FFFFFF"/>
        </w:rPr>
        <w:t xml:space="preserve"> perceived confidence and perceived physical exertion. </w:t>
      </w:r>
      <w:r w:rsidR="00DB4386" w:rsidRPr="00CA4ABC">
        <w:rPr>
          <w:rFonts w:cstheme="minorHAnsi"/>
          <w:color w:val="000000" w:themeColor="text1"/>
          <w:shd w:val="clear" w:color="auto" w:fill="FFFFFF"/>
        </w:rPr>
        <w:t>The n</w:t>
      </w:r>
      <w:r w:rsidR="004C12CF" w:rsidRPr="00CA4ABC">
        <w:rPr>
          <w:rFonts w:cstheme="minorHAnsi"/>
          <w:color w:val="000000" w:themeColor="text1"/>
          <w:shd w:val="clear" w:color="auto" w:fill="FFFFFF"/>
        </w:rPr>
        <w:t xml:space="preserve">ovelty </w:t>
      </w:r>
      <w:r w:rsidR="00DB4386" w:rsidRPr="00CA4ABC">
        <w:rPr>
          <w:rFonts w:cstheme="minorHAnsi"/>
          <w:color w:val="000000" w:themeColor="text1"/>
          <w:shd w:val="clear" w:color="auto" w:fill="FFFFFF"/>
        </w:rPr>
        <w:t>of</w:t>
      </w:r>
      <w:r w:rsidR="004C12CF" w:rsidRPr="00CA4ABC">
        <w:rPr>
          <w:rFonts w:cstheme="minorHAnsi"/>
          <w:color w:val="000000" w:themeColor="text1"/>
          <w:shd w:val="clear" w:color="auto" w:fill="FFFFFF"/>
        </w:rPr>
        <w:t xml:space="preserve"> the experience was </w:t>
      </w:r>
      <w:r w:rsidR="004B15FC" w:rsidRPr="00CA4ABC">
        <w:rPr>
          <w:rFonts w:cstheme="minorHAnsi"/>
          <w:color w:val="000000" w:themeColor="text1"/>
          <w:shd w:val="clear" w:color="auto" w:fill="FFFFFF"/>
        </w:rPr>
        <w:t xml:space="preserve">also </w:t>
      </w:r>
      <w:r w:rsidR="004C12CF" w:rsidRPr="00CA4ABC">
        <w:rPr>
          <w:rFonts w:cstheme="minorHAnsi"/>
          <w:color w:val="000000" w:themeColor="text1"/>
          <w:shd w:val="clear" w:color="auto" w:fill="FFFFFF"/>
        </w:rPr>
        <w:t xml:space="preserve">identified. The </w:t>
      </w:r>
      <w:r w:rsidR="00DB4386" w:rsidRPr="00CA4ABC">
        <w:rPr>
          <w:rFonts w:cstheme="minorHAnsi"/>
          <w:color w:val="000000" w:themeColor="text1"/>
          <w:shd w:val="clear" w:color="auto" w:fill="FFFFFF"/>
        </w:rPr>
        <w:t>uniqueness</w:t>
      </w:r>
      <w:r w:rsidR="004C12CF" w:rsidRPr="00CA4ABC">
        <w:rPr>
          <w:rFonts w:cstheme="minorHAnsi"/>
          <w:color w:val="000000" w:themeColor="text1"/>
          <w:shd w:val="clear" w:color="auto" w:fill="FFFFFF"/>
        </w:rPr>
        <w:t xml:space="preserve"> of the resistance bands ha</w:t>
      </w:r>
      <w:r w:rsidR="00DB4386" w:rsidRPr="00CA4ABC">
        <w:rPr>
          <w:rFonts w:cstheme="minorHAnsi"/>
          <w:color w:val="000000" w:themeColor="text1"/>
          <w:shd w:val="clear" w:color="auto" w:fill="FFFFFF"/>
        </w:rPr>
        <w:t>s</w:t>
      </w:r>
      <w:r w:rsidR="004C12CF" w:rsidRPr="00CA4ABC">
        <w:rPr>
          <w:rFonts w:cstheme="minorHAnsi"/>
          <w:color w:val="000000" w:themeColor="text1"/>
          <w:shd w:val="clear" w:color="auto" w:fill="FFFFFF"/>
        </w:rPr>
        <w:t xml:space="preserve"> already been noted, but</w:t>
      </w:r>
      <w:r w:rsidR="00DB4386" w:rsidRPr="00CA4ABC">
        <w:rPr>
          <w:rFonts w:cstheme="minorHAnsi"/>
          <w:color w:val="000000" w:themeColor="text1"/>
          <w:shd w:val="clear" w:color="auto" w:fill="FFFFFF"/>
        </w:rPr>
        <w:t xml:space="preserve"> designing the programme to ensure they</w:t>
      </w:r>
      <w:r w:rsidR="004C12CF" w:rsidRPr="00CA4ABC">
        <w:rPr>
          <w:rFonts w:cstheme="minorHAnsi"/>
          <w:color w:val="000000" w:themeColor="text1"/>
          <w:shd w:val="clear" w:color="auto" w:fill="FFFFFF"/>
        </w:rPr>
        <w:t xml:space="preserve"> stay engaging and </w:t>
      </w:r>
      <w:r w:rsidR="004C12CF" w:rsidRPr="00CA4ABC">
        <w:rPr>
          <w:rFonts w:cstheme="minorHAnsi"/>
          <w:color w:val="000000" w:themeColor="text1"/>
          <w:shd w:val="clear" w:color="auto" w:fill="FFFFFF"/>
        </w:rPr>
        <w:lastRenderedPageBreak/>
        <w:t xml:space="preserve">interesting </w:t>
      </w:r>
      <w:r w:rsidR="00DB4386" w:rsidRPr="00CA4ABC">
        <w:rPr>
          <w:rFonts w:cstheme="minorHAnsi"/>
          <w:color w:val="000000" w:themeColor="text1"/>
          <w:shd w:val="clear" w:color="auto" w:fill="FFFFFF"/>
        </w:rPr>
        <w:t>is necessary</w:t>
      </w:r>
      <w:r w:rsidR="004C12CF" w:rsidRPr="00CA4ABC">
        <w:rPr>
          <w:rFonts w:cstheme="minorHAnsi"/>
          <w:color w:val="000000" w:themeColor="text1"/>
          <w:shd w:val="clear" w:color="auto" w:fill="FFFFFF"/>
        </w:rPr>
        <w:t xml:space="preserve">. This </w:t>
      </w:r>
      <w:r w:rsidR="00DB4386" w:rsidRPr="00CA4ABC">
        <w:rPr>
          <w:rFonts w:cstheme="minorHAnsi"/>
          <w:color w:val="000000" w:themeColor="text1"/>
          <w:shd w:val="clear" w:color="auto" w:fill="FFFFFF"/>
        </w:rPr>
        <w:t>sh</w:t>
      </w:r>
      <w:r w:rsidR="004C12CF" w:rsidRPr="00CA4ABC">
        <w:rPr>
          <w:rFonts w:cstheme="minorHAnsi"/>
          <w:color w:val="000000" w:themeColor="text1"/>
          <w:shd w:val="clear" w:color="auto" w:fill="FFFFFF"/>
        </w:rPr>
        <w:t xml:space="preserve">ould involve </w:t>
      </w:r>
      <w:r w:rsidR="00DB4386" w:rsidRPr="00CA4ABC">
        <w:rPr>
          <w:rFonts w:cstheme="minorHAnsi"/>
          <w:color w:val="000000" w:themeColor="text1"/>
          <w:shd w:val="clear" w:color="auto" w:fill="FFFFFF"/>
        </w:rPr>
        <w:t>progressing</w:t>
      </w:r>
      <w:r w:rsidR="003C3DBF" w:rsidRPr="00CA4ABC">
        <w:rPr>
          <w:rFonts w:cstheme="minorHAnsi"/>
          <w:color w:val="000000" w:themeColor="text1"/>
          <w:shd w:val="clear" w:color="auto" w:fill="FFFFFF"/>
        </w:rPr>
        <w:t xml:space="preserve"> </w:t>
      </w:r>
      <w:r w:rsidR="004C12CF" w:rsidRPr="00CA4ABC">
        <w:rPr>
          <w:rFonts w:cstheme="minorHAnsi"/>
          <w:color w:val="000000" w:themeColor="text1"/>
          <w:shd w:val="clear" w:color="auto" w:fill="FFFFFF"/>
        </w:rPr>
        <w:t>and consistently amending the workout routines. This also feed</w:t>
      </w:r>
      <w:r w:rsidR="003C3DBF" w:rsidRPr="00CA4ABC">
        <w:rPr>
          <w:rFonts w:cstheme="minorHAnsi"/>
          <w:color w:val="000000" w:themeColor="text1"/>
          <w:shd w:val="clear" w:color="auto" w:fill="FFFFFF"/>
        </w:rPr>
        <w:t>s</w:t>
      </w:r>
      <w:r w:rsidR="004C12CF" w:rsidRPr="00CA4ABC">
        <w:rPr>
          <w:rFonts w:cstheme="minorHAnsi"/>
          <w:color w:val="000000" w:themeColor="text1"/>
          <w:shd w:val="clear" w:color="auto" w:fill="FFFFFF"/>
        </w:rPr>
        <w:t xml:space="preserve"> into limiting tedium</w:t>
      </w:r>
      <w:r w:rsidR="00DB0149" w:rsidRPr="00CA4ABC">
        <w:rPr>
          <w:rFonts w:cstheme="minorHAnsi"/>
          <w:color w:val="000000" w:themeColor="text1"/>
          <w:shd w:val="clear" w:color="auto" w:fill="FFFFFF"/>
        </w:rPr>
        <w:t xml:space="preserve"> (300)</w:t>
      </w:r>
      <w:r w:rsidR="004C12CF" w:rsidRPr="00CA4ABC">
        <w:rPr>
          <w:rFonts w:cstheme="minorHAnsi"/>
          <w:color w:val="000000" w:themeColor="text1"/>
          <w:shd w:val="clear" w:color="auto" w:fill="FFFFFF"/>
        </w:rPr>
        <w:t xml:space="preserve">, as outlined by the principle of training, to promote continued exercise engagement. </w:t>
      </w:r>
      <w:r w:rsidR="004C12CF" w:rsidRPr="00CA4ABC">
        <w:rPr>
          <w:rFonts w:cstheme="minorHAnsi"/>
          <w:color w:val="000000" w:themeColor="text1"/>
        </w:rPr>
        <w:t>Wienke and Jekauc</w:t>
      </w:r>
      <w:r w:rsidR="004C12CF" w:rsidRPr="00CA4ABC">
        <w:rPr>
          <w:rFonts w:cstheme="minorHAnsi"/>
          <w:color w:val="000000" w:themeColor="text1"/>
          <w:shd w:val="clear" w:color="auto" w:fill="FFFFFF"/>
        </w:rPr>
        <w:t xml:space="preserve"> also noted that social interaction was an emotional facilitator to exercise engagement </w:t>
      </w:r>
      <w:r w:rsidR="004C12CF"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{"citationItems":[{"id":"ITEM-1","itemData":{"DOI":"10.3389/FPSYG.2016.01296","ISSN":"16641078","PMID":"27621718","abstract":"Although previous research has shown that emotions are consistently associated with sport and exercise behavior, the working mechanisms are not understood to the extent of creating an intervention. The aim of this study is to identify situations and aspects of recreational sport and exercise, which lead to positive emotional reactions in people taking part in regular and long-term exercise. In this study, 24 adults (12 female, 12 male) distributed over three age groups (young, middle, and late adulthood), took part in recreational sports (individual or team sport) for at least 5 years. Semi-structured in depth interviews with questions about sport and exercise habits, long term participation and emotional response in a sporting environment were conducted in order to ascertain those situations and aspects of the exercise program triggering positive emotions. Interviews were transcribed verbatim and followed Grounded Theory principles. Emerging concepts were grouped and merged into different categories representing the key aspects of sport and exercise. Four factors were identified which are associated with the emergence of positive emotions in recreational sport and exercise. Firstly, perceived competence is one of the major factors influencing emotions during exercise and can represent individual and collective success and progress, competition and challenge. Secondly, perceived social interaction is another factor comprising of all sorts of peer-related aspects such as communication with others, being part of a group and creating close relationships or friendships. Thirdly, novelty experience in contrast to other none-sporting activities such as work, family or other leisure activities was another factor. The last factor found was the perceived physical exertion comprising of the degree of exhaustion, a possibly delayed turnaround in the emotional response and the aspect of sport being a physical compensation for everyday sedentary life. The results of this study provide the starting point for the development of interventions to enhance positive emotions in sports in order to increase maintenance and adherence to recreational sport and exercise.","author":[{"dropping-particle":"","family":"Wienke","given":"Benjamin","non-dropping-particle":"","parse-names":false,"suffix":""},{"dropping-particle":"","family":"Jekauc","given":"Darko","non-dropping-particle":"","parse-names":false,"suffix":""}],"container-title":"Frontiers in Psychology","id":"ITEM-1","issue":"AUG","issued":{"date-parts":[["2016","8","29"]]},"publisher":"Frontiers Media SA","title":"A Qualitative Analysis of Emotional Facilitators in Exercise","type":"article-journal","volume":"7"},"uris":["http://www.mendeley.com/documents/?uuid=2c135e57-3bd0-3620-bde1-a31bdb8d68f7"]}],"mendeley":{"formattedCitation":"(303)","plainTextFormattedCitation":"(303)","previouslyFormattedCitation":"(303)"},"properties":{"noteIndex":0},"schema":"https://github.com/citation-style-language/schema/raw/master/csl-citation.json"}</w:instrText>
      </w:r>
      <w:r w:rsidR="004C12CF"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(303)</w:t>
      </w:r>
      <w:r w:rsidR="004C12CF" w:rsidRPr="00CA4ABC">
        <w:rPr>
          <w:rFonts w:cstheme="minorHAnsi"/>
          <w:color w:val="000000" w:themeColor="text1"/>
          <w:shd w:val="clear" w:color="auto" w:fill="FFFFFF"/>
        </w:rPr>
        <w:fldChar w:fldCharType="end"/>
      </w:r>
      <w:r w:rsidR="004C12CF" w:rsidRPr="00CA4ABC">
        <w:rPr>
          <w:rFonts w:cstheme="minorHAnsi"/>
          <w:color w:val="000000" w:themeColor="text1"/>
          <w:shd w:val="clear" w:color="auto" w:fill="FFFFFF"/>
        </w:rPr>
        <w:t xml:space="preserve">, so increasing communication at the live </w:t>
      </w:r>
      <w:r w:rsidR="00DB4386" w:rsidRPr="00CA4ABC">
        <w:rPr>
          <w:rFonts w:cstheme="minorHAnsi"/>
          <w:color w:val="000000" w:themeColor="text1"/>
          <w:shd w:val="clear" w:color="auto" w:fill="FFFFFF"/>
        </w:rPr>
        <w:t>workout</w:t>
      </w:r>
      <w:r w:rsidR="004C12CF" w:rsidRPr="00CA4ABC">
        <w:rPr>
          <w:rFonts w:cstheme="minorHAnsi"/>
          <w:color w:val="000000" w:themeColor="text1"/>
          <w:shd w:val="clear" w:color="auto" w:fill="FFFFFF"/>
        </w:rPr>
        <w:t xml:space="preserve"> sessions may have benefits.  Moreover, </w:t>
      </w:r>
      <w:r w:rsidR="00161F57">
        <w:rPr>
          <w:rFonts w:cstheme="minorHAnsi"/>
          <w:color w:val="000000" w:themeColor="text1"/>
          <w:shd w:val="clear" w:color="auto" w:fill="FFFFFF"/>
        </w:rPr>
        <w:t xml:space="preserve">building up confidence initially in the comfort of home environments may </w:t>
      </w:r>
      <w:r w:rsidR="00161F57">
        <w:rPr>
          <w:rFonts w:cstheme="minorHAnsi"/>
          <w:color w:val="000000" w:themeColor="text1"/>
        </w:rPr>
        <w:t>encourage individuals to feel comfortable completing</w:t>
      </w:r>
      <w:r w:rsidR="004C12CF" w:rsidRPr="00CA4ABC">
        <w:rPr>
          <w:rFonts w:cstheme="minorHAnsi"/>
          <w:color w:val="000000" w:themeColor="text1"/>
        </w:rPr>
        <w:t xml:space="preserve"> workouts in other settings. This may be </w:t>
      </w:r>
      <w:r w:rsidR="004C46E7">
        <w:rPr>
          <w:rFonts w:cstheme="minorHAnsi"/>
          <w:color w:val="000000" w:themeColor="text1"/>
        </w:rPr>
        <w:t>particularly relevant</w:t>
      </w:r>
      <w:r w:rsidR="004C12CF" w:rsidRPr="00CA4ABC">
        <w:rPr>
          <w:rFonts w:cstheme="minorHAnsi"/>
          <w:color w:val="000000" w:themeColor="text1"/>
        </w:rPr>
        <w:t xml:space="preserve"> if progression</w:t>
      </w:r>
      <w:r w:rsidR="00DB4386" w:rsidRPr="00CA4ABC">
        <w:rPr>
          <w:rFonts w:cstheme="minorHAnsi"/>
          <w:color w:val="000000" w:themeColor="text1"/>
        </w:rPr>
        <w:t xml:space="preserve"> requirements</w:t>
      </w:r>
      <w:r w:rsidR="004C12CF" w:rsidRPr="00CA4ABC">
        <w:rPr>
          <w:rFonts w:cstheme="minorHAnsi"/>
          <w:color w:val="000000" w:themeColor="text1"/>
        </w:rPr>
        <w:t xml:space="preserve"> to </w:t>
      </w:r>
      <w:r w:rsidR="00DB4386" w:rsidRPr="00CA4ABC">
        <w:rPr>
          <w:rFonts w:cstheme="minorHAnsi"/>
          <w:color w:val="000000" w:themeColor="text1"/>
        </w:rPr>
        <w:t>continue making</w:t>
      </w:r>
      <w:r w:rsidR="004C12CF" w:rsidRPr="00CA4ABC">
        <w:rPr>
          <w:rFonts w:cstheme="minorHAnsi"/>
          <w:color w:val="000000" w:themeColor="text1"/>
        </w:rPr>
        <w:t xml:space="preserve"> strength gains</w:t>
      </w:r>
      <w:r w:rsidR="003C3DBF" w:rsidRPr="00CA4ABC">
        <w:rPr>
          <w:rFonts w:cstheme="minorHAnsi"/>
          <w:color w:val="000000" w:themeColor="text1"/>
        </w:rPr>
        <w:t xml:space="preserve"> </w:t>
      </w:r>
      <w:r w:rsidR="00DB4386" w:rsidRPr="00CA4ABC">
        <w:rPr>
          <w:rFonts w:cstheme="minorHAnsi"/>
          <w:color w:val="000000" w:themeColor="text1"/>
        </w:rPr>
        <w:t>exceed</w:t>
      </w:r>
      <w:r w:rsidR="003C3DBF" w:rsidRPr="00CA4ABC">
        <w:rPr>
          <w:rFonts w:cstheme="minorHAnsi"/>
          <w:color w:val="000000" w:themeColor="text1"/>
        </w:rPr>
        <w:t xml:space="preserve"> the </w:t>
      </w:r>
      <w:r w:rsidR="004C12CF" w:rsidRPr="00CA4ABC">
        <w:rPr>
          <w:rFonts w:cstheme="minorHAnsi"/>
          <w:color w:val="000000" w:themeColor="text1"/>
        </w:rPr>
        <w:t>stimulus provided by the resistance bands</w:t>
      </w:r>
      <w:r w:rsidR="00DB4386" w:rsidRPr="00CA4ABC">
        <w:rPr>
          <w:rFonts w:cstheme="minorHAnsi"/>
          <w:color w:val="000000" w:themeColor="text1"/>
        </w:rPr>
        <w:t>, particularly</w:t>
      </w:r>
      <w:r w:rsidR="004C12CF" w:rsidRPr="00CA4ABC">
        <w:rPr>
          <w:rFonts w:cstheme="minorHAnsi"/>
          <w:color w:val="000000" w:themeColor="text1"/>
        </w:rPr>
        <w:t xml:space="preserve"> </w:t>
      </w:r>
      <w:r w:rsidR="00DB4386" w:rsidRPr="00CA4ABC">
        <w:rPr>
          <w:rFonts w:cstheme="minorHAnsi"/>
          <w:color w:val="000000" w:themeColor="text1"/>
        </w:rPr>
        <w:t>as</w:t>
      </w:r>
      <w:r w:rsidR="004C12CF" w:rsidRPr="00CA4ABC">
        <w:rPr>
          <w:rFonts w:cstheme="minorHAnsi"/>
          <w:color w:val="000000" w:themeColor="text1"/>
        </w:rPr>
        <w:t xml:space="preserve"> their effectiveness in trained athletes </w:t>
      </w:r>
      <w:r w:rsidR="00DB4386" w:rsidRPr="00CA4ABC">
        <w:rPr>
          <w:rFonts w:cstheme="minorHAnsi"/>
          <w:color w:val="000000" w:themeColor="text1"/>
        </w:rPr>
        <w:t xml:space="preserve">is </w:t>
      </w:r>
      <w:r w:rsidR="004C12CF" w:rsidRPr="00CA4ABC">
        <w:rPr>
          <w:rFonts w:cstheme="minorHAnsi"/>
          <w:color w:val="000000" w:themeColor="text1"/>
        </w:rPr>
        <w:t xml:space="preserve">still equivocal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{"citationItems":[{"id":"ITEM-1","itemData":{"DOI":"10.1515/HUKIN-2017-0137","ISSN":"18997562","PMID":"29599855","abstract":"Elastic resistance bands require little space, are light and portable, but their efficacy has not yet been established for several resistance exercises. The main objective of this study was to compare the muscle activation levels induced by elastic resistance bands versus conventional resistance training equipment (dumbbells) in the upper-body resistance exercises flyes and reverse flyes. The level of muscle activation was measured with surface electromyography in 29 men and women in a cross-over design where resistance loadings with elastic resistance bands and dumbbells were matched using 10-repetition maximum loadings. Elastic resistance bands induced slightly lower muscle activity in the muscles most people aim to activate during flyes and reverse flies, namely pectoralis major and deltoideus posterior, respectively. However, elastic resistance bands increased the muscle activation level substantially in perceived ancillary muscles, that is deltoideus anterior in flyes, and deltoideus medius and trapezius descendens in reverse flyes, possibly due to elastic bands being a more unstable resistance modality. Overall, the results show that elastic resistance bands can be considered a feasible alternative to dumbbells in flyes and reverse flyes.","author":[{"dropping-particle":"","family":"Bergquist","given":"Ronny","non-dropping-particle":"","parse-names":false,"suffix":""},{"dropping-particle":"","family":"Iversen","given":"Vegard Moe","non-dropping-particle":"","parse-names":false,"suffix":""},{"dropping-particle":"","family":"Mork","given":"Paul J.","non-dropping-particle":"","parse-names":false,"suffix":""},{"dropping-particle":"","family":"Fimland","given":"Marius Steiro","non-dropping-particle":"","parse-names":false,"suffix":""}],"container-title":"Journal of Human Kinetics","id":"ITEM-1","issue":"1","issued":{"date-parts":[["2018","3","23"]]},"page":"5","publisher":"De Gruyter","title":"Muscle Activity in Upper-Body Single-Joint Resistance Exercises with Elastic Resistance Bands vs. Free Weights","type":"article-journal","volume":"61"},"uris":["http://www.mendeley.com/documents/?uuid=ec15b468-deeb-3f46-9f68-70aae9704029"]}],"mendeley":{"formattedCitation":"(304)","manualFormatting":"(301)","plainTextFormattedCitation":"(304)","previouslyFormattedCitation":"(304)"},"properties":{"noteIndex":0},"schema":"https://github.com/citation-style-language/schema/raw/master/csl-citation.json"}</w:instrText>
      </w:r>
      <w:r w:rsidR="004C12CF" w:rsidRPr="00CA4ABC">
        <w:rPr>
          <w:rFonts w:cstheme="minorHAnsi"/>
          <w:color w:val="000000" w:themeColor="text1"/>
        </w:rPr>
        <w:fldChar w:fldCharType="separate"/>
      </w:r>
      <w:r w:rsidR="00D647F3" w:rsidRPr="00CA4ABC">
        <w:rPr>
          <w:rFonts w:cstheme="minorHAnsi"/>
          <w:noProof/>
          <w:color w:val="000000" w:themeColor="text1"/>
        </w:rPr>
        <w:t>(30</w:t>
      </w:r>
      <w:r w:rsidR="00DB0149" w:rsidRPr="00CA4ABC">
        <w:rPr>
          <w:rFonts w:cstheme="minorHAnsi"/>
          <w:noProof/>
          <w:color w:val="000000" w:themeColor="text1"/>
        </w:rPr>
        <w:t>1</w:t>
      </w:r>
      <w:r w:rsidR="00D647F3" w:rsidRPr="00CA4ABC">
        <w:rPr>
          <w:rFonts w:cstheme="minorHAnsi"/>
          <w:noProof/>
          <w:color w:val="000000" w:themeColor="text1"/>
        </w:rPr>
        <w:t>)</w:t>
      </w:r>
      <w:r w:rsidR="004C12CF" w:rsidRPr="00CA4ABC">
        <w:rPr>
          <w:rFonts w:cstheme="minorHAnsi"/>
          <w:color w:val="000000" w:themeColor="text1"/>
        </w:rPr>
        <w:fldChar w:fldCharType="end"/>
      </w:r>
      <w:r w:rsidR="004C12CF" w:rsidRPr="00CA4ABC">
        <w:rPr>
          <w:rFonts w:cstheme="minorHAnsi"/>
          <w:color w:val="000000" w:themeColor="text1"/>
        </w:rPr>
        <w:t xml:space="preserve">. </w:t>
      </w:r>
      <w:r w:rsidR="00784C10" w:rsidRPr="00CA4ABC">
        <w:rPr>
          <w:rFonts w:cstheme="minorHAnsi"/>
          <w:color w:val="000000" w:themeColor="text1"/>
        </w:rPr>
        <w:t>Exploring ways to progress resistance training stimuli away from gym environment</w:t>
      </w:r>
      <w:r w:rsidR="00DB4386" w:rsidRPr="00CA4ABC">
        <w:rPr>
          <w:rFonts w:cstheme="minorHAnsi"/>
          <w:color w:val="000000" w:themeColor="text1"/>
        </w:rPr>
        <w:t>s</w:t>
      </w:r>
      <w:r w:rsidR="00784C10" w:rsidRPr="00CA4ABC">
        <w:rPr>
          <w:rFonts w:cstheme="minorHAnsi"/>
          <w:color w:val="000000" w:themeColor="text1"/>
        </w:rPr>
        <w:t xml:space="preserve"> may be warranted. Alternatively, if this is not possible via home-based means alone, understanding if programmes which start at home and work to build self-assurance so that individuals then have the confidence to enter gym environments</w:t>
      </w:r>
      <w:r w:rsidR="001149E5" w:rsidRPr="00CA4ABC">
        <w:rPr>
          <w:rFonts w:cstheme="minorHAnsi"/>
          <w:color w:val="000000" w:themeColor="text1"/>
        </w:rPr>
        <w:t xml:space="preserve"> and continue resistance training</w:t>
      </w:r>
      <w:r w:rsidR="00784C10" w:rsidRPr="00CA4ABC">
        <w:rPr>
          <w:rFonts w:cstheme="minorHAnsi"/>
          <w:color w:val="000000" w:themeColor="text1"/>
        </w:rPr>
        <w:t xml:space="preserve"> </w:t>
      </w:r>
      <w:r w:rsidR="004C46E7">
        <w:rPr>
          <w:rFonts w:cstheme="minorHAnsi"/>
          <w:color w:val="000000" w:themeColor="text1"/>
        </w:rPr>
        <w:t xml:space="preserve">is also </w:t>
      </w:r>
      <w:r w:rsidR="00784C10" w:rsidRPr="00CA4ABC">
        <w:rPr>
          <w:rFonts w:cstheme="minorHAnsi"/>
          <w:color w:val="000000" w:themeColor="text1"/>
        </w:rPr>
        <w:t>of benefit.</w:t>
      </w:r>
    </w:p>
    <w:p w14:paraId="58435E92" w14:textId="77777777" w:rsidR="004C12CF" w:rsidRPr="00CA4ABC" w:rsidRDefault="004C12CF" w:rsidP="004053D7">
      <w:pPr>
        <w:spacing w:line="360" w:lineRule="auto"/>
        <w:rPr>
          <w:rFonts w:cstheme="minorHAnsi"/>
          <w:color w:val="000000" w:themeColor="text1"/>
        </w:rPr>
      </w:pPr>
    </w:p>
    <w:p w14:paraId="2B8FDB56" w14:textId="3CA37D81"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COM-B behaviour models and frameworks of behaviour </w:t>
      </w:r>
      <w:r w:rsidR="003C3DBF" w:rsidRPr="00CA4ABC">
        <w:rPr>
          <w:rFonts w:cstheme="minorHAnsi"/>
          <w:color w:val="000000" w:themeColor="text1"/>
        </w:rPr>
        <w:t>c</w:t>
      </w:r>
      <w:r w:rsidRPr="00CA4ABC">
        <w:rPr>
          <w:rFonts w:cstheme="minorHAnsi"/>
          <w:color w:val="000000" w:themeColor="text1"/>
        </w:rPr>
        <w:t xml:space="preserve">hange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{"citationItems":[{"id":"ITEM-1","itemData":{"DOI":"10.1186/1748-5908-6-42/TABLES/3","ISSN":"17485908","PMID":"21513547","abstract":"Background: Improving the design and implementation of evidence-based practice depends on successful behaviour change interventions. This requires an appropriate method for characterising interventions and linking them to an analysis of the targeted behaviour. There exists a plethora of frameworks of behaviour change interventions, but it is not clear how well they serve this purpose. This paper evaluates these frameworks, and develops and evaluates a new framework aimed at overcoming their limitations.Methods: A systematic search of electronic databases and consultation with behaviour change experts were used to identify frameworks of behaviour change interventions. These were evaluated according to three criteria: comprehensiveness, coherence, and a clear link to an overarching model of behaviour. A new framework was developed to meet these criteria. The reliability with which it could be applied was examined in two domains of behaviour change: tobacco control and obesity.Results: Nineteen frameworks were identified covering nine intervention functions and seven policy categories that could enable those interventions. None of the frameworks reviewed covered the full range of intervention functions or policies, and only a minority met the criteria of coherence or linkage to a model of behaviour. At the centre of a proposed new framework is a 'behaviour system' involving three essential conditions: capability, opportunity, and motivation (what we term the 'COM-B system'). This forms the hub of a 'behaviour change wheel' (BCW) around which are positioned the nine intervention functions aimed at addressing deficits in one or more of these conditions; around this are placed seven categories of policy that could enable those interventions to occur. The BCW was used reliably to characterise interventions within the English Department of Health's 2010 tobacco control strategy and the National Institute of Health and Clinical Excellence's guidance on reducing obesity.Conclusions: Interventions and policies to change behaviour can be usefully characterised by means of a BCW comprising: a 'behaviour system' at the hub, encircled by intervention functions and then by policy categories. Research is needed to establish how far the BCW can lead to more efficient design of effective interventions. © 2011 Michie et al; licensee BioMed Central Ltd.","author":[{"dropping-particle":"","family":"Michie","given":"Susan","non-dropping-particle":"","parse-names":false,"suffix":""},{"dropping-particle":"","family":"Stralen","given":"Maartje M.","non-dropping-particle":"van","parse-names":false,"suffix":""},{"dropping-particle":"","family":"West","given":"Robert","non-dropping-particle":"","parse-names":false,"suffix":""}],"container-title":"Implementation Science","id":"ITEM-1","issue":"1","issued":{"date-parts":[["2011","4","23"]]},"page":"1-12","publisher":"BioMed Central","title":"The behaviour change wheel: A new method for characterising and designing behaviour change interventions","type":"article-journal","volume":"6"},"uris":["http://www.mendeley.com/documents/?uuid=5f8845ea-4dfc-3b60-9664-0c4c7ce5ad49"]}],"mendeley":{"formattedCitation":"(238)","plainTextFormattedCitation":"(238)","previouslyFormattedCitation":"(238)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(238)</w:t>
      </w:r>
      <w:r w:rsidRPr="00CA4ABC">
        <w:rPr>
          <w:rFonts w:cstheme="minorHAnsi"/>
          <w:color w:val="000000" w:themeColor="text1"/>
        </w:rPr>
        <w:fldChar w:fldCharType="end"/>
      </w:r>
      <w:r w:rsidRPr="00CA4ABC">
        <w:rPr>
          <w:rFonts w:cstheme="minorHAnsi"/>
          <w:color w:val="000000" w:themeColor="text1"/>
        </w:rPr>
        <w:t xml:space="preserve"> suggest that a key feature for promoting behaviour is the motivation to undertake this (autonomic and reflective). Positive psychological outcomes link to beliefs about what is good and emphasise the role reflective motivation has on exercise engagement. </w:t>
      </w:r>
      <w:r w:rsidR="001149E5" w:rsidRPr="00CA4ABC">
        <w:rPr>
          <w:rFonts w:cstheme="minorHAnsi"/>
          <w:color w:val="000000" w:themeColor="text1"/>
        </w:rPr>
        <w:t>Behaviour models suggest</w:t>
      </w:r>
      <w:r w:rsidRPr="00CA4ABC">
        <w:rPr>
          <w:rFonts w:cstheme="minorHAnsi"/>
          <w:color w:val="000000" w:themeColor="text1"/>
        </w:rPr>
        <w:t xml:space="preserve"> that service provisions</w:t>
      </w:r>
      <w:r w:rsidR="001149E5" w:rsidRPr="00CA4ABC">
        <w:rPr>
          <w:rFonts w:cstheme="minorHAnsi"/>
          <w:color w:val="000000" w:themeColor="text1"/>
        </w:rPr>
        <w:t xml:space="preserve">, such as having access to the </w:t>
      </w:r>
      <w:r w:rsidR="004C46E7">
        <w:rPr>
          <w:rFonts w:cstheme="minorHAnsi"/>
          <w:color w:val="000000" w:themeColor="text1"/>
        </w:rPr>
        <w:t>proper</w:t>
      </w:r>
      <w:r w:rsidR="001149E5" w:rsidRPr="00CA4ABC">
        <w:rPr>
          <w:rFonts w:cstheme="minorHAnsi"/>
          <w:color w:val="000000" w:themeColor="text1"/>
        </w:rPr>
        <w:t xml:space="preserve"> infrastructures,</w:t>
      </w:r>
      <w:r w:rsidRPr="00CA4ABC">
        <w:rPr>
          <w:rFonts w:cstheme="minorHAnsi"/>
          <w:color w:val="000000" w:themeColor="text1"/>
        </w:rPr>
        <w:t xml:space="preserve"> </w:t>
      </w:r>
      <w:r w:rsidR="00DB0149" w:rsidRPr="00CA4ABC">
        <w:rPr>
          <w:rFonts w:cstheme="minorHAnsi"/>
          <w:color w:val="000000" w:themeColor="text1"/>
        </w:rPr>
        <w:t>are</w:t>
      </w:r>
      <w:r w:rsidRPr="00CA4ABC">
        <w:rPr>
          <w:rFonts w:cstheme="minorHAnsi"/>
          <w:color w:val="000000" w:themeColor="text1"/>
        </w:rPr>
        <w:t xml:space="preserve"> a strong influencer for motivation. This </w:t>
      </w:r>
      <w:r w:rsidR="004B15FC" w:rsidRPr="00CA4ABC">
        <w:rPr>
          <w:rFonts w:cstheme="minorHAnsi"/>
          <w:color w:val="000000" w:themeColor="text1"/>
        </w:rPr>
        <w:t>demonstrates</w:t>
      </w:r>
      <w:r w:rsidRPr="00CA4ABC">
        <w:rPr>
          <w:rFonts w:cstheme="minorHAnsi"/>
          <w:color w:val="000000" w:themeColor="text1"/>
        </w:rPr>
        <w:t xml:space="preserve"> the importance of ensuring the programme is optimal, streamlined and high</w:t>
      </w:r>
      <w:r w:rsidR="00DB0149" w:rsidRPr="00CA4ABC">
        <w:rPr>
          <w:rFonts w:cstheme="minorHAnsi"/>
          <w:color w:val="000000" w:themeColor="text1"/>
        </w:rPr>
        <w:t>-</w:t>
      </w:r>
      <w:r w:rsidRPr="00CA4ABC">
        <w:rPr>
          <w:rFonts w:cstheme="minorHAnsi"/>
          <w:color w:val="000000" w:themeColor="text1"/>
        </w:rPr>
        <w:t xml:space="preserve">quality. </w:t>
      </w:r>
      <w:r w:rsidR="00DB0149" w:rsidRPr="00CA4ABC">
        <w:rPr>
          <w:rFonts w:cstheme="minorHAnsi"/>
          <w:color w:val="000000" w:themeColor="text1"/>
        </w:rPr>
        <w:t>The</w:t>
      </w:r>
      <w:r w:rsidRPr="00CA4ABC">
        <w:rPr>
          <w:rFonts w:cstheme="minorHAnsi"/>
          <w:color w:val="000000" w:themeColor="text1"/>
        </w:rPr>
        <w:t xml:space="preserve"> instructor would </w:t>
      </w:r>
      <w:r w:rsidR="00DB0149" w:rsidRPr="00CA4ABC">
        <w:rPr>
          <w:rFonts w:cstheme="minorHAnsi"/>
          <w:color w:val="000000" w:themeColor="text1"/>
        </w:rPr>
        <w:t xml:space="preserve">also </w:t>
      </w:r>
      <w:r w:rsidRPr="00CA4ABC">
        <w:rPr>
          <w:rFonts w:cstheme="minorHAnsi"/>
          <w:color w:val="000000" w:themeColor="text1"/>
        </w:rPr>
        <w:t>influence</w:t>
      </w:r>
      <w:r w:rsidR="00DB0149" w:rsidRPr="00CA4ABC">
        <w:rPr>
          <w:rFonts w:cstheme="minorHAnsi"/>
          <w:color w:val="000000" w:themeColor="text1"/>
        </w:rPr>
        <w:t xml:space="preserve"> </w:t>
      </w:r>
      <w:r w:rsidRPr="00CA4ABC">
        <w:rPr>
          <w:rFonts w:cstheme="minorHAnsi"/>
          <w:color w:val="000000" w:themeColor="text1"/>
        </w:rPr>
        <w:t>this, and the participant</w:t>
      </w:r>
      <w:r w:rsidR="00DB0149" w:rsidRPr="00CA4ABC">
        <w:rPr>
          <w:rFonts w:cstheme="minorHAnsi"/>
          <w:color w:val="000000" w:themeColor="text1"/>
        </w:rPr>
        <w:t>’</w:t>
      </w:r>
      <w:r w:rsidRPr="00CA4ABC">
        <w:rPr>
          <w:rFonts w:cstheme="minorHAnsi"/>
          <w:color w:val="000000" w:themeColor="text1"/>
        </w:rPr>
        <w:t xml:space="preserve">s comments </w:t>
      </w:r>
      <w:r w:rsidR="003C3DBF" w:rsidRPr="00CA4ABC">
        <w:rPr>
          <w:rFonts w:cstheme="minorHAnsi"/>
          <w:color w:val="000000" w:themeColor="text1"/>
        </w:rPr>
        <w:t>support that it</w:t>
      </w:r>
      <w:r w:rsidRPr="00CA4ABC">
        <w:rPr>
          <w:rFonts w:cstheme="minorHAnsi"/>
          <w:color w:val="000000" w:themeColor="text1"/>
        </w:rPr>
        <w:t xml:space="preserve"> </w:t>
      </w:r>
      <w:r w:rsidR="00DB0149" w:rsidRPr="00CA4ABC">
        <w:rPr>
          <w:rFonts w:cstheme="minorHAnsi"/>
          <w:color w:val="000000" w:themeColor="text1"/>
        </w:rPr>
        <w:t>enhanced</w:t>
      </w:r>
      <w:r w:rsidRPr="00CA4ABC">
        <w:rPr>
          <w:rFonts w:cstheme="minorHAnsi"/>
          <w:color w:val="000000" w:themeColor="text1"/>
        </w:rPr>
        <w:t xml:space="preserve"> their motivation. Ensuring the instructor’s delivery style is satisfactory, along with having the necessary qualification</w:t>
      </w:r>
      <w:r w:rsidR="00DB0149" w:rsidRPr="00CA4ABC">
        <w:rPr>
          <w:rFonts w:cstheme="minorHAnsi"/>
          <w:color w:val="000000" w:themeColor="text1"/>
        </w:rPr>
        <w:t>,</w:t>
      </w:r>
      <w:r w:rsidRPr="00CA4ABC">
        <w:rPr>
          <w:rFonts w:cstheme="minorHAnsi"/>
          <w:color w:val="000000" w:themeColor="text1"/>
        </w:rPr>
        <w:t xml:space="preserve"> is required. </w:t>
      </w:r>
    </w:p>
    <w:p w14:paraId="48DE32FB" w14:textId="77777777" w:rsidR="004C12CF" w:rsidRPr="00CA4ABC" w:rsidRDefault="004C12CF" w:rsidP="004053D7">
      <w:pPr>
        <w:spacing w:line="360" w:lineRule="auto"/>
        <w:rPr>
          <w:rFonts w:cstheme="minorHAnsi"/>
          <w:color w:val="000000" w:themeColor="text1"/>
        </w:rPr>
      </w:pPr>
    </w:p>
    <w:p w14:paraId="0F569EA1" w14:textId="29A132C0"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All participants continued to engage in the trial, which supports adherence measurements. The six-week duration, however, </w:t>
      </w:r>
      <w:r w:rsidR="001149E5" w:rsidRPr="00CA4ABC">
        <w:rPr>
          <w:rFonts w:cstheme="minorHAnsi"/>
          <w:color w:val="000000" w:themeColor="text1"/>
        </w:rPr>
        <w:t>limits insights into</w:t>
      </w:r>
      <w:r w:rsidR="004B3DCC" w:rsidRPr="00CA4ABC">
        <w:rPr>
          <w:rFonts w:cstheme="minorHAnsi"/>
          <w:color w:val="000000" w:themeColor="text1"/>
        </w:rPr>
        <w:t xml:space="preserve"> the</w:t>
      </w:r>
      <w:r w:rsidR="001149E5" w:rsidRPr="00CA4ABC">
        <w:rPr>
          <w:rFonts w:cstheme="minorHAnsi"/>
          <w:color w:val="000000" w:themeColor="text1"/>
        </w:rPr>
        <w:t xml:space="preserve"> potential for</w:t>
      </w:r>
      <w:r w:rsidRPr="00CA4ABC">
        <w:rPr>
          <w:rFonts w:cstheme="minorHAnsi"/>
          <w:color w:val="000000" w:themeColor="text1"/>
        </w:rPr>
        <w:t xml:space="preserve"> longer-term engagement. Despite participants stating they </w:t>
      </w:r>
      <w:r w:rsidR="004C46E7">
        <w:rPr>
          <w:rFonts w:cstheme="minorHAnsi"/>
          <w:color w:val="000000" w:themeColor="text1"/>
        </w:rPr>
        <w:t>intended to continue using</w:t>
      </w:r>
      <w:r w:rsidRPr="00CA4ABC">
        <w:rPr>
          <w:rFonts w:cstheme="minorHAnsi"/>
          <w:color w:val="000000" w:themeColor="text1"/>
        </w:rPr>
        <w:t xml:space="preserve"> their band</w:t>
      </w:r>
      <w:r w:rsidR="00A00501" w:rsidRPr="00CA4ABC">
        <w:rPr>
          <w:rFonts w:cstheme="minorHAnsi"/>
          <w:color w:val="000000" w:themeColor="text1"/>
        </w:rPr>
        <w:t>s</w:t>
      </w:r>
      <w:r w:rsidRPr="00CA4ABC">
        <w:rPr>
          <w:rFonts w:cstheme="minorHAnsi"/>
          <w:color w:val="000000" w:themeColor="text1"/>
        </w:rPr>
        <w:t xml:space="preserve"> after the trial was over, two-month follow responses</w:t>
      </w:r>
      <w:r w:rsidR="00A00501" w:rsidRPr="00CA4ABC">
        <w:rPr>
          <w:rFonts w:cstheme="minorHAnsi"/>
          <w:color w:val="000000" w:themeColor="text1"/>
        </w:rPr>
        <w:t xml:space="preserve"> indicated</w:t>
      </w:r>
      <w:r w:rsidRPr="00CA4ABC">
        <w:rPr>
          <w:rFonts w:cstheme="minorHAnsi"/>
          <w:color w:val="000000" w:themeColor="text1"/>
        </w:rPr>
        <w:t xml:space="preserve"> that</w:t>
      </w:r>
      <w:r w:rsidR="004B15FC" w:rsidRPr="00CA4ABC">
        <w:rPr>
          <w:rFonts w:cstheme="minorHAnsi"/>
          <w:color w:val="000000" w:themeColor="text1"/>
        </w:rPr>
        <w:t xml:space="preserve"> only</w:t>
      </w:r>
      <w:r w:rsidRPr="00CA4ABC">
        <w:rPr>
          <w:rFonts w:cstheme="minorHAnsi"/>
          <w:color w:val="000000" w:themeColor="text1"/>
        </w:rPr>
        <w:t xml:space="preserve"> three out of the six participants who responded to the correspondence had continue</w:t>
      </w:r>
      <w:r w:rsidR="00A00501" w:rsidRPr="00CA4ABC">
        <w:rPr>
          <w:rFonts w:cstheme="minorHAnsi"/>
          <w:color w:val="000000" w:themeColor="text1"/>
        </w:rPr>
        <w:t>d</w:t>
      </w:r>
      <w:r w:rsidRPr="00CA4ABC">
        <w:rPr>
          <w:rFonts w:cstheme="minorHAnsi"/>
          <w:color w:val="000000" w:themeColor="text1"/>
        </w:rPr>
        <w:t xml:space="preserve"> to use the bands. If resistance training is not continued for extended periods, any muscle gains acquired may be </w:t>
      </w:r>
      <w:r w:rsidRPr="00CA4ABC">
        <w:rPr>
          <w:rFonts w:cstheme="minorHAnsi"/>
          <w:color w:val="000000" w:themeColor="text1"/>
        </w:rPr>
        <w:lastRenderedPageBreak/>
        <w:t xml:space="preserve">lost. Evidence from de-training studies </w:t>
      </w:r>
      <w:r w:rsidR="004B15FC" w:rsidRPr="00CA4ABC">
        <w:rPr>
          <w:rFonts w:cstheme="minorHAnsi"/>
          <w:color w:val="000000" w:themeColor="text1"/>
        </w:rPr>
        <w:t>has</w:t>
      </w:r>
      <w:r w:rsidRPr="00CA4ABC">
        <w:rPr>
          <w:rFonts w:cstheme="minorHAnsi"/>
          <w:color w:val="000000" w:themeColor="text1"/>
        </w:rPr>
        <w:t xml:space="preserve"> suggested that muscle mass gains can be reversed. Blocquiaux et al</w:t>
      </w:r>
      <w:r w:rsidR="00013D0E" w:rsidRPr="00CA4ABC">
        <w:rPr>
          <w:rFonts w:cstheme="minorHAnsi"/>
          <w:color w:val="000000" w:themeColor="text1"/>
        </w:rPr>
        <w:t>.</w:t>
      </w:r>
      <w:r w:rsidRPr="00CA4ABC">
        <w:rPr>
          <w:rFonts w:cstheme="minorHAnsi"/>
          <w:color w:val="000000" w:themeColor="text1"/>
        </w:rPr>
        <w:t xml:space="preserve">, 2020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{"citationItems":[{"id":"ITEM-1","itemData":{"DOI":"10.1016/j.exger.2020.110860","ISSN":"18736815","PMID":"32017951","abstract":"Introduction: Ageing is associated with an attenuated hypertrophic response to resistance training and periods of training interruptions. Hence, elderly would benefit from the ‘muscle memory’ effects of resistance training on muscle strength and mass during detraining and retraining. As the underlying mechanisms are not yet clear, this study investigated the role of myonuclei during training, detraining and retraining by using PCM1 labelling in muscle cross-sections of six older men. Methods: Knee extension strength and power were measured in 30 older men and 10 controls before and after 12 weeks resistance training and after detraining and retraining of similar length. In a subset, muscle biopsies from the vastus lateralis were taken for analysis of fibre size, fibre type distribution, Pax7+ satellite cell number and myonuclear domain size. Results: Resistance training increased knee extension strength and power parameters (+10 to +36%, p &lt; .001) and decreased the frequency of type IIax fibres by half (from 20 to 10%, p = .034). Detraining resulted in a modest loss of strength and power (−5 to −15%, p ≤ .004) and a trend towards a fibre-type specific decrease in type II fibre cross-sectional area (−17%, p = .087), type II satellite cell number (−30%, p = .054) and type II myonuclear number (−12%, p = .084). Less than eight weeks of retraining were needed to reach the post-training level of one-repetition maximum strength. Twelve weeks of retraining were associated with type II fibre hypertrophy (+29%, p = .050), which also promoted an increase in the number of satellite cells (+72%, p = .036) and myonuclei (+13%, p = .048) in type II fibres. Changes in the type II fibre cross-sectional area were positively correlated with changes in the myonuclear number (Pearson's r between 0.40 and 0.73), resulting in a stable myonuclear domain. Conclusion: Gained strength and power and fibre type changes were partially preserved following 12 weeks of detraining, allowing for a fast recovery of the 1RM performance following retraining. Myonuclear number tended to follow individual changes in type II fibre size, which is in support of the myonuclear domain theory.","author":[{"dropping-particle":"","family":"Blocquiaux","given":"Sara","non-dropping-particle":"","parse-names":false,"suffix":""},{"dropping-particle":"","family":"Gorski","given":"Tatiane","non-dropping-particle":"","parse-names":false,"suffix":""},{"dropping-particle":"","family":"Roie","given":"Evelien","non-dropping-particle":"Van","parse-names":false,"suffix":""},{"dropping-particle":"","family":"Ramaekers","given":"Monique","non-dropping-particle":"","parse-names":false,"suffix":""},{"dropping-particle":"","family":"Thienen","given":"Ruud","non-dropping-particle":"Van","parse-names":false,"suffix":""},{"dropping-particle":"","family":"Nielens","given":"Henri","non-dropping-particle":"","parse-names":false,"suffix":""},{"dropping-particle":"","family":"Delecluse","given":"Christophe","non-dropping-particle":"","parse-names":false,"suffix":""},{"dropping-particle":"","family":"Bock","given":"Katrien","non-dropping-particle":"De","parse-names":false,"suffix":""},{"dropping-particle":"","family":"Thomis","given":"Martine","non-dropping-particle":"","parse-names":false,"suffix":""}],"container-title":"Experimental Gerontology","id":"ITEM-1","issued":{"date-parts":[["2020","5","1"]]},"page":"110860","publisher":"Elsevier Inc.","title":"The effect of resistance training, detraining and retraining on muscle strength and power, myofibre size, satellite cells and myonuclei in older men","type":"article-journal","volume":"133"},"uris":["http://www.mendeley.com/documents/?uuid=39737a19-d02e-317d-ad83-0be0c9ada7bb"]}],"mendeley":{"formattedCitation":"(305)","plainTextFormattedCitation":"(305)","previouslyFormattedCitation":"(305)"},"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(305)</w:t>
      </w:r>
      <w:r w:rsidRPr="00CA4ABC">
        <w:rPr>
          <w:rFonts w:cstheme="minorHAnsi"/>
          <w:color w:val="000000" w:themeColor="text1"/>
        </w:rPr>
        <w:fldChar w:fldCharType="end"/>
      </w:r>
      <w:r w:rsidRPr="00CA4ABC">
        <w:rPr>
          <w:rFonts w:cstheme="minorHAnsi"/>
          <w:color w:val="000000" w:themeColor="text1"/>
        </w:rPr>
        <w:t xml:space="preserve"> aimed to assess the effect of resistance training, detraining and retraining on muscle parameters. Older men undertook 12 weeks of whole-body resistance training, followed by 12</w:t>
      </w:r>
      <w:r w:rsidR="00A00501" w:rsidRPr="00CA4ABC">
        <w:rPr>
          <w:rFonts w:cstheme="minorHAnsi"/>
          <w:color w:val="000000" w:themeColor="text1"/>
        </w:rPr>
        <w:t xml:space="preserve"> </w:t>
      </w:r>
      <w:r w:rsidRPr="00CA4ABC">
        <w:rPr>
          <w:rFonts w:cstheme="minorHAnsi"/>
          <w:color w:val="000000" w:themeColor="text1"/>
        </w:rPr>
        <w:t xml:space="preserve">weeks of detraining where they did not perform any RT before recommencing training for another 12 weeks.  </w:t>
      </w:r>
      <w:r w:rsidR="004B15FC" w:rsidRPr="00CA4ABC">
        <w:rPr>
          <w:rFonts w:cstheme="minorHAnsi"/>
          <w:color w:val="000000" w:themeColor="text1"/>
        </w:rPr>
        <w:t>Leg press</w:t>
      </w:r>
      <w:r w:rsidRPr="00CA4ABC">
        <w:rPr>
          <w:rFonts w:cstheme="minorHAnsi"/>
          <w:color w:val="000000" w:themeColor="text1"/>
        </w:rPr>
        <w:t xml:space="preserve"> 1RM </w:t>
      </w:r>
      <w:r w:rsidR="004B15FC" w:rsidRPr="00CA4ABC">
        <w:rPr>
          <w:rFonts w:cstheme="minorHAnsi"/>
          <w:color w:val="000000" w:themeColor="text1"/>
        </w:rPr>
        <w:t>measurements</w:t>
      </w:r>
      <w:r w:rsidRPr="00CA4ABC">
        <w:rPr>
          <w:rFonts w:cstheme="minorHAnsi"/>
          <w:color w:val="000000" w:themeColor="text1"/>
        </w:rPr>
        <w:t xml:space="preserve"> were performed every </w:t>
      </w:r>
      <w:r w:rsidR="004C46E7">
        <w:rPr>
          <w:rFonts w:cstheme="minorHAnsi"/>
          <w:color w:val="000000" w:themeColor="text1"/>
        </w:rPr>
        <w:t>four</w:t>
      </w:r>
      <w:r w:rsidRPr="00CA4ABC">
        <w:rPr>
          <w:rFonts w:cstheme="minorHAnsi"/>
          <w:color w:val="000000" w:themeColor="text1"/>
        </w:rPr>
        <w:t xml:space="preserve"> weeks, in addition to muscle biopsies and knee extension strength and power measurements taken during weeks 0, 12, 24 and 36. They found that detraining resulted in a modest loss of strength and power (−5 to −15%, </w:t>
      </w:r>
      <w:r w:rsidRPr="00CA4ABC">
        <w:rPr>
          <w:rStyle w:val="Emphasis"/>
          <w:rFonts w:cstheme="minorHAnsi"/>
          <w:i w:val="0"/>
          <w:iCs w:val="0"/>
          <w:color w:val="000000" w:themeColor="text1"/>
        </w:rPr>
        <w:t>p</w:t>
      </w:r>
      <w:r w:rsidRPr="00CA4ABC">
        <w:rPr>
          <w:rFonts w:cstheme="minorHAnsi"/>
          <w:color w:val="000000" w:themeColor="text1"/>
        </w:rPr>
        <w:t>≤0.004) and a trend towards a fibre-type specific decrease in type II fibre cross-sectional area (−17%, </w:t>
      </w:r>
      <w:r w:rsidRPr="00CA4ABC">
        <w:rPr>
          <w:rStyle w:val="Emphasis"/>
          <w:rFonts w:cstheme="minorHAnsi"/>
          <w:i w:val="0"/>
          <w:iCs w:val="0"/>
          <w:color w:val="000000" w:themeColor="text1"/>
        </w:rPr>
        <w:t>p</w:t>
      </w:r>
      <w:r w:rsidRPr="00CA4ABC">
        <w:rPr>
          <w:rFonts w:cstheme="minorHAnsi"/>
          <w:color w:val="000000" w:themeColor="text1"/>
        </w:rPr>
        <w:t>=0.087), type II satellite cell number (−30%, </w:t>
      </w:r>
      <w:r w:rsidRPr="00CA4ABC">
        <w:rPr>
          <w:rStyle w:val="Emphasis"/>
          <w:rFonts w:cstheme="minorHAnsi"/>
          <w:i w:val="0"/>
          <w:iCs w:val="0"/>
          <w:color w:val="000000" w:themeColor="text1"/>
        </w:rPr>
        <w:t>p</w:t>
      </w:r>
      <w:r w:rsidRPr="00CA4ABC">
        <w:rPr>
          <w:rFonts w:cstheme="minorHAnsi"/>
          <w:color w:val="000000" w:themeColor="text1"/>
        </w:rPr>
        <w:t>=0.054) and type II myonuclear number (−12%, </w:t>
      </w:r>
      <w:r w:rsidRPr="00CA4ABC">
        <w:rPr>
          <w:rStyle w:val="Emphasis"/>
          <w:rFonts w:cstheme="minorHAnsi"/>
          <w:i w:val="0"/>
          <w:iCs w:val="0"/>
          <w:color w:val="000000" w:themeColor="text1"/>
        </w:rPr>
        <w:t>p</w:t>
      </w:r>
      <w:r w:rsidRPr="00CA4ABC">
        <w:rPr>
          <w:rFonts w:cstheme="minorHAnsi"/>
          <w:color w:val="000000" w:themeColor="text1"/>
        </w:rPr>
        <w:t>=0.084</w:t>
      </w:r>
      <w:r w:rsidR="00A00501" w:rsidRPr="00CA4ABC">
        <w:rPr>
          <w:rFonts w:cstheme="minorHAnsi"/>
          <w:color w:val="000000" w:themeColor="text1"/>
        </w:rPr>
        <w:t>). However</w:t>
      </w:r>
      <w:r w:rsidRPr="00CA4ABC">
        <w:rPr>
          <w:rFonts w:cstheme="minorHAnsi"/>
          <w:color w:val="000000" w:themeColor="text1"/>
        </w:rPr>
        <w:t xml:space="preserve"> these did not fully revert to pre-training levels. This suggest</w:t>
      </w:r>
      <w:r w:rsidR="003C3DBF" w:rsidRPr="00CA4ABC">
        <w:rPr>
          <w:rFonts w:cstheme="minorHAnsi"/>
          <w:color w:val="000000" w:themeColor="text1"/>
        </w:rPr>
        <w:t>s</w:t>
      </w:r>
      <w:r w:rsidRPr="00CA4ABC">
        <w:rPr>
          <w:rFonts w:cstheme="minorHAnsi"/>
          <w:color w:val="000000" w:themeColor="text1"/>
        </w:rPr>
        <w:t xml:space="preserve"> that to </w:t>
      </w:r>
      <w:r w:rsidR="003C3DBF" w:rsidRPr="00CA4ABC">
        <w:rPr>
          <w:rFonts w:cstheme="minorHAnsi"/>
          <w:color w:val="000000" w:themeColor="text1"/>
        </w:rPr>
        <w:t xml:space="preserve">optimise </w:t>
      </w:r>
      <w:r w:rsidRPr="00CA4ABC">
        <w:rPr>
          <w:rFonts w:cstheme="minorHAnsi"/>
          <w:color w:val="000000" w:themeColor="text1"/>
        </w:rPr>
        <w:t xml:space="preserve">beneficial outcomes for fall prevention in later life, </w:t>
      </w:r>
      <w:r w:rsidR="003C3DBF" w:rsidRPr="00CA4ABC">
        <w:rPr>
          <w:rFonts w:cstheme="minorHAnsi"/>
          <w:color w:val="000000" w:themeColor="text1"/>
        </w:rPr>
        <w:t>continued engagement in the</w:t>
      </w:r>
      <w:r w:rsidRPr="00CA4ABC">
        <w:rPr>
          <w:rFonts w:cstheme="minorHAnsi"/>
          <w:color w:val="000000" w:themeColor="text1"/>
        </w:rPr>
        <w:t xml:space="preserve"> intervention programme will</w:t>
      </w:r>
      <w:r w:rsidR="003C3DBF" w:rsidRPr="00CA4ABC">
        <w:rPr>
          <w:rFonts w:cstheme="minorHAnsi"/>
          <w:color w:val="000000" w:themeColor="text1"/>
        </w:rPr>
        <w:t xml:space="preserve"> be needed</w:t>
      </w:r>
      <w:r w:rsidRPr="00CA4ABC">
        <w:rPr>
          <w:rFonts w:cstheme="minorHAnsi"/>
          <w:color w:val="000000" w:themeColor="text1"/>
        </w:rPr>
        <w:t xml:space="preserve"> after the trial has c</w:t>
      </w:r>
      <w:r w:rsidR="003C3DBF" w:rsidRPr="00CA4ABC">
        <w:rPr>
          <w:rFonts w:cstheme="minorHAnsi"/>
          <w:color w:val="000000" w:themeColor="text1"/>
        </w:rPr>
        <w:t>eased</w:t>
      </w:r>
      <w:r w:rsidRPr="00CA4ABC">
        <w:rPr>
          <w:rFonts w:cstheme="minorHAnsi"/>
          <w:color w:val="000000" w:themeColor="text1"/>
        </w:rPr>
        <w:t>. Sansano-Nadal et al</w:t>
      </w:r>
      <w:r w:rsidR="004B15FC"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{"citationItems":[{"id":"ITEM-1","itemData":{"DOI":"10.3390/IJERPH16142527","ISSN":"16604601","PMID":"31311165","abstract":"Exercise is a form of physical activity (PA). PA is an important marker of health and quality of life in older adults. The purpose of this study was to conduct a systematic review of the literature to assess the effect of exercise-based interventions on an at least six-month follow up PA measure, and to describe the specific strategies implemented during the intervention to strengthen the sustainability of PA in community-dwelling 65+ year-old adults. We registered and conducted a systematic review and meta-analysis (PROSPERO: CRD42017070892) of randomized clinical trials (RCT). We searched three electronic databases during January 2018 to identify RCT assessing any type of exercise-based intervention. Studies had to report a pre-, post-, and at least 6-month post-intervention follow-up. To be included, at least one PA outcome had to be assessed. The effect of exercise-based interventions was assessed compared to active (e.g., a low-intensity type of exercise, such as stretching or toning activities) and non-active (e.g., usual care) control interventions at several time points. Secondary analyses were conducted, restricted to studies that reported specific strategies to enhance the sustainability of PA. The intervention effect was measured on self-reported and objective measures of time spent in PA, by means of standardized mean differences. Standardized mean differences of PA level were pooled. Pooled estimates of effect were computed with the DerSimonian–Laird method, applying a random effects model. The risk of bias was also assessed. We included 12 studies, comparing 18 exercise intervention groups to four active and nine non-active control groups. Nine studies reported specific strategies to enhance the long-term sustainability of PA. The strategies were mostly related to the self-efficacy, self-control, and behavior capability principles based on the social cognitive theory. Exercise interventions compared to active control showed inconclusive and heterogeneous results. When compared to non-active control, exercise interventions improved PA time at the six-months follow up (standardized mean difference (SMD) 0.30; 95%CI 0.15 to 0.44; four studies; 724 participants; I2 0%), but not at the one- or two-years follow-ups. No data were available on the mid- and long-term effect of adding strategies to enhance the sustainability of PA. Exercise interventions have small clinical benefits on PA levels in community-dwelling older adults, with a decline in …","author":[{"dropping-particle":"","family":"Sansano-Nadal","given":"Oriol","non-dropping-particle":"","parse-names":false,"suffix":""},{"dropping-particle":"","family":"Giné-Garriga","given":"Maria","non-dropping-particle":"","parse-names":false,"suffix":""},{"dropping-particle":"","family":"Brach","given":"Jennifer S.","non-dropping-particle":"","parse-names":false,"suffix":""},{"dropping-particle":"","family":"Wert","given":"David M.","non-dropping-particle":"","parse-names":false,"suffix":""},{"dropping-particle":"","family":"Jerez-Roig","given":"Javier","non-dropping-particle":"","parse-names":false,"suffix":""},{"dropping-particle":"","family":"Guerra-Balic","given":"Myriam","non-dropping-particle":"","parse-names":false,"suffix":""},{"dropping-particle":"","family":"Oviedo","given":"Guillermo","non-dropping-particle":"","parse-names":false,"suffix":""},{"dropping-particle":"","family":"Fortuño","given":"Jesús","non-dropping-particle":"","parse-names":false,"suffix":""},{"dropping-particle":"","family":"Gómara-Toldrà","given":"Natàlia","non-dropping-particle":"","parse-names":false,"suffix":""},{"dropping-particle":"","family":"Soto-Bagaria","given":"Luis","non-dropping-particle":"","parse-names":false,"suffix":""},{"dropping-particle":"","family":"Pérez","given":"Laura Mónica","non-dropping-particle":"","parse-names":false,"suffix":""},{"dropping-particle":"","family":"Inzitari","given":"Marco","non-dropping-particle":"","parse-names":false,"suffix":""},{"dropping-particle":"","family":"Solà","given":"Ivan","non-dropping-particle":"","parse-names":false,"suffix":""},{"dropping-particle":"","family":"Martin-Borràs","given":"Carme","non-dropping-particle":"","parse-names":false,"suffix":""},{"dropping-particle":"","family":"Roqué","given":"Marta","non-dropping-particle":"","parse-names":false,"suffix":""}],"container-title":"International Journal of Environmental Research and Public Health","id":"ITEM-1","issue":"14","issued":{"date-parts":[["2019","7","2"]]},"page":"2527","publisher":"Multidisciplinary Digital Publishing Institute  (MDPI)","title":"Exercise-Based Interventions to Enhance Long-Term Sustainability of Physical Activity in Older Adults: A Systematic Review and Meta-Analysis of Randomized Clinical Trials","type":"article-journal","volume":"16"},"uris":["http://www.mendeley.com/documents/?uuid=772d493c-2010-3311-ba38-e85284f0b585"]}],"mendeley":{"formattedCitation":"(306)","plainTextFormattedCitation":"(306)","previouslyFormattedCitation":"(306)"},"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(306)</w:t>
      </w:r>
      <w:r w:rsidRPr="00CA4ABC">
        <w:rPr>
          <w:rFonts w:cstheme="minorHAnsi"/>
          <w:color w:val="000000" w:themeColor="text1"/>
        </w:rPr>
        <w:fldChar w:fldCharType="end"/>
      </w:r>
      <w:r w:rsidRPr="00CA4ABC">
        <w:rPr>
          <w:rFonts w:cstheme="minorHAnsi"/>
          <w:color w:val="000000" w:themeColor="text1"/>
        </w:rPr>
        <w:t xml:space="preserve"> conducted a systematic review and meta-analysis to understand the long-term sustainability of exercise-based interventions. Their outcome measure was the engagement in PA at least 6-months after the exercise intervention</w:t>
      </w:r>
      <w:r w:rsidR="003C3DBF" w:rsidRPr="00CA4ABC">
        <w:rPr>
          <w:rFonts w:cstheme="minorHAnsi"/>
          <w:color w:val="000000" w:themeColor="text1"/>
        </w:rPr>
        <w:t>.</w:t>
      </w:r>
      <w:r w:rsidRPr="00CA4ABC">
        <w:rPr>
          <w:rFonts w:cstheme="minorHAnsi"/>
          <w:color w:val="000000" w:themeColor="text1"/>
        </w:rPr>
        <w:t xml:space="preserve"> Comparisons were made between active and non-active control interventions. Out of the </w:t>
      </w:r>
      <w:r w:rsidR="004B15FC" w:rsidRPr="00CA4ABC">
        <w:rPr>
          <w:rFonts w:cstheme="minorHAnsi"/>
          <w:color w:val="000000" w:themeColor="text1"/>
        </w:rPr>
        <w:t>twelve</w:t>
      </w:r>
      <w:r w:rsidRPr="00CA4ABC">
        <w:rPr>
          <w:rFonts w:cstheme="minorHAnsi"/>
          <w:color w:val="000000" w:themeColor="text1"/>
        </w:rPr>
        <w:t xml:space="preserve"> studies included in the final analysis, intervention lengths varied from 8 weeks to 24 months. </w:t>
      </w:r>
      <w:r w:rsidR="00A00501" w:rsidRPr="00CA4ABC">
        <w:rPr>
          <w:rFonts w:cstheme="minorHAnsi"/>
          <w:color w:val="000000" w:themeColor="text1"/>
        </w:rPr>
        <w:t>Compared</w:t>
      </w:r>
      <w:r w:rsidRPr="00CA4ABC">
        <w:rPr>
          <w:rFonts w:cstheme="minorHAnsi"/>
          <w:color w:val="000000" w:themeColor="text1"/>
        </w:rPr>
        <w:t xml:space="preserve"> to non-active control, exercise interventions improved PA time at the six-months follow</w:t>
      </w:r>
      <w:r w:rsidR="00A00501" w:rsidRPr="00CA4ABC">
        <w:rPr>
          <w:rFonts w:cstheme="minorHAnsi"/>
          <w:color w:val="000000" w:themeColor="text1"/>
        </w:rPr>
        <w:t>-</w:t>
      </w:r>
      <w:r w:rsidRPr="00CA4ABC">
        <w:rPr>
          <w:rFonts w:cstheme="minorHAnsi"/>
          <w:color w:val="000000" w:themeColor="text1"/>
        </w:rPr>
        <w:t>up (standardi</w:t>
      </w:r>
      <w:r w:rsidR="00A00501" w:rsidRPr="00CA4ABC">
        <w:rPr>
          <w:rFonts w:cstheme="minorHAnsi"/>
          <w:color w:val="000000" w:themeColor="text1"/>
        </w:rPr>
        <w:t>s</w:t>
      </w:r>
      <w:r w:rsidRPr="00CA4ABC">
        <w:rPr>
          <w:rFonts w:cstheme="minorHAnsi"/>
          <w:color w:val="000000" w:themeColor="text1"/>
        </w:rPr>
        <w:t>ed mean difference 0.30; 95%CI 0.15</w:t>
      </w:r>
      <w:r w:rsidR="00A00501" w:rsidRPr="00CA4ABC">
        <w:rPr>
          <w:rFonts w:cstheme="minorHAnsi"/>
          <w:color w:val="000000" w:themeColor="text1"/>
        </w:rPr>
        <w:t xml:space="preserve"> </w:t>
      </w:r>
      <w:r w:rsidRPr="00CA4ABC">
        <w:rPr>
          <w:rFonts w:cstheme="minorHAnsi"/>
          <w:color w:val="000000" w:themeColor="text1"/>
        </w:rPr>
        <w:t>to 0.44</w:t>
      </w:r>
      <w:r w:rsidR="00A00501" w:rsidRPr="00CA4ABC">
        <w:rPr>
          <w:rFonts w:cstheme="minorHAnsi"/>
          <w:color w:val="000000" w:themeColor="text1"/>
        </w:rPr>
        <w:t xml:space="preserve">) </w:t>
      </w:r>
      <w:r w:rsidRPr="00CA4ABC">
        <w:rPr>
          <w:rFonts w:cstheme="minorHAnsi"/>
          <w:color w:val="000000" w:themeColor="text1"/>
        </w:rPr>
        <w:t>but not at the one- or two-years follow-ups. This does suggest that</w:t>
      </w:r>
      <w:r w:rsidR="00A00501" w:rsidRPr="00CA4ABC">
        <w:rPr>
          <w:rFonts w:cstheme="minorHAnsi"/>
          <w:color w:val="000000" w:themeColor="text1"/>
        </w:rPr>
        <w:t xml:space="preserve"> the</w:t>
      </w:r>
      <w:r w:rsidRPr="00CA4ABC">
        <w:rPr>
          <w:rFonts w:cstheme="minorHAnsi"/>
          <w:color w:val="000000" w:themeColor="text1"/>
        </w:rPr>
        <w:t xml:space="preserve"> clinical benefits of exercise are apparent, </w:t>
      </w:r>
      <w:r w:rsidR="002162AB" w:rsidRPr="00CA4ABC">
        <w:rPr>
          <w:rFonts w:cstheme="minorHAnsi"/>
          <w:color w:val="000000" w:themeColor="text1"/>
        </w:rPr>
        <w:t>especially in the medium term, but are not sustained</w:t>
      </w:r>
      <w:r w:rsidR="00431D42" w:rsidRPr="00CA4ABC">
        <w:rPr>
          <w:rFonts w:cstheme="minorHAnsi"/>
          <w:color w:val="000000" w:themeColor="text1"/>
        </w:rPr>
        <w:t xml:space="preserve">. </w:t>
      </w:r>
      <w:r w:rsidRPr="00CA4ABC">
        <w:rPr>
          <w:rFonts w:cstheme="minorHAnsi"/>
          <w:color w:val="000000" w:themeColor="text1"/>
        </w:rPr>
        <w:t xml:space="preserve">Strategies to enhance PA sustainability in the invention were outlined, including offering intervention group continued exercise support, which appeared </w:t>
      </w:r>
      <w:r w:rsidR="00A00501" w:rsidRPr="00CA4ABC">
        <w:rPr>
          <w:rFonts w:cstheme="minorHAnsi"/>
          <w:color w:val="000000" w:themeColor="text1"/>
        </w:rPr>
        <w:t xml:space="preserve">to be </w:t>
      </w:r>
      <w:r w:rsidRPr="00CA4ABC">
        <w:rPr>
          <w:rFonts w:cstheme="minorHAnsi"/>
          <w:color w:val="000000" w:themeColor="text1"/>
        </w:rPr>
        <w:t xml:space="preserve">a successful approach. Group classes may be </w:t>
      </w:r>
      <w:r w:rsidR="00A00501" w:rsidRPr="00CA4ABC">
        <w:rPr>
          <w:rFonts w:cstheme="minorHAnsi"/>
          <w:color w:val="000000" w:themeColor="text1"/>
        </w:rPr>
        <w:t xml:space="preserve">a </w:t>
      </w:r>
      <w:r w:rsidRPr="00CA4ABC">
        <w:rPr>
          <w:rFonts w:cstheme="minorHAnsi"/>
          <w:color w:val="000000" w:themeColor="text1"/>
        </w:rPr>
        <w:t xml:space="preserve">worthwhile factor </w:t>
      </w:r>
      <w:r w:rsidR="00A00501" w:rsidRPr="00CA4ABC">
        <w:rPr>
          <w:rFonts w:cstheme="minorHAnsi"/>
          <w:color w:val="000000" w:themeColor="text1"/>
        </w:rPr>
        <w:t>to incorporate</w:t>
      </w:r>
      <w:r w:rsidRPr="00CA4ABC">
        <w:rPr>
          <w:rFonts w:cstheme="minorHAnsi"/>
          <w:color w:val="000000" w:themeColor="text1"/>
        </w:rPr>
        <w:t xml:space="preserve"> into </w:t>
      </w:r>
      <w:r w:rsidR="00A00501" w:rsidRPr="00CA4ABC">
        <w:rPr>
          <w:rFonts w:cstheme="minorHAnsi"/>
          <w:color w:val="000000" w:themeColor="text1"/>
        </w:rPr>
        <w:t xml:space="preserve">the </w:t>
      </w:r>
      <w:r w:rsidRPr="00CA4ABC">
        <w:rPr>
          <w:rFonts w:cstheme="minorHAnsi"/>
          <w:color w:val="000000" w:themeColor="text1"/>
        </w:rPr>
        <w:t xml:space="preserve">trial design and was supported by interview comments made by some of the participants. </w:t>
      </w:r>
    </w:p>
    <w:p w14:paraId="091038FE" w14:textId="6A2A32D4" w:rsidR="004C12CF" w:rsidRPr="00CA4ABC" w:rsidRDefault="004C12CF" w:rsidP="004053D7">
      <w:pPr>
        <w:spacing w:line="360" w:lineRule="auto"/>
        <w:rPr>
          <w:rFonts w:cstheme="minorHAnsi"/>
          <w:color w:val="000000" w:themeColor="text1"/>
        </w:rPr>
      </w:pPr>
    </w:p>
    <w:p w14:paraId="6ADF3FD9" w14:textId="50B9A7D5" w:rsidR="00674232" w:rsidRPr="00CA4ABC" w:rsidRDefault="00674232" w:rsidP="00674232">
      <w:pPr>
        <w:spacing w:line="360" w:lineRule="auto"/>
        <w:rPr>
          <w:rFonts w:cstheme="minorHAnsi"/>
          <w:color w:val="000000" w:themeColor="text1"/>
        </w:rPr>
      </w:pPr>
      <w:r w:rsidRPr="00CA4ABC">
        <w:rPr>
          <w:rFonts w:cstheme="minorHAnsi"/>
          <w:color w:val="000000" w:themeColor="text1"/>
        </w:rPr>
        <w:t>It should also be determined if the six</w:t>
      </w:r>
      <w:r w:rsidR="00A00501" w:rsidRPr="00CA4ABC">
        <w:rPr>
          <w:rFonts w:cstheme="minorHAnsi"/>
          <w:color w:val="000000" w:themeColor="text1"/>
        </w:rPr>
        <w:t>-</w:t>
      </w:r>
      <w:r w:rsidRPr="00CA4ABC">
        <w:rPr>
          <w:rFonts w:cstheme="minorHAnsi"/>
          <w:color w:val="000000" w:themeColor="text1"/>
        </w:rPr>
        <w:t>week intervention is long enough to adequately identify changes at the level of the muscl</w:t>
      </w:r>
      <w:r w:rsidR="00A00501" w:rsidRPr="00CA4ABC">
        <w:rPr>
          <w:rFonts w:cstheme="minorHAnsi"/>
          <w:color w:val="000000" w:themeColor="text1"/>
        </w:rPr>
        <w:t>e</w:t>
      </w:r>
      <w:r w:rsidRPr="00CA4ABC">
        <w:rPr>
          <w:rFonts w:cstheme="minorHAnsi"/>
          <w:color w:val="000000" w:themeColor="text1"/>
        </w:rPr>
        <w:t xml:space="preserve">.  A review of adaptations to strength training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{"citationItems":[{"id":"ITEM-1","itemData":{"DOI":"10.1101/CSHPERSPECT.A029769","ISSN":"21571422","PMID":"28490537","abstract":"The capacity for human exercise performance can be enhanced with prolonged exercise training, whether it is endurance-or strength-based. The ability to adapt through exercise training allows individuals to perform at the height of their sporting event and/or maintain peak physical condition throughout the life span. Our continued drive to understand how to prescribe exercise to maximize health and/or performance outcomes means that our knowledge of the adaptations that occur as a result of exercise continues to evolve. This review will focus on current and new insights into endurance and strength-training adaptations and will highlight important questions that remain as far as how we adapt to training.","author":[{"dropping-particle":"","family":"Hughes","given":"David C.","non-dropping-particle":"","parse-names":false,"suffix":""},{"dropping-particle":"","family":"Ellefsen","given":"Stian","non-dropping-particle":"","parse-names":false,"suffix":""},{"dropping-particle":"","family":"Baar","given":"Keith","non-dropping-particle":"","parse-names":false,"suffix":""}],"container-title":"Cold Spring Harbor Perspectives in Medicine","id":"ITEM-1","issue":"6","issued":{"date-parts":[["2018","6","1"]]},"publisher":"Cold Spring Harbor Laboratory Press","title":"Adaptations to Endurance and Strength Training","type":"article-journal","volume":"8"},"uris":["http://www.mendeley.com/documents/?uuid=bb010f2e-becf-38ea-b40c-fcb593fcd8ee"]}],"mendeley":{"formattedCitation":"(307)","plainTextFormattedCitation":"(307)","previouslyFormattedCitation":"(307)"},"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(307)</w:t>
      </w:r>
      <w:r w:rsidRPr="00CA4ABC">
        <w:rPr>
          <w:rFonts w:cstheme="minorHAnsi"/>
          <w:color w:val="000000" w:themeColor="text1"/>
        </w:rPr>
        <w:fldChar w:fldCharType="end"/>
      </w:r>
      <w:r w:rsidRPr="00CA4ABC">
        <w:rPr>
          <w:rFonts w:cstheme="minorHAnsi"/>
          <w:color w:val="000000" w:themeColor="text1"/>
        </w:rPr>
        <w:t xml:space="preserve"> suggests that results are evident after 8 to 12 weeks. However, they did note that s</w:t>
      </w:r>
      <w:r w:rsidRPr="00CA4ABC">
        <w:rPr>
          <w:rFonts w:cstheme="minorHAnsi"/>
          <w:color w:val="000000" w:themeColor="text1"/>
          <w:shd w:val="clear" w:color="auto" w:fill="FFFFFF"/>
        </w:rPr>
        <w:t xml:space="preserve">ome studies have observed </w:t>
      </w:r>
      <w:r w:rsidR="00A00501" w:rsidRPr="00CA4ABC">
        <w:rPr>
          <w:rFonts w:cstheme="minorHAnsi"/>
          <w:color w:val="000000" w:themeColor="text1"/>
          <w:shd w:val="clear" w:color="auto" w:fill="FFFFFF"/>
        </w:rPr>
        <w:t>increased</w:t>
      </w:r>
      <w:r w:rsidRPr="00CA4ABC">
        <w:rPr>
          <w:rFonts w:cstheme="minorHAnsi"/>
          <w:color w:val="000000" w:themeColor="text1"/>
          <w:shd w:val="clear" w:color="auto" w:fill="FFFFFF"/>
        </w:rPr>
        <w:t xml:space="preserve"> muscle strength and CSA after only 2 to 4 week</w:t>
      </w:r>
      <w:r w:rsidR="00A00501" w:rsidRPr="00CA4ABC">
        <w:rPr>
          <w:rFonts w:cstheme="minorHAnsi"/>
          <w:color w:val="000000" w:themeColor="text1"/>
          <w:shd w:val="clear" w:color="auto" w:fill="FFFFFF"/>
        </w:rPr>
        <w:t>s</w:t>
      </w:r>
      <w:r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 xml:space="preserve">ADDIN CSL_CITATION {"citationItems":[{"id":"ITEM-1","itemData":{"DOI":"10.1096/FJ.15-273755","ISSN":"1530-6860","PMID":"26169934","abstract":"Resistance exercise training (RET) is widely used to increase muscle mass in athletes and also aged/ cachectic populations. However, the time course and metabolic andmolecular control of hypertrophy remain poorly defined. Using newly developed deuterium oxide (D2O)- Tracer techniques, we investigated the relationship between long-termmuscle protein synthesis (MPS) and hypertrophic responses to RET.Atotal of 10 men (2361 yr) undertook 6 wk of unilateral (1-legged) RET [6 3 8 repetitions, 75% 1 repetition maximum (1-RM) 3/wk], rendering 1 leg untrained (UT) and the contralateral, trained (T). After baseline bilateral vastus lateralis (VL) muscle biopsies, subjects consumed 150 ml D2O (70 atom percentage; thereafter 50 ml/wk) with regular body water monitoring in saliva via high-temperature conversion elemental analyzer:isotope ratio mass spectrometer. Further bilateral VL muscle biopsies were taken at 3 and 6 wk to temporally quantify MPS via gas chromatography:pyrolysis:isotope ratio mass spectrometer. Expectedly, only the T leg exhibited marked increases in function [i.e., 1-RM/maximal voluntary contraction (60°)] andVL thickness (peaking at 3wk).Critically, whereas MPS remained unchanged in the UT leg (e.g., </w:instrText>
      </w:r>
      <w:r w:rsidR="00821D82">
        <w:rPr>
          <w:rFonts w:ascii="Cambria Math" w:hAnsi="Cambria Math" w:cs="Cambria Math"/>
          <w:color w:val="000000" w:themeColor="text1"/>
          <w:shd w:val="clear" w:color="auto" w:fill="FFFFFF"/>
        </w:rPr>
        <w:instrText>∼</w:instrText>
      </w:r>
      <w:r w:rsidR="00821D82">
        <w:rPr>
          <w:rFonts w:cstheme="minorHAnsi"/>
          <w:color w:val="000000" w:themeColor="text1"/>
          <w:shd w:val="clear" w:color="auto" w:fill="FFFFFF"/>
        </w:rPr>
        <w:instrText>1.35 6 0.08%/d), the T leg exhibited increased MPS at 0-3wk(1.660.01%/d), but not at3-6wk(1.29±0.11%/d); this was reflected by dampened acute mechanistic target of rapamycin complex 1 signaling responses to RET, beyond 3 wk. Therefore, hypertrophic remodeling is most active during the early stages of RET, reflecting longer-term MPS. Moreover, D2O heralds promise for coupling MPS and muscle mass and providing insight into the control of hypertrophy and efficacy of anabolic interventions.- Brook, M. S., Wilkinson, D. J., Mitchell, W. K., Lund, J. N., Szewczyk, N. J.,Greenhaff, P. L., Smith, K., Atherton, P. J. Skeletal muscle hypertrophy adaptations predominate in the early stages of resistance exercise training, matching deuterium oxide-derived measures of muscle protein synthesis and mechanistic target of rapamycin complex 1 signaling.","author":[{"dropping-particle":"","family":"Brook","given":"Matthew S.","non-dropping-particle":"","parse-names":false,"suffix":""},{"dropping-particle":"","family":"Wilkinson","given":"Daniel J.","non-dropping-particle":"","parse-names":false,"suffix":""},{"dropping-particle":"","family":"Mitchell","given":"William K.","non-dropping-particle":"","parse-names":false,"suffix":""},{"dropping-particle":"","family":"Lund","given":"Jonathan N.","non-dropping-particle":"","parse-names":false,"suffix":""},{"dropping-particle":"","family":"Szewczyk","given":"Nathaniel J.","non-dropping-particle":"","parse-names":false,"suffix":""},{"dropping-particle":"","family":"Greenhaff","given":"Paul L.","non-dropping-particle":"","parse-names":false,"suffix":""},{"dropping-particle":"","family":"Smith","given":"Ken","non-dropping-particle":"","parse-names":false,"suffix":""},{"dropping-particle":"","family":"Atherton","given":"Philip J.","non-dropping-particle":"","parse-names":false,"suffix":""}],"container-title":"FASEB journal : official publication of the Federation of American Societies for Experimental Biology","id":"ITEM-1","issue":"11","issued":{"date-parts":[["2015","11","1"]]},"page":"4485-4496","publisher":"FASEB J","title":"Skeletal muscle hypertrophy adaptations predominate in the early stages of resistance exercise training, matching deuterium oxide-derived measures of muscle protein synthesis and mechanistic target of rapamycin complex 1 signaling","type":"article-journal","volume":"29"},"uris":["http://www.mendeley.com/documents/?uuid=56dc7a64-e477-35f9-b52b-7dc1dff38156"]}],"mendeley":{"formattedCitation":"(308)","plainTextFormattedCitation":"(308)","previouslyFormattedCitation":"(308)"},"properties":{"noteIndex":0},"schema":"https://github.com/citation-style-language/schema/raw/master/csl-citation.json"}</w:instrText>
      </w:r>
      <w:r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(308)</w:t>
      </w:r>
      <w:r w:rsidRPr="00CA4ABC">
        <w:rPr>
          <w:rFonts w:cstheme="minorHAnsi"/>
          <w:color w:val="000000" w:themeColor="text1"/>
          <w:shd w:val="clear" w:color="auto" w:fill="FFFFFF"/>
        </w:rPr>
        <w:fldChar w:fldCharType="end"/>
      </w:r>
      <w:r w:rsidRPr="00CA4ABC">
        <w:rPr>
          <w:rFonts w:cstheme="minorHAnsi"/>
          <w:color w:val="000000" w:themeColor="text1"/>
          <w:shd w:val="clear" w:color="auto" w:fill="FFFFFF"/>
        </w:rPr>
        <w:t xml:space="preserve">. </w:t>
      </w:r>
      <w:r w:rsidRPr="00CA4ABC">
        <w:rPr>
          <w:rFonts w:cstheme="minorHAnsi"/>
          <w:color w:val="000000" w:themeColor="text1"/>
        </w:rPr>
        <w:t>Coetsee and Terblanche tried to understand</w:t>
      </w:r>
      <w:r w:rsidR="00A31CF7">
        <w:rPr>
          <w:rFonts w:cstheme="minorHAnsi"/>
          <w:color w:val="000000" w:themeColor="text1"/>
        </w:rPr>
        <w:t xml:space="preserve"> </w:t>
      </w:r>
      <w:r w:rsidRPr="00CA4ABC">
        <w:rPr>
          <w:rFonts w:cstheme="minorHAnsi"/>
          <w:color w:val="000000" w:themeColor="text1"/>
        </w:rPr>
        <w:t xml:space="preserve">the time course of change in upper and </w:t>
      </w:r>
      <w:r w:rsidRPr="00CA4ABC">
        <w:rPr>
          <w:rFonts w:cstheme="minorHAnsi"/>
          <w:color w:val="000000" w:themeColor="text1"/>
        </w:rPr>
        <w:lastRenderedPageBreak/>
        <w:t xml:space="preserve">lower body muscle strength and physical function following a 16-week resistance training programme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{"citationItems":[{"id":"ITEM-1","itemData":{"DOI":"10.1186/s11556-015-0153-8","ISSN":"18137253","abstract":"Background: It is generally recognised that the physical functioning of older adults is enhanced with resistance exercise. The aim of this study was to investigate the time course of changes in upper and lower body muscle strength and physical function in older individuals following a 16 week resistance training (RT) programme and a similar duration detraining (DET) period. Methods: Forty-one inactive individuals (55 to 75 years) were randomly allocated in a RT group (n = 22; three sessions per week) and a control (CON) group (n = 19). Muscle strength was assessed with 10RM leg and bench press tests, while the Timed-Up-and-Go (TUG) test was used to measure functional mobility. The Bruce treadmill test determined the participants’ submaximal endurance capacity. Data were analysed using mixed model repeated measures ANOVA and P &lt; 0.05 was considered statistically significant. Results: Main treatment effects were found for muscle strength (P &lt; 0.001) and functional mobility (P &lt; 0.05). Upper and lower body strength generally showed a statistically significant improvement after every 4 weeks in RT (the increase after 16 weeks being 7.3 ± 4.9 kg and 86.6 ± 44.4 kg, respectively; P &lt; 0.001) while TUG performance (−0.2 ± 0.4 s; P &lt; 0.05) and submaximal endurance capacity (0.7 ± 0.9 min; P &lt; 0.001) only improved after 16 weeks. Although muscle strength decreased after DET, it was still better than at baseline. No significant improvements in any performance variable were observed in CON directly after the intervention period (0–16 weeks) (P &gt; 0.05). Conclusion: A 16-week RT programme has positive effects on both muscular and physical function in older adults, although the time course of these adaptations is different. While the gains in muscle strength and submaximal endurance capacity were not totally lost after DET, functional mobility was completely reversed. Older adults can be reassured that if the need arises to discontinue RT for a certain period they will still retain a large amount of their acquired muscle strength, as well as a degree of physical function such as submaximal endurance capacity. The association between leg strength and submaximal endurance capacity strengthens the notion that RT should be incorporated in training and rehabilitation programmes of ageing and frail older adults.","author":[{"dropping-particle":"","family":"Coetsee","given":"Carla","non-dropping-particle":"","parse-names":false,"suffix":""},{"dropping-particle":"","family":"Terblanche","given":"Elmarie","non-dropping-particle":"","parse-names":false,"suffix":""}],"container-title":"European Review of Aging and Physical Activity","id":"ITEM-1","issue":"1","issued":{"date-parts":[["2015","1","1"]]},"publisher":"Springer Verlag","title":"The time course of changes induced by resistance training and detraining on muscular and physical function in older adults","type":"article-journal","volume":"12"},"uris":["http://www.mendeley.com/documents/?uuid=9a363ae7-25dd-375a-92da-4e57c98d01ef"]}],"mendeley":{"formattedCitation":"(309)","plainTextFormattedCitation":"(309)","previouslyFormattedCitation":"(309)"},"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(309)</w:t>
      </w:r>
      <w:r w:rsidRPr="00CA4ABC">
        <w:rPr>
          <w:rFonts w:cstheme="minorHAnsi"/>
          <w:color w:val="000000" w:themeColor="text1"/>
        </w:rPr>
        <w:fldChar w:fldCharType="end"/>
      </w:r>
      <w:r w:rsidRPr="00CA4ABC">
        <w:rPr>
          <w:rFonts w:cstheme="minorHAnsi"/>
          <w:color w:val="000000" w:themeColor="text1"/>
        </w:rPr>
        <w:t xml:space="preserve">. The exercise component consisted of three 40-minute resistance sessions a week, using machine and free weights. Measurements of muscle strength, function and endurance capacity were primary outcome variables. Measurements were taken every four weeks and repeated 16 weeks after detraining. It was found that there was a statistically significant </w:t>
      </w:r>
      <w:r w:rsidR="00A00501" w:rsidRPr="00CA4ABC">
        <w:rPr>
          <w:rFonts w:cstheme="minorHAnsi"/>
          <w:color w:val="000000" w:themeColor="text1"/>
        </w:rPr>
        <w:t>time-by-group</w:t>
      </w:r>
      <w:r w:rsidRPr="00CA4ABC">
        <w:rPr>
          <w:rFonts w:cstheme="minorHAnsi"/>
          <w:color w:val="000000" w:themeColor="text1"/>
        </w:rPr>
        <w:t xml:space="preserve"> interaction for both upper and lower body strength (</w:t>
      </w:r>
      <w:r w:rsidR="004B15FC" w:rsidRPr="00CA4ABC">
        <w:rPr>
          <w:rFonts w:cstheme="minorHAnsi"/>
          <w:color w:val="000000" w:themeColor="text1"/>
        </w:rPr>
        <w:t>p</w:t>
      </w:r>
      <w:r w:rsidRPr="00CA4ABC">
        <w:rPr>
          <w:rFonts w:cstheme="minorHAnsi"/>
          <w:color w:val="000000" w:themeColor="text1"/>
        </w:rPr>
        <w:t xml:space="preserve">&lt;0.001). These were mirrored by function improvements. Although greater improvements were seen as duration increased, </w:t>
      </w:r>
      <w:r w:rsidR="00A00501" w:rsidRPr="00CA4ABC">
        <w:rPr>
          <w:rFonts w:cstheme="minorHAnsi"/>
          <w:color w:val="000000" w:themeColor="text1"/>
        </w:rPr>
        <w:t>notwithstanding</w:t>
      </w:r>
      <w:r w:rsidRPr="00CA4ABC">
        <w:rPr>
          <w:rFonts w:cstheme="minorHAnsi"/>
          <w:color w:val="000000" w:themeColor="text1"/>
        </w:rPr>
        <w:t>, at the 4</w:t>
      </w:r>
      <w:r w:rsidR="00A00501" w:rsidRPr="00CA4ABC">
        <w:rPr>
          <w:rFonts w:cstheme="minorHAnsi"/>
          <w:color w:val="000000" w:themeColor="text1"/>
        </w:rPr>
        <w:t>-</w:t>
      </w:r>
      <w:r w:rsidRPr="00CA4ABC">
        <w:rPr>
          <w:rFonts w:cstheme="minorHAnsi"/>
          <w:color w:val="000000" w:themeColor="text1"/>
        </w:rPr>
        <w:t xml:space="preserve">week time point, significantly different strength measurements were achieved. </w:t>
      </w:r>
      <w:r w:rsidR="00A00501" w:rsidRPr="00CA4ABC">
        <w:rPr>
          <w:rFonts w:cstheme="minorHAnsi"/>
          <w:color w:val="000000" w:themeColor="text1"/>
        </w:rPr>
        <w:t>Nevertheless</w:t>
      </w:r>
      <w:r w:rsidRPr="00CA4ABC">
        <w:rPr>
          <w:rFonts w:cstheme="minorHAnsi"/>
          <w:color w:val="000000" w:themeColor="text1"/>
        </w:rPr>
        <w:t xml:space="preserve">, for differences in function to be observed, the full 16-week duration was required. Moreover, individuals were untrained, so enhancing muscle training in those </w:t>
      </w:r>
      <w:r w:rsidR="00D84BDF" w:rsidRPr="00CA4ABC">
        <w:rPr>
          <w:rFonts w:cstheme="minorHAnsi"/>
          <w:color w:val="000000" w:themeColor="text1"/>
        </w:rPr>
        <w:t>with</w:t>
      </w:r>
      <w:r w:rsidRPr="00CA4ABC">
        <w:rPr>
          <w:rFonts w:cstheme="minorHAnsi"/>
          <w:color w:val="000000" w:themeColor="text1"/>
        </w:rPr>
        <w:t xml:space="preserve"> a moderate baseline </w:t>
      </w:r>
      <w:r w:rsidR="004B15FC" w:rsidRPr="00CA4ABC">
        <w:rPr>
          <w:rFonts w:cstheme="minorHAnsi"/>
          <w:color w:val="000000" w:themeColor="text1"/>
        </w:rPr>
        <w:t>remains unclear.</w:t>
      </w:r>
      <w:r w:rsidRPr="00CA4ABC">
        <w:rPr>
          <w:rFonts w:cstheme="minorHAnsi"/>
          <w:color w:val="000000" w:themeColor="text1"/>
        </w:rPr>
        <w:t xml:space="preserve"> In our study, resistance bands were utilised</w:t>
      </w:r>
      <w:r w:rsidR="00D84BDF" w:rsidRPr="00CA4ABC">
        <w:rPr>
          <w:rFonts w:cstheme="minorHAnsi"/>
          <w:color w:val="000000" w:themeColor="text1"/>
        </w:rPr>
        <w:t>,</w:t>
      </w:r>
      <w:r w:rsidRPr="00CA4ABC">
        <w:rPr>
          <w:rFonts w:cstheme="minorHAnsi"/>
          <w:color w:val="000000" w:themeColor="text1"/>
        </w:rPr>
        <w:t xml:space="preserve"> </w:t>
      </w:r>
      <w:r w:rsidR="00D84BDF" w:rsidRPr="00CA4ABC">
        <w:rPr>
          <w:rFonts w:cstheme="minorHAnsi"/>
          <w:color w:val="000000" w:themeColor="text1"/>
        </w:rPr>
        <w:t xml:space="preserve">which could lead to </w:t>
      </w:r>
      <w:r w:rsidRPr="00CA4ABC">
        <w:rPr>
          <w:rFonts w:cstheme="minorHAnsi"/>
          <w:color w:val="000000" w:themeColor="text1"/>
        </w:rPr>
        <w:t>discrepancies in time trajector</w:t>
      </w:r>
      <w:r w:rsidR="00D84BDF" w:rsidRPr="00CA4ABC">
        <w:rPr>
          <w:rFonts w:cstheme="minorHAnsi"/>
          <w:color w:val="000000" w:themeColor="text1"/>
        </w:rPr>
        <w:t>ies</w:t>
      </w:r>
      <w:r w:rsidRPr="00CA4ABC">
        <w:rPr>
          <w:rFonts w:cstheme="minorHAnsi"/>
          <w:color w:val="000000" w:themeColor="text1"/>
        </w:rPr>
        <w:t xml:space="preserve"> for muscle changes. It should also be noted the participants included in the analysis were aged 55-75, whilst there is some </w:t>
      </w:r>
      <w:r w:rsidR="00D84BDF" w:rsidRPr="00CA4ABC">
        <w:rPr>
          <w:rFonts w:cstheme="minorHAnsi"/>
          <w:color w:val="000000" w:themeColor="text1"/>
        </w:rPr>
        <w:t xml:space="preserve">age </w:t>
      </w:r>
      <w:r w:rsidRPr="00CA4ABC">
        <w:rPr>
          <w:rFonts w:cstheme="minorHAnsi"/>
          <w:color w:val="000000" w:themeColor="text1"/>
        </w:rPr>
        <w:t xml:space="preserve">overlap, younger-middle-aged adults aged 40-55 years may have different time courses for muscle changes. </w:t>
      </w:r>
      <w:r w:rsidR="00A00501" w:rsidRPr="00CA4ABC">
        <w:rPr>
          <w:rFonts w:cstheme="minorHAnsi"/>
          <w:color w:val="000000" w:themeColor="text1"/>
        </w:rPr>
        <w:t>The next</w:t>
      </w:r>
      <w:r w:rsidRPr="00CA4ABC">
        <w:rPr>
          <w:rFonts w:cstheme="minorHAnsi"/>
          <w:color w:val="000000" w:themeColor="text1"/>
        </w:rPr>
        <w:t xml:space="preserve"> step, for a </w:t>
      </w:r>
      <w:r w:rsidR="00A00501" w:rsidRPr="00CA4ABC">
        <w:rPr>
          <w:rFonts w:cstheme="minorHAnsi"/>
          <w:color w:val="000000" w:themeColor="text1"/>
        </w:rPr>
        <w:t>full-scale</w:t>
      </w:r>
      <w:r w:rsidRPr="00CA4ABC">
        <w:rPr>
          <w:rFonts w:cstheme="minorHAnsi"/>
          <w:color w:val="000000" w:themeColor="text1"/>
        </w:rPr>
        <w:t xml:space="preserve"> trial</w:t>
      </w:r>
      <w:r w:rsidR="00A00501" w:rsidRPr="00CA4ABC">
        <w:rPr>
          <w:rFonts w:cstheme="minorHAnsi"/>
          <w:color w:val="000000" w:themeColor="text1"/>
        </w:rPr>
        <w:t>,</w:t>
      </w:r>
      <w:r w:rsidRPr="00CA4ABC">
        <w:rPr>
          <w:rFonts w:cstheme="minorHAnsi"/>
          <w:color w:val="000000" w:themeColor="text1"/>
        </w:rPr>
        <w:t xml:space="preserve"> </w:t>
      </w:r>
      <w:r w:rsidR="00A00501" w:rsidRPr="00CA4ABC">
        <w:rPr>
          <w:rFonts w:cstheme="minorHAnsi"/>
          <w:color w:val="000000" w:themeColor="text1"/>
        </w:rPr>
        <w:t>requires</w:t>
      </w:r>
      <w:r w:rsidRPr="00CA4ABC">
        <w:rPr>
          <w:rFonts w:cstheme="minorHAnsi"/>
          <w:color w:val="000000" w:themeColor="text1"/>
        </w:rPr>
        <w:t xml:space="preserve"> an intervention period extending beyond six</w:t>
      </w:r>
      <w:r w:rsidR="002D3390" w:rsidRPr="00CA4ABC">
        <w:rPr>
          <w:rFonts w:cstheme="minorHAnsi"/>
          <w:color w:val="000000" w:themeColor="text1"/>
        </w:rPr>
        <w:t xml:space="preserve"> </w:t>
      </w:r>
      <w:r w:rsidRPr="00CA4ABC">
        <w:rPr>
          <w:rFonts w:cstheme="minorHAnsi"/>
          <w:color w:val="000000" w:themeColor="text1"/>
        </w:rPr>
        <w:t xml:space="preserve">weeks. </w:t>
      </w:r>
    </w:p>
    <w:p w14:paraId="67130A3A" w14:textId="77777777" w:rsidR="004C12CF" w:rsidRPr="00CA4ABC" w:rsidRDefault="004C12CF" w:rsidP="004053D7">
      <w:pPr>
        <w:spacing w:line="360" w:lineRule="auto"/>
        <w:rPr>
          <w:rFonts w:cstheme="minorHAnsi"/>
          <w:color w:val="000000" w:themeColor="text1"/>
        </w:rPr>
      </w:pPr>
    </w:p>
    <w:p w14:paraId="1BA39CE4" w14:textId="18656672" w:rsidR="004C12CF" w:rsidRPr="00CA4ABC" w:rsidRDefault="00561B34" w:rsidP="004053D7">
      <w:pPr>
        <w:spacing w:line="360" w:lineRule="auto"/>
        <w:rPr>
          <w:rFonts w:cstheme="minorHAnsi"/>
          <w:color w:val="000000" w:themeColor="text1"/>
        </w:rPr>
      </w:pPr>
      <w:r w:rsidRPr="00CA4ABC">
        <w:rPr>
          <w:rFonts w:cstheme="minorHAnsi"/>
          <w:color w:val="000000" w:themeColor="text1"/>
        </w:rPr>
        <w:t xml:space="preserve">Interpretation of </w:t>
      </w:r>
      <w:r w:rsidR="002D3390" w:rsidRPr="00CA4ABC">
        <w:rPr>
          <w:rFonts w:cstheme="minorHAnsi"/>
          <w:color w:val="000000"/>
          <w:shd w:val="clear" w:color="auto" w:fill="FFFFFF"/>
        </w:rPr>
        <w:t xml:space="preserve">participants' dietary intake </w:t>
      </w:r>
      <w:r w:rsidRPr="00CA4ABC">
        <w:rPr>
          <w:rFonts w:cstheme="minorHAnsi"/>
          <w:color w:val="000000" w:themeColor="text1"/>
        </w:rPr>
        <w:t>is limited due to</w:t>
      </w:r>
      <w:r w:rsidR="002D3390" w:rsidRPr="00CA4ABC">
        <w:rPr>
          <w:rFonts w:cstheme="minorHAnsi"/>
          <w:color w:val="000000" w:themeColor="text1"/>
        </w:rPr>
        <w:t xml:space="preserve"> the</w:t>
      </w:r>
      <w:r w:rsidRPr="00CA4ABC">
        <w:rPr>
          <w:rFonts w:cstheme="minorHAnsi"/>
          <w:color w:val="000000" w:themeColor="text1"/>
        </w:rPr>
        <w:t xml:space="preserve"> low sample size</w:t>
      </w:r>
      <w:r w:rsidR="00D84BDF" w:rsidRPr="00CA4ABC">
        <w:rPr>
          <w:rFonts w:cstheme="minorHAnsi"/>
          <w:color w:val="000000" w:themeColor="text1"/>
        </w:rPr>
        <w:t>. Overall, no</w:t>
      </w:r>
      <w:r w:rsidRPr="00CA4ABC">
        <w:rPr>
          <w:rFonts w:cstheme="minorHAnsi"/>
          <w:color w:val="000000" w:themeColor="text1"/>
        </w:rPr>
        <w:t xml:space="preserve"> significant differences were detected</w:t>
      </w:r>
      <w:r w:rsidR="004C12CF" w:rsidRPr="00CA4ABC">
        <w:rPr>
          <w:rFonts w:cstheme="minorHAnsi"/>
          <w:color w:val="000000" w:themeColor="text1"/>
        </w:rPr>
        <w:t xml:space="preserve">, however, examination of the data does appear to suggest that some dietary displacement of protein and energy intakes occurred </w:t>
      </w:r>
      <w:r w:rsidR="00D84BDF" w:rsidRPr="00CA4ABC">
        <w:rPr>
          <w:rFonts w:cstheme="minorHAnsi"/>
          <w:color w:val="000000" w:themeColor="text1"/>
        </w:rPr>
        <w:t>due to</w:t>
      </w:r>
      <w:r w:rsidR="004C12CF" w:rsidRPr="00CA4ABC">
        <w:rPr>
          <w:rFonts w:cstheme="minorHAnsi"/>
          <w:color w:val="000000" w:themeColor="text1"/>
        </w:rPr>
        <w:t xml:space="preserve"> high protein supplementation</w:t>
      </w:r>
      <w:r w:rsidRPr="00CA4ABC">
        <w:rPr>
          <w:rFonts w:cstheme="minorHAnsi"/>
          <w:color w:val="000000" w:themeColor="text1"/>
        </w:rPr>
        <w:t xml:space="preserve"> for some </w:t>
      </w:r>
      <w:r w:rsidR="002D3390" w:rsidRPr="00CA4ABC">
        <w:rPr>
          <w:rFonts w:cstheme="minorHAnsi"/>
          <w:color w:val="000000" w:themeColor="text1"/>
        </w:rPr>
        <w:t>individuals</w:t>
      </w:r>
      <w:r w:rsidR="004C12CF" w:rsidRPr="00CA4ABC">
        <w:rPr>
          <w:rFonts w:cstheme="minorHAnsi"/>
          <w:color w:val="000000" w:themeColor="text1"/>
        </w:rPr>
        <w:t xml:space="preserve">. Protein has satiating effects, </w:t>
      </w:r>
      <w:r w:rsidR="002D3390" w:rsidRPr="00CA4ABC">
        <w:rPr>
          <w:rFonts w:cstheme="minorHAnsi"/>
          <w:color w:val="000000"/>
          <w:shd w:val="clear" w:color="auto" w:fill="FFFFFF"/>
        </w:rPr>
        <w:t xml:space="preserve">although it has been suggested that protein does not significantly impact appetite in older adults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{"citationItems":[{"id":"ITEM-1","itemData":{"DOI":"10.1017/s0029665120005595","ISSN":"0029-6651","abstract":"Protein supplementation represents an attractive strategy to prevent skeletal muscle mass loss and function with aging. However, it could be counterproductive in older adults, due to adverse effects on appetite and energy intake (EI). Understanding the effects of protein supplementation on appetite and energy intake is therefore key when investigating the potential efficacy for use in improving health outcomes. This systematic review aimed to assess the literature investigating the effects of protein supplementation on energy intake, and/or appetite in healthy older adults.PubMed and The Cochrane Library, as well as MEDLINE, CINAHL, EBSCO, and Web of Science databases were searched up to 21 March 2019 for published studies and theses. The review was limited to randomized controlled trials and longitudinal studies in healthy adults over 60 years of age that reported effects of protein supplementation compared to control or pre-intervention on appetite and/or energy intake. The review was conducted according to PRISMA guidelines. Out of 5,429 articles screened, 90 full-texts were reviewed and twenty-six studies (11 acute, 15 longitudinal) included. Studies involved a total of 1439 participants (502 male, 881 females). Of the acute studies, 3 reported conditions in which appetite was suppressed, 5 studies reported no effect and one study reported a condition in which appetite ratings increased following a protein load versus control. Three studies reported conditions in which ad libitum test meal EI was suppressed following protein preload and 7 reported no difference. When examining total EI (accounting for protein supplement and test meal), 2 studies reported no difference and 8 reported conditions where total EI was increased with protein supplement compared to control. Longitudinal studies ranged from 2–26 weeks duration. Two studies reported effects on appetite, one showing hunger to be suppressed on higher (1.0g/kg/d) compared to lower protein diet, and another showing hunger in response to whey consumption increased, but fullness also increased.14 studies reported effects on EI, most commonly assessed by food diary, and all showed no effect of increased protein intake compared to control on daily EI. The systematic review indicates that while appetite may be suppressed under some conditions, the current literature supports protein supplementation in older adults, as it either has a positive effect or no effect on total EI in both short and longer-te…","author":[{"dropping-particle":"","family":"Ben-Harchache","given":"Sana","non-dropping-particle":"","parse-names":false,"suffix":""},{"dropping-particle":"","family":"Horner","given":"Katy","non-dropping-particle":"","parse-names":false,"suffix":""}],"container-title":"Proceedings of the Nutrition Society","id":"ITEM-1","issue":"OCE2","issued":{"date-parts":[["2020"]]},"page":"610","publisher":"Cambridge University Press (CUP)","title":"Does protein supplementation impact appetite and energy intake in older adults? A systematic review","type":"article-journal","volume":"79"},"uris":["http://www.mendeley.com/documents/?uuid=375d831b-31bd-3375-ba14-709a14339de2"]}],"mendeley":{"formattedCitation":"(310)","plainTextFormattedCitation":"(310)","previouslyFormattedCitation":"(310)"},"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(310)</w:t>
      </w:r>
      <w:r w:rsidR="004C12CF" w:rsidRPr="00CA4ABC">
        <w:rPr>
          <w:rFonts w:cstheme="minorHAnsi"/>
          <w:color w:val="000000" w:themeColor="text1"/>
        </w:rPr>
        <w:fldChar w:fldCharType="end"/>
      </w:r>
      <w:r w:rsidR="004C12CF" w:rsidRPr="00CA4ABC">
        <w:rPr>
          <w:rFonts w:cstheme="minorHAnsi"/>
          <w:color w:val="000000" w:themeColor="text1"/>
        </w:rPr>
        <w:t xml:space="preserve">. </w:t>
      </w:r>
      <w:r w:rsidR="00D84BDF" w:rsidRPr="00CA4ABC">
        <w:rPr>
          <w:rFonts w:cstheme="minorHAnsi"/>
          <w:color w:val="000000" w:themeColor="text1"/>
        </w:rPr>
        <w:t>The</w:t>
      </w:r>
      <w:r w:rsidR="004C12CF" w:rsidRPr="00CA4ABC">
        <w:rPr>
          <w:rFonts w:cstheme="minorHAnsi"/>
          <w:color w:val="000000" w:themeColor="text1"/>
        </w:rPr>
        <w:t xml:space="preserve"> limited amount of investigations using middle-aged adult cohorts</w:t>
      </w:r>
      <w:r w:rsidR="00D84BDF" w:rsidRPr="00CA4ABC">
        <w:rPr>
          <w:rFonts w:cstheme="minorHAnsi"/>
          <w:color w:val="000000" w:themeColor="text1"/>
        </w:rPr>
        <w:t xml:space="preserve"> means </w:t>
      </w:r>
      <w:r w:rsidR="004C12CF" w:rsidRPr="00CA4ABC">
        <w:rPr>
          <w:rFonts w:cstheme="minorHAnsi"/>
          <w:color w:val="000000" w:themeColor="text1"/>
        </w:rPr>
        <w:t>there is still a lack of understanding about the impact the satiating properties of protein ha</w:t>
      </w:r>
      <w:r w:rsidR="002D3390" w:rsidRPr="00CA4ABC">
        <w:rPr>
          <w:rFonts w:cstheme="minorHAnsi"/>
          <w:color w:val="000000" w:themeColor="text1"/>
        </w:rPr>
        <w:t>ve</w:t>
      </w:r>
      <w:r w:rsidR="004C12CF" w:rsidRPr="00CA4ABC">
        <w:rPr>
          <w:rFonts w:cstheme="minorHAnsi"/>
          <w:color w:val="000000" w:themeColor="text1"/>
        </w:rPr>
        <w:t xml:space="preserve"> in this population. As such, it would be valuable to investigate the </w:t>
      </w:r>
      <w:r w:rsidR="00D84BDF" w:rsidRPr="00CA4ABC">
        <w:rPr>
          <w:rFonts w:cstheme="minorHAnsi"/>
          <w:color w:val="000000" w:themeColor="text1"/>
        </w:rPr>
        <w:t>effect</w:t>
      </w:r>
      <w:r w:rsidR="004C12CF" w:rsidRPr="00CA4ABC">
        <w:rPr>
          <w:rFonts w:cstheme="minorHAnsi"/>
          <w:color w:val="000000" w:themeColor="text1"/>
        </w:rPr>
        <w:t xml:space="preserve"> of longer-term protein supplementation on dietary protein and energy intakes in larger cohorts, particularly in a middle-age</w:t>
      </w:r>
      <w:r w:rsidR="002D3390" w:rsidRPr="00CA4ABC">
        <w:rPr>
          <w:rFonts w:cstheme="minorHAnsi"/>
          <w:color w:val="000000" w:themeColor="text1"/>
        </w:rPr>
        <w:t>d</w:t>
      </w:r>
      <w:r w:rsidR="004C12CF" w:rsidRPr="00CA4ABC">
        <w:rPr>
          <w:rFonts w:cstheme="minorHAnsi"/>
          <w:color w:val="000000" w:themeColor="text1"/>
        </w:rPr>
        <w:t xml:space="preserve"> adult population. Based on the VAS scores, no difference in appetite w</w:t>
      </w:r>
      <w:r w:rsidR="002D3390" w:rsidRPr="00CA4ABC">
        <w:rPr>
          <w:rFonts w:cstheme="minorHAnsi"/>
          <w:color w:val="000000" w:themeColor="text1"/>
        </w:rPr>
        <w:t>as</w:t>
      </w:r>
      <w:r w:rsidR="004C12CF" w:rsidRPr="00CA4ABC">
        <w:rPr>
          <w:rFonts w:cstheme="minorHAnsi"/>
          <w:color w:val="000000" w:themeColor="text1"/>
        </w:rPr>
        <w:t xml:space="preserve"> displayed for the cohort</w:t>
      </w:r>
      <w:r w:rsidR="004C46E7">
        <w:rPr>
          <w:rFonts w:cstheme="minorHAnsi"/>
          <w:color w:val="000000" w:themeColor="text1"/>
        </w:rPr>
        <w:t xml:space="preserve">. </w:t>
      </w:r>
      <w:r w:rsidR="00AE1C49">
        <w:rPr>
          <w:rFonts w:cstheme="minorHAnsi"/>
          <w:color w:val="000000" w:themeColor="text1"/>
        </w:rPr>
        <w:t>However,</w:t>
      </w:r>
      <w:r w:rsidR="004C46E7">
        <w:rPr>
          <w:rFonts w:cstheme="minorHAnsi"/>
          <w:color w:val="000000" w:themeColor="text1"/>
        </w:rPr>
        <w:t xml:space="preserve"> all participants undertook exercise, so teasing apart the impact of protein and exercise on appetite is difficult. It is</w:t>
      </w:r>
      <w:r w:rsidR="00431D42" w:rsidRPr="00CA4ABC">
        <w:rPr>
          <w:rFonts w:cstheme="minorHAnsi"/>
          <w:color w:val="000000" w:themeColor="text1"/>
        </w:rPr>
        <w:t xml:space="preserve"> further hindered by </w:t>
      </w:r>
      <w:r w:rsidR="004C12CF" w:rsidRPr="00CA4ABC">
        <w:rPr>
          <w:rFonts w:cstheme="minorHAnsi"/>
          <w:color w:val="000000" w:themeColor="text1"/>
        </w:rPr>
        <w:t>low participants</w:t>
      </w:r>
      <w:r w:rsidR="00431D42" w:rsidRPr="00CA4ABC">
        <w:rPr>
          <w:rFonts w:cstheme="minorHAnsi"/>
          <w:color w:val="000000" w:themeColor="text1"/>
        </w:rPr>
        <w:t xml:space="preserve"> numbers,</w:t>
      </w:r>
      <w:r w:rsidR="004C12CF" w:rsidRPr="00CA4ABC">
        <w:rPr>
          <w:rFonts w:cstheme="minorHAnsi"/>
          <w:color w:val="000000" w:themeColor="text1"/>
        </w:rPr>
        <w:t xml:space="preserve"> </w:t>
      </w:r>
      <w:r w:rsidR="00431D42" w:rsidRPr="00CA4ABC">
        <w:rPr>
          <w:rFonts w:cstheme="minorHAnsi"/>
          <w:color w:val="000000" w:themeColor="text1"/>
        </w:rPr>
        <w:t>making</w:t>
      </w:r>
      <w:r w:rsidR="004C12CF" w:rsidRPr="00CA4ABC">
        <w:rPr>
          <w:rFonts w:cstheme="minorHAnsi"/>
          <w:color w:val="000000" w:themeColor="text1"/>
        </w:rPr>
        <w:t xml:space="preserve"> comparisons between intervention arms difficult. Iron levels decline</w:t>
      </w:r>
      <w:r w:rsidR="00D84BDF" w:rsidRPr="00CA4ABC">
        <w:rPr>
          <w:rFonts w:cstheme="minorHAnsi"/>
          <w:color w:val="000000" w:themeColor="text1"/>
        </w:rPr>
        <w:t>d</w:t>
      </w:r>
      <w:r w:rsidR="00431D42" w:rsidRPr="00CA4ABC">
        <w:rPr>
          <w:rFonts w:cstheme="minorHAnsi"/>
          <w:color w:val="000000" w:themeColor="text1"/>
        </w:rPr>
        <w:t xml:space="preserve">, </w:t>
      </w:r>
      <w:r w:rsidR="004C12CF" w:rsidRPr="00CA4ABC">
        <w:rPr>
          <w:rFonts w:cstheme="minorHAnsi"/>
          <w:color w:val="000000" w:themeColor="text1"/>
        </w:rPr>
        <w:t>across all participants</w:t>
      </w:r>
      <w:r w:rsidR="00431D42" w:rsidRPr="00CA4ABC">
        <w:rPr>
          <w:rFonts w:cstheme="minorHAnsi"/>
          <w:color w:val="000000" w:themeColor="text1"/>
        </w:rPr>
        <w:t>, during the intervention</w:t>
      </w:r>
      <w:r w:rsidR="004C12CF" w:rsidRPr="00CA4ABC">
        <w:rPr>
          <w:rFonts w:cstheme="minorHAnsi"/>
          <w:color w:val="000000" w:themeColor="text1"/>
        </w:rPr>
        <w:t xml:space="preserve">. This may </w:t>
      </w:r>
      <w:r w:rsidR="004C46E7">
        <w:rPr>
          <w:rFonts w:cstheme="minorHAnsi"/>
          <w:color w:val="000000" w:themeColor="text1"/>
        </w:rPr>
        <w:t>further indicate</w:t>
      </w:r>
      <w:r w:rsidR="004C12CF" w:rsidRPr="00CA4ABC">
        <w:rPr>
          <w:rFonts w:cstheme="minorHAnsi"/>
          <w:color w:val="000000" w:themeColor="text1"/>
        </w:rPr>
        <w:t xml:space="preserve"> declines in protein </w:t>
      </w:r>
      <w:r w:rsidR="002D3390" w:rsidRPr="00CA4ABC">
        <w:rPr>
          <w:rFonts w:cstheme="minorHAnsi"/>
          <w:color w:val="000000" w:themeColor="text1"/>
        </w:rPr>
        <w:t>intake</w:t>
      </w:r>
      <w:r w:rsidR="004C12CF" w:rsidRPr="00CA4ABC">
        <w:rPr>
          <w:rFonts w:cstheme="minorHAnsi"/>
          <w:color w:val="000000" w:themeColor="text1"/>
        </w:rPr>
        <w:t xml:space="preserve"> </w:t>
      </w:r>
      <w:r w:rsidR="002D3390" w:rsidRPr="00CA4ABC">
        <w:rPr>
          <w:rFonts w:cstheme="minorHAnsi"/>
          <w:color w:val="000000" w:themeColor="text1"/>
        </w:rPr>
        <w:t>as it is</w:t>
      </w:r>
      <w:r w:rsidR="004C12CF" w:rsidRPr="00CA4ABC">
        <w:rPr>
          <w:rFonts w:cstheme="minorHAnsi"/>
          <w:color w:val="000000" w:themeColor="text1"/>
        </w:rPr>
        <w:t xml:space="preserve"> predominantly present in meat-based foods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9780117069923","id":"ITEM-1","issued":{"date-parts":[["2010"]]},"title":"sacn","type":"article-journal"},"uris":["http://www.mendeley.com/documents/?uuid=94114fbe-a268-3406-8e58-35439646b1e2"]}],"mendeley":{"formattedCitation":"(311)","plainTextFormattedCitation":"(311)","previouslyFormattedCitation":"(311)"},"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(311)</w:t>
      </w:r>
      <w:r w:rsidR="004C12CF" w:rsidRPr="00CA4ABC">
        <w:rPr>
          <w:rFonts w:cstheme="minorHAnsi"/>
          <w:color w:val="000000" w:themeColor="text1"/>
        </w:rPr>
        <w:fldChar w:fldCharType="end"/>
      </w:r>
      <w:r w:rsidR="002607C7" w:rsidRPr="00CA4ABC">
        <w:rPr>
          <w:rFonts w:cstheme="minorHAnsi"/>
          <w:color w:val="000000" w:themeColor="text1"/>
        </w:rPr>
        <w:t xml:space="preserve">. </w:t>
      </w:r>
      <w:r w:rsidR="004C12CF" w:rsidRPr="00CA4ABC">
        <w:rPr>
          <w:rFonts w:cstheme="minorHAnsi"/>
          <w:color w:val="000000" w:themeColor="text1"/>
        </w:rPr>
        <w:t xml:space="preserve">Moreover, </w:t>
      </w:r>
      <w:r w:rsidR="004C12CF" w:rsidRPr="00CA4ABC">
        <w:rPr>
          <w:rFonts w:cstheme="minorHAnsi"/>
          <w:color w:val="000000" w:themeColor="text1"/>
        </w:rPr>
        <w:lastRenderedPageBreak/>
        <w:t xml:space="preserve">compared to baseline levels, intakes of retinol </w:t>
      </w:r>
      <w:r w:rsidR="002D3390" w:rsidRPr="00CA4ABC">
        <w:rPr>
          <w:rFonts w:cstheme="minorHAnsi"/>
          <w:color w:val="000000" w:themeColor="text1"/>
        </w:rPr>
        <w:t>appear</w:t>
      </w:r>
      <w:r w:rsidR="004C12CF" w:rsidRPr="00CA4ABC">
        <w:rPr>
          <w:rFonts w:cstheme="minorHAnsi"/>
          <w:color w:val="000000" w:themeColor="text1"/>
        </w:rPr>
        <w:t xml:space="preserve"> to </w:t>
      </w:r>
      <w:r w:rsidR="002607C7" w:rsidRPr="00CA4ABC">
        <w:rPr>
          <w:rFonts w:cstheme="minorHAnsi"/>
          <w:color w:val="000000" w:themeColor="text1"/>
        </w:rPr>
        <w:t>fall</w:t>
      </w:r>
      <w:r w:rsidR="004C12CF" w:rsidRPr="00CA4ABC">
        <w:rPr>
          <w:rFonts w:cstheme="minorHAnsi"/>
          <w:color w:val="000000" w:themeColor="text1"/>
        </w:rPr>
        <w:t xml:space="preserve"> below dietary recommendations guidelines</w:t>
      </w:r>
      <w:r w:rsidR="002607C7" w:rsidRPr="00CA4ABC">
        <w:rPr>
          <w:rFonts w:cstheme="minorHAnsi"/>
          <w:color w:val="000000" w:themeColor="text1"/>
        </w:rPr>
        <w:t>. Again, this micronutrient</w:t>
      </w:r>
      <w:r w:rsidR="004C12CF" w:rsidRPr="00CA4ABC">
        <w:rPr>
          <w:rFonts w:cstheme="minorHAnsi"/>
          <w:color w:val="000000" w:themeColor="text1"/>
        </w:rPr>
        <w:t xml:space="preserve"> </w:t>
      </w:r>
      <w:r w:rsidR="002607C7" w:rsidRPr="00CA4ABC">
        <w:rPr>
          <w:rFonts w:cstheme="minorHAnsi"/>
          <w:color w:val="000000" w:themeColor="text1"/>
        </w:rPr>
        <w:t>is</w:t>
      </w:r>
      <w:r w:rsidR="004C12CF" w:rsidRPr="00CA4ABC">
        <w:rPr>
          <w:rFonts w:cstheme="minorHAnsi"/>
          <w:color w:val="000000" w:themeColor="text1"/>
        </w:rPr>
        <w:t xml:space="preserve"> most commonly found in animal-based protein foods such as dairy products, eggs, oily fish and liver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{"citationItems":[{"id":"ITEM-1","itemData":{"URL":"https://www.nhs.uk/conditions/vitamins-and-minerals/vitamin-a/","accessed":{"date-parts":[["2022","12","21"]]},"id":"ITEM-1","issued":{"date-parts":[["0"]]},"title":"Vitamins and minerals - Vitamin A - NHS","type":"webpage"},"uris":["http://www.mendeley.com/documents/?uuid=0a718b61-eb30-3e69-9feb-e2dff344649f"]}],"mendeley":{"formattedCitation":"(312)","plainTextFormattedCitation":"(312)","previouslyFormattedCitation":"(312)"},"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(312)</w:t>
      </w:r>
      <w:r w:rsidR="004C12CF" w:rsidRPr="00CA4ABC">
        <w:rPr>
          <w:rFonts w:cstheme="minorHAnsi"/>
          <w:color w:val="000000" w:themeColor="text1"/>
        </w:rPr>
        <w:fldChar w:fldCharType="end"/>
      </w:r>
      <w:r w:rsidR="004C12CF" w:rsidRPr="00CA4ABC">
        <w:rPr>
          <w:rFonts w:cstheme="minorHAnsi"/>
          <w:color w:val="000000" w:themeColor="text1"/>
        </w:rPr>
        <w:t xml:space="preserve">. Overall, dietary analysis suggests that the participants </w:t>
      </w:r>
      <w:r w:rsidR="003A4946">
        <w:rPr>
          <w:rFonts w:cstheme="minorHAnsi"/>
          <w:color w:val="000000" w:themeColor="text1"/>
        </w:rPr>
        <w:t>ate a varied protein-rich diet and achieved</w:t>
      </w:r>
      <w:r w:rsidR="004C12CF" w:rsidRPr="00CA4ABC">
        <w:rPr>
          <w:rFonts w:cstheme="minorHAnsi"/>
          <w:color w:val="000000" w:themeColor="text1"/>
        </w:rPr>
        <w:t xml:space="preserve"> protein guidelines, regardless of the intervention stage</w:t>
      </w:r>
      <w:r w:rsidR="002607C7" w:rsidRPr="00CA4ABC">
        <w:rPr>
          <w:rFonts w:cstheme="minorHAnsi"/>
          <w:color w:val="000000" w:themeColor="text1"/>
        </w:rPr>
        <w:t>.</w:t>
      </w:r>
      <w:r w:rsidRPr="00CA4ABC">
        <w:rPr>
          <w:rFonts w:cstheme="minorHAnsi"/>
          <w:color w:val="000000" w:themeColor="text1"/>
        </w:rPr>
        <w:t xml:space="preserve"> </w:t>
      </w:r>
    </w:p>
    <w:p w14:paraId="54DC5FAB" w14:textId="77777777" w:rsidR="004C12CF" w:rsidRPr="00CA4ABC" w:rsidRDefault="004C12CF" w:rsidP="004053D7">
      <w:pPr>
        <w:spacing w:line="360" w:lineRule="auto"/>
        <w:rPr>
          <w:rFonts w:cstheme="minorHAnsi"/>
          <w:color w:val="000000" w:themeColor="text1"/>
        </w:rPr>
      </w:pPr>
    </w:p>
    <w:p w14:paraId="254EF578" w14:textId="6CEA5428" w:rsidR="004C12CF" w:rsidRPr="00CA4ABC" w:rsidRDefault="003A4946" w:rsidP="004053D7">
      <w:pPr>
        <w:spacing w:line="360" w:lineRule="auto"/>
        <w:rPr>
          <w:rFonts w:cstheme="minorHAnsi"/>
          <w:color w:val="000000" w:themeColor="text1"/>
        </w:rPr>
      </w:pPr>
      <w:r>
        <w:rPr>
          <w:rFonts w:cstheme="minorHAnsi"/>
          <w:color w:val="000000" w:themeColor="text1"/>
        </w:rPr>
        <w:t>The participants reported very few adverse events</w:t>
      </w:r>
      <w:r w:rsidR="004C12CF" w:rsidRPr="00CA4ABC">
        <w:rPr>
          <w:rFonts w:cstheme="minorHAnsi"/>
          <w:color w:val="000000" w:themeColor="text1"/>
        </w:rPr>
        <w:t xml:space="preserve"> during this trial,</w:t>
      </w:r>
      <w:r w:rsidR="00A905BF" w:rsidRPr="00CA4ABC">
        <w:rPr>
          <w:rFonts w:cstheme="minorHAnsi"/>
          <w:color w:val="000000" w:themeColor="text1"/>
        </w:rPr>
        <w:t xml:space="preserve"> which is a strength of the trial design,</w:t>
      </w:r>
      <w:r w:rsidR="004C12CF" w:rsidRPr="00CA4ABC">
        <w:rPr>
          <w:rFonts w:cstheme="minorHAnsi"/>
          <w:color w:val="000000" w:themeColor="text1"/>
        </w:rPr>
        <w:t xml:space="preserve"> although some documented feelings of nausea, due to the protein supplement, </w:t>
      </w:r>
      <w:r w:rsidR="002D3390" w:rsidRPr="00CA4ABC">
        <w:rPr>
          <w:rFonts w:cstheme="minorHAnsi"/>
          <w:color w:val="000000" w:themeColor="text1"/>
        </w:rPr>
        <w:t>and</w:t>
      </w:r>
      <w:r w:rsidR="004C12CF" w:rsidRPr="00CA4ABC">
        <w:rPr>
          <w:rFonts w:cstheme="minorHAnsi"/>
          <w:color w:val="000000" w:themeColor="text1"/>
        </w:rPr>
        <w:t xml:space="preserve"> injury caused by the resistance band designs. Addressing the factors that caused negative outcomes are still necessary. It is important, as part of conducting feasibility trials</w:t>
      </w:r>
      <w:r>
        <w:rPr>
          <w:rFonts w:cstheme="minorHAnsi"/>
          <w:color w:val="000000" w:themeColor="text1"/>
        </w:rPr>
        <w:t>,</w:t>
      </w:r>
      <w:r w:rsidR="004C12CF" w:rsidRPr="00CA4ABC">
        <w:rPr>
          <w:rFonts w:cstheme="minorHAnsi"/>
          <w:color w:val="000000" w:themeColor="text1"/>
        </w:rPr>
        <w:t xml:space="preserve"> to understand if the benefits of the intervention </w:t>
      </w:r>
      <w:r w:rsidR="002D3390" w:rsidRPr="00CA4ABC">
        <w:rPr>
          <w:rFonts w:cstheme="minorHAnsi"/>
          <w:color w:val="000000" w:themeColor="text1"/>
        </w:rPr>
        <w:t>outweigh</w:t>
      </w:r>
      <w:r w:rsidR="004C12CF" w:rsidRPr="00CA4ABC">
        <w:rPr>
          <w:rFonts w:cstheme="minorHAnsi"/>
          <w:color w:val="000000" w:themeColor="text1"/>
        </w:rPr>
        <w:t xml:space="preserve"> any harm. Based on trial engagement feedback, it appears this can be advocated for.</w:t>
      </w:r>
    </w:p>
    <w:p w14:paraId="612BC7F8" w14:textId="77777777" w:rsidR="004C12CF" w:rsidRPr="00CA4ABC" w:rsidRDefault="004C12CF" w:rsidP="004053D7">
      <w:pPr>
        <w:spacing w:line="360" w:lineRule="auto"/>
        <w:rPr>
          <w:rFonts w:cstheme="minorHAnsi"/>
          <w:color w:val="000000" w:themeColor="text1"/>
        </w:rPr>
      </w:pPr>
    </w:p>
    <w:p w14:paraId="034B0822" w14:textId="6324B71C" w:rsidR="004C12CF" w:rsidRPr="00CA4ABC" w:rsidRDefault="004C12CF" w:rsidP="00357DD3">
      <w:pPr>
        <w:pStyle w:val="Heading3"/>
        <w:spacing w:line="360" w:lineRule="auto"/>
        <w:rPr>
          <w:rFonts w:asciiTheme="minorHAnsi" w:hAnsiTheme="minorHAnsi" w:cstheme="minorHAnsi"/>
          <w:color w:val="000000" w:themeColor="text1"/>
        </w:rPr>
      </w:pPr>
      <w:bookmarkStart w:id="356" w:name="_Toc135384390"/>
      <w:r w:rsidRPr="00CA4ABC">
        <w:rPr>
          <w:rFonts w:asciiTheme="minorHAnsi" w:hAnsiTheme="minorHAnsi" w:cstheme="minorHAnsi"/>
          <w:color w:val="000000" w:themeColor="text1"/>
        </w:rPr>
        <w:t>5.</w:t>
      </w:r>
      <w:r w:rsidR="001C06F3"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.1  Study strengths</w:t>
      </w:r>
      <w:bookmarkEnd w:id="356"/>
    </w:p>
    <w:p w14:paraId="21627A90" w14:textId="6E727E6C" w:rsidR="00B06ED4" w:rsidRPr="00CA4ABC" w:rsidRDefault="00561B34" w:rsidP="00561B34">
      <w:pPr>
        <w:spacing w:line="360" w:lineRule="auto"/>
        <w:rPr>
          <w:rFonts w:cstheme="minorHAnsi"/>
          <w:lang w:eastAsia="en-GB"/>
        </w:rPr>
      </w:pPr>
      <w:r w:rsidRPr="00CA4ABC">
        <w:rPr>
          <w:rFonts w:cstheme="minorHAnsi"/>
          <w:lang w:eastAsia="en-GB"/>
        </w:rPr>
        <w:tab/>
        <w:t>This work addressed a niche and novel area of resistance training, being conducted remotely</w:t>
      </w:r>
      <w:r w:rsidR="006E2648" w:rsidRPr="00CA4ABC">
        <w:rPr>
          <w:rFonts w:cstheme="minorHAnsi"/>
          <w:lang w:eastAsia="en-GB"/>
        </w:rPr>
        <w:t xml:space="preserve">, and the intervention design has the capacity to fit into the digital health space </w:t>
      </w:r>
      <w:r w:rsidR="006E2648" w:rsidRPr="00CA4ABC">
        <w:rPr>
          <w:rFonts w:cstheme="minorHAnsi"/>
          <w:lang w:eastAsia="en-GB"/>
        </w:rPr>
        <w:fldChar w:fldCharType="begin" w:fldLock="1"/>
      </w:r>
      <w:r w:rsidR="00821D82">
        <w:rPr>
          <w:rFonts w:cstheme="minorHAnsi"/>
          <w:lang w:eastAsia="en-GB"/>
        </w:rPr>
        <w:instrText>ADDIN CSL_CITATION {"citationItems":[{"id":"ITEM-1","itemData":{"DOI":"10.4103/JRMS.JRMS_1255_20","ISSN":"17357136","PMID":"34084190","abstract":"Digital health as a rapidly growing medical field relies comprehensively on human health data. Conventionally, the collection of health data is mediated by officially diagnostic instruments, operated by health professionals in clinical environments and under strict regulatory conditions. Mobile health, telemedicine, and other smart devices with Internet connections are becoming the future choices for collecting patient information. Progress of technologies has facilitated smartphones, wearable devices, and miniaturized health-care devices. These devices allow the gathering of an individual's health-care information at the patient's home. The data from these devices will be huge, and by integrating such enormous data using Artificial Intelligence, more detailed phenotyping of disease and more personalized medicine will be realistic. The future of medicine will be progressively more digital, and recognizing the importance of digital technology in this field and pandemic preparedness planning has become urgent.","author":[{"dropping-particle":"","family":"Manteghinejad","given":"Amirreza","non-dropping-particle":"","parse-names":false,"suffix":""},{"dropping-particle":"","family":"Javanmard","given":"Shaghayegh Haghjooy","non-dropping-particle":"","parse-names":false,"suffix":""}],"container-title":"Journal of Research in Medical Sciences : The Official Journal of Isfahan University of Medical Sciences","id":"ITEM-1","issue":"1","issued":{"date-parts":[["2021"]]},"publisher":"Wolters Kluwer -- Medknow Publications","title":"Challenges and opportunities of digital health in a post-COVID19 world","type":"article-journal","volume":"26"},"uris":["http://www.mendeley.com/documents/?uuid=09ae2d31-cd66-39b2-914e-3a6de6086f5f"]}],"mendeley":{"formattedCitation":"(313)","plainTextFormattedCitation":"(313)","previouslyFormattedCitation":"(313)"},"properties":{"noteIndex":0},"schema":"https://github.com/citation-style-language/schema/raw/master/csl-citation.json"}</w:instrText>
      </w:r>
      <w:r w:rsidR="006E2648" w:rsidRPr="00CA4ABC">
        <w:rPr>
          <w:rFonts w:cstheme="minorHAnsi"/>
          <w:lang w:eastAsia="en-GB"/>
        </w:rPr>
        <w:fldChar w:fldCharType="separate"/>
      </w:r>
      <w:r w:rsidR="00FF0BCE" w:rsidRPr="00FF0BCE">
        <w:rPr>
          <w:rFonts w:cstheme="minorHAnsi"/>
          <w:noProof/>
          <w:lang w:eastAsia="en-GB"/>
        </w:rPr>
        <w:t>(313)</w:t>
      </w:r>
      <w:r w:rsidR="006E2648" w:rsidRPr="00CA4ABC">
        <w:rPr>
          <w:rFonts w:cstheme="minorHAnsi"/>
          <w:lang w:eastAsia="en-GB"/>
        </w:rPr>
        <w:fldChar w:fldCharType="end"/>
      </w:r>
      <w:r w:rsidR="006E2648" w:rsidRPr="00CA4ABC">
        <w:rPr>
          <w:rFonts w:cstheme="minorHAnsi"/>
          <w:lang w:eastAsia="en-GB"/>
        </w:rPr>
        <w:t>. This is</w:t>
      </w:r>
      <w:r w:rsidR="008626EB" w:rsidRPr="00CA4ABC">
        <w:rPr>
          <w:rFonts w:cstheme="minorHAnsi"/>
          <w:lang w:eastAsia="en-GB"/>
        </w:rPr>
        <w:t xml:space="preserve"> especially supported by </w:t>
      </w:r>
      <w:r w:rsidR="002C4DE0" w:rsidRPr="00CA4ABC">
        <w:rPr>
          <w:rFonts w:cstheme="minorHAnsi"/>
          <w:lang w:eastAsia="en-GB"/>
        </w:rPr>
        <w:t xml:space="preserve">documentation that </w:t>
      </w:r>
      <w:r w:rsidR="007570F6" w:rsidRPr="00CA4ABC">
        <w:rPr>
          <w:rFonts w:cstheme="minorHAnsi"/>
          <w:lang w:eastAsia="en-GB"/>
        </w:rPr>
        <w:t xml:space="preserve">most participants engaged </w:t>
      </w:r>
      <w:r w:rsidR="00D84BDF" w:rsidRPr="00CA4ABC">
        <w:rPr>
          <w:rFonts w:cstheme="minorHAnsi"/>
          <w:lang w:eastAsia="en-GB"/>
        </w:rPr>
        <w:t>well</w:t>
      </w:r>
      <w:r w:rsidR="007570F6" w:rsidRPr="00CA4ABC">
        <w:rPr>
          <w:rFonts w:cstheme="minorHAnsi"/>
          <w:lang w:eastAsia="en-GB"/>
        </w:rPr>
        <w:t xml:space="preserve"> with the</w:t>
      </w:r>
      <w:r w:rsidR="002C4DE0" w:rsidRPr="00CA4ABC">
        <w:rPr>
          <w:rFonts w:cstheme="minorHAnsi"/>
          <w:lang w:eastAsia="en-GB"/>
        </w:rPr>
        <w:t xml:space="preserve"> online</w:t>
      </w:r>
      <w:r w:rsidR="007570F6" w:rsidRPr="00CA4ABC">
        <w:rPr>
          <w:rFonts w:cstheme="minorHAnsi"/>
          <w:lang w:eastAsia="en-GB"/>
        </w:rPr>
        <w:t xml:space="preserve"> video classes, regardless of if they were done live or in their own time</w:t>
      </w:r>
      <w:r w:rsidR="002D3390" w:rsidRPr="00CA4ABC">
        <w:rPr>
          <w:rFonts w:cstheme="minorHAnsi"/>
          <w:lang w:eastAsia="en-GB"/>
        </w:rPr>
        <w:t xml:space="preserve">. Furthermore, </w:t>
      </w:r>
      <w:r w:rsidR="007570F6" w:rsidRPr="00CA4ABC">
        <w:rPr>
          <w:rFonts w:cstheme="minorHAnsi"/>
          <w:lang w:eastAsia="en-GB"/>
        </w:rPr>
        <w:t>appreciation for having both options was deemed a positive.</w:t>
      </w:r>
      <w:r w:rsidR="002C4DE0" w:rsidRPr="00CA4ABC">
        <w:rPr>
          <w:rFonts w:cstheme="minorHAnsi"/>
          <w:lang w:eastAsia="en-GB"/>
        </w:rPr>
        <w:t xml:space="preserve"> </w:t>
      </w:r>
      <w:r w:rsidR="002D3390" w:rsidRPr="00CA4ABC">
        <w:rPr>
          <w:rFonts w:cstheme="minorHAnsi"/>
          <w:color w:val="000000"/>
          <w:shd w:val="clear" w:color="auto" w:fill="FFFFFF"/>
        </w:rPr>
        <w:t xml:space="preserve">Despite this, participants' preferences varied between attending live vs doing the recorded workouts in their own time. </w:t>
      </w:r>
      <w:r w:rsidR="00B06ED4" w:rsidRPr="00CA4ABC">
        <w:rPr>
          <w:rFonts w:cstheme="minorHAnsi"/>
          <w:color w:val="000000" w:themeColor="text1"/>
        </w:rPr>
        <w:t xml:space="preserve">It was also suggested in the qualitative interviews that an app would be a beneficial addition to the intervention delivery. Optimising the delivery platform to fit into the digital health space would be of benefit. This industry has seen substantial growth in recent years, particularly </w:t>
      </w:r>
      <w:r w:rsidR="002D3390" w:rsidRPr="00CA4ABC">
        <w:rPr>
          <w:rFonts w:cstheme="minorHAnsi"/>
          <w:color w:val="000000" w:themeColor="text1"/>
        </w:rPr>
        <w:t>after</w:t>
      </w:r>
      <w:r w:rsidR="00B06ED4" w:rsidRPr="00CA4ABC">
        <w:rPr>
          <w:rFonts w:cstheme="minorHAnsi"/>
          <w:color w:val="000000" w:themeColor="text1"/>
        </w:rPr>
        <w:t xml:space="preserve"> the pandemic. Retrospective time-series analysis of web-based internet search</w:t>
      </w:r>
      <w:r w:rsidR="00D84BDF" w:rsidRPr="00CA4ABC">
        <w:rPr>
          <w:rFonts w:cstheme="minorHAnsi"/>
          <w:color w:val="000000" w:themeColor="text1"/>
        </w:rPr>
        <w:t>es</w:t>
      </w:r>
      <w:r w:rsidR="00B06ED4" w:rsidRPr="00CA4ABC">
        <w:rPr>
          <w:rFonts w:cstheme="minorHAnsi"/>
          <w:color w:val="000000" w:themeColor="text1"/>
        </w:rPr>
        <w:t xml:space="preserve"> for digital health products (DHP) in the UK before and during the COVID-19 pandemic revealed that s</w:t>
      </w:r>
      <w:r w:rsidR="00B06ED4" w:rsidRPr="00CA4ABC">
        <w:rPr>
          <w:rFonts w:cstheme="minorHAnsi"/>
          <w:color w:val="000000" w:themeColor="text1"/>
          <w:shd w:val="clear" w:color="auto" w:fill="FFFFFF"/>
        </w:rPr>
        <w:t xml:space="preserve">earches for DHPs increased by 343% from 2446 per </w:t>
      </w:r>
      <w:r w:rsidR="00D84BDF" w:rsidRPr="00CA4ABC">
        <w:rPr>
          <w:rFonts w:cstheme="minorHAnsi"/>
          <w:color w:val="000000" w:themeColor="text1"/>
          <w:shd w:val="clear" w:color="auto" w:fill="FFFFFF"/>
        </w:rPr>
        <w:t xml:space="preserve">month in February 2020 </w:t>
      </w:r>
      <w:r w:rsidR="00B06ED4" w:rsidRPr="00CA4ABC">
        <w:rPr>
          <w:rFonts w:cstheme="minorHAnsi"/>
          <w:color w:val="000000" w:themeColor="text1"/>
          <w:shd w:val="clear" w:color="auto" w:fill="FFFFFF"/>
        </w:rPr>
        <w:t xml:space="preserve">to 8996 per month in the period following the first COVID-19 lockdown in the UK </w:t>
      </w:r>
      <w:r w:rsidR="00B06ED4" w:rsidRPr="00CA4ABC">
        <w:rPr>
          <w:rFonts w:cstheme="minorHAnsi"/>
          <w:color w:val="000000" w:themeColor="text1"/>
          <w:shd w:val="clear" w:color="auto" w:fill="FFFFFF"/>
        </w:rPr>
        <w:fldChar w:fldCharType="begin" w:fldLock="1"/>
      </w:r>
      <w:r w:rsidR="00821D82">
        <w:rPr>
          <w:rFonts w:cstheme="minorHAnsi"/>
          <w:color w:val="000000" w:themeColor="text1"/>
          <w:shd w:val="clear" w:color="auto" w:fill="FFFFFF"/>
        </w:rPr>
        <w:instrText>ADDIN CSL_CITATION {"citationItems":[{"id":"ITEM-1","itemData":{"DOI":"10.1136/BMJOPEN-2021-053891","ISSN":"2044-6055","PMID":"34635531","abstract":"Objectives To explore if consumer interest in digital health products (DHPs), changed following the COVID-19 pandemic and the lockdown measures that ensued. Design Retrospective time-series analysis of web-based internet searches for DHPs in the UK, split over two periods, pre-COVID-19 lockdown (January 2019-23 March 2020) and post-COVID-19 lockdown (24 March 2020-31 December 2020). Setting The UK. Participants Members of the UK general population using health-app libraries provided by the Organisation for the Review of Care and Health Applications. Primary and secondary outcome measures The primary outcome was volume of searches for DHPs. Secondary outcomes considered search volumes for 25 different therapeutic areas. Outcomes were assessed for significance using a two-stage Poisson test. Results There were 126 640 searches for DHPs over the study period. Searches for DHPs increased by 343% from 2446 per month prior to COVID-19 lockdown measures being introduced to 8996 per month in the period following the first COVID-19 lockdown in the UK. In total, 23/25 (92%) of condition areas experienced a significant increase in searches for DHPs, with the greatest increases occurring in the first 2 months following lockdown. Musculoskeletal conditions (2.036%), allergy (1.253%) and healthy living DHPs (1.051%) experienced the greatest increases in searches compared with pre-lockdown. Increased search volumes for DHPs were sustained in the 9 months following the introduction of lockdown measures, with 21/25 (84%) of condition areas experiencing monthly search volumes at least 50% greater than pre-lockdown levels. Conclusions The COVID-19 pandemic has profoundly disrupted the routine delivery of healthcare, making face-to-face interaction difficult, and contributing to unmet clinical needs. This study has demonstrated significant increases in internet searches for DHPs by members of the UK population since COVID-19, signifying an increased interest in this potential therapeutic medium. Future research should clarify whether this increased interest has resulted in increased acceptance and utilisation of these technologies also.","author":[{"dropping-particle":"","family":"Leigh","given":"Simon","non-dropping-particle":"","parse-names":false,"suffix":""},{"dropping-particle":"","family":"Daly","given":"Rob","non-dropping-particle":"","parse-names":false,"suffix":""},{"dropping-particle":"","family":"Stevens","given":"Sebastian","non-dropping-particle":"","parse-names":false,"suffix":""},{"dropping-particle":"","family":"Lapajne","given":"Luka","non-dropping-particle":"","parse-names":false,"suffix":""},{"dropping-particle":"","family":"Clayton","given":"Charlotte","non-dropping-particle":"","parse-names":false,"suffix":""},{"dropping-particle":"","family":"Andrews","given":"Tim","non-dropping-particle":"","parse-names":false,"suffix":""},{"dropping-particle":"","family":"Ashall-Payne","given":"Liz","non-dropping-particle":"","parse-names":false,"suffix":""}],"container-title":"BMJ open","id":"ITEM-1","issue":"10","issued":{"date-parts":[["2021","10","11"]]},"publisher":"BMJ Open","title":"Web-based internet searches for digital health products in the United Kingdom before and during the COVID-19 pandemic: a time-series analysis using app libraries from the Organisation for the Review of Care and Health Applications (ORCHA)","type":"article-journal","volume":"11"},"uris":["http://www.mendeley.com/documents/?uuid=fbeb7300-4cfe-36ea-bcd6-fb66aaba0370"]}],"mendeley":{"formattedCitation":"(314)","plainTextFormattedCitation":"(314)","previouslyFormattedCitation":"(314)"},"properties":{"noteIndex":0},"schema":"https://github.com/citation-style-language/schema/raw/master/csl-citation.json"}</w:instrText>
      </w:r>
      <w:r w:rsidR="00B06ED4" w:rsidRPr="00CA4ABC">
        <w:rPr>
          <w:rFonts w:cstheme="minorHAnsi"/>
          <w:color w:val="000000" w:themeColor="text1"/>
          <w:shd w:val="clear" w:color="auto" w:fill="FFFFFF"/>
        </w:rPr>
        <w:fldChar w:fldCharType="separate"/>
      </w:r>
      <w:r w:rsidR="00FF0BCE" w:rsidRPr="00FF0BCE">
        <w:rPr>
          <w:rFonts w:cstheme="minorHAnsi"/>
          <w:noProof/>
          <w:color w:val="000000" w:themeColor="text1"/>
          <w:shd w:val="clear" w:color="auto" w:fill="FFFFFF"/>
        </w:rPr>
        <w:t>(314)</w:t>
      </w:r>
      <w:r w:rsidR="00B06ED4" w:rsidRPr="00CA4ABC">
        <w:rPr>
          <w:rFonts w:cstheme="minorHAnsi"/>
          <w:color w:val="000000" w:themeColor="text1"/>
          <w:shd w:val="clear" w:color="auto" w:fill="FFFFFF"/>
        </w:rPr>
        <w:fldChar w:fldCharType="end"/>
      </w:r>
      <w:r w:rsidR="00B06ED4" w:rsidRPr="00CA4ABC">
        <w:rPr>
          <w:rFonts w:cstheme="minorHAnsi"/>
          <w:color w:val="000000" w:themeColor="text1"/>
          <w:shd w:val="clear" w:color="auto" w:fill="FFFFFF"/>
        </w:rPr>
        <w:t xml:space="preserve">. </w:t>
      </w:r>
      <w:r w:rsidR="00D84BDF" w:rsidRPr="00CA4ABC">
        <w:rPr>
          <w:rFonts w:cstheme="minorHAnsi"/>
          <w:color w:val="000000" w:themeColor="text1"/>
          <w:shd w:val="clear" w:color="auto" w:fill="FFFFFF"/>
        </w:rPr>
        <w:t>Moreover</w:t>
      </w:r>
      <w:r w:rsidR="00B06ED4" w:rsidRPr="00CA4ABC">
        <w:rPr>
          <w:rFonts w:cstheme="minorHAnsi"/>
          <w:color w:val="000000" w:themeColor="text1"/>
          <w:shd w:val="clear" w:color="auto" w:fill="FFFFFF"/>
        </w:rPr>
        <w:t xml:space="preserve">, musculoskeletal conditions (2,036%) and healthy living DHPs (1,051%) experienced the greatest increase in searches. </w:t>
      </w:r>
      <w:r w:rsidR="00B06ED4" w:rsidRPr="00CA4ABC">
        <w:rPr>
          <w:rFonts w:cstheme="minorHAnsi"/>
          <w:color w:val="000000" w:themeColor="text1"/>
        </w:rPr>
        <w:t xml:space="preserve">IQVIA Institute for Human Data Science </w:t>
      </w:r>
      <w:r w:rsidR="00B06ED4" w:rsidRPr="00CA4ABC">
        <w:rPr>
          <w:rFonts w:cstheme="minorHAnsi"/>
          <w:color w:val="000000" w:themeColor="text1"/>
        </w:rPr>
        <w:fldChar w:fldCharType="begin" w:fldLock="1"/>
      </w:r>
      <w:r w:rsidR="00821D82">
        <w:rPr>
          <w:rFonts w:cstheme="minorHAnsi"/>
          <w:color w:val="000000" w:themeColor="text1"/>
        </w:rPr>
        <w:instrText>ADDIN CSL_CITATION {"citationItems":[{"id":"ITEM-1","itemData":{"abstract":"Innovation in digital health tools, including mobile health apps and wearable sensors, bring new approaches to the management of health conditions. Digital therapeutics to treat human disease are being approved by regulatory agencies around the world and routes to reimbursement are being established as developers generate and submit high-quality data on effectiveness to payers and employers. Further, new digital biomarkers are being created using consumer wearables, with the intent to track elements of patient health remotely. As these digital tools begin to have a fundamental impact on patient care and influence clinical trial design, it is important to assess the innovation and evidence they contribute as well as the barriers to and facilitators of their adoption. This study of digital health covers trends in four areas-innovation, evidence, regulation, and adoption-to assess how these new tools are becoming an entirely new therapeutic modality alongside traditional medicines and medical devices. We analyze health-related mobile applications that are available to consumers on top app stores, along with shifts in the types of apps available. We further examine trends in the overall body of clinical evidence on app effectiveness, including the types of studies published over time, and use cases where high-quality evidence exists and select apps can be considered for inclusion into guidelines. A pipeline of digital therapeutic products has also emerged, and we review aspects of their development, evidence generation and commercialization. Shifts in policy intended to encourage innovation and make these accessible to populations, including the new routes to approval and reimbursement being created around the world, are also explored. Wearables that enable patient self-care and remote monitoring of patient health in real time as digital biomarkers are discussed, along with connected sensors used in clinical trials that are enabling decentralized trial designs. Finally, we examine the roles of life sciences companies, payers, employers, and app developers in the commercialization of these products, as well as barriers to reimbursement and adoption.","author":[{"dropping-particle":"","family":"Kern","given":"Julia","non-dropping-particle":"","parse-names":false,"suffix":""},{"dropping-particle":"","family":"Skye","given":"Ann","non-dropping-particle":"","parse-names":false,"suffix":""},{"dropping-particle":"","family":"Krupnick","given":"Michael","non-dropping-particle":"","parse-names":false,"suffix":""},{"dropping-particle":"","family":"Pawley","given":"Sara","non-dropping-particle":"","parse-names":false,"suffix":""},{"dropping-particle":"","family":"Pedersen","given":"Ashlea","non-dropping-particle":"","parse-names":false,"suffix":""},{"dropping-particle":"","family":"Preciado","given":"Katy","non-dropping-particle":"","parse-names":false,"suffix":""},{"dropping-particle":"","family":"Shawl","given":"Burhan","non-dropping-particle":"","parse-names":false,"suffix":""},{"dropping-particle":"","family":"AITKEN Executive Director","given":"Murray","non-dropping-particle":"","parse-names":false,"suffix":""}],"container-title":"Digital Health Trends","id":"ITEM-1","issued":{"date-parts":[["2021"]]},"title":"written consent of IQVIA and the IQVIA Institute","type":"article-journal"},"uris":["http://www.mendeley.com/documents/?uuid=e6ea443f-90e0-36a4-9862-0ab31a345077"]}],"mendeley":{"formattedCitation":"(315)","plainTextFormattedCitation":"(315)","previouslyFormattedCitation":"(315)"},"properties":{"noteIndex":0},"schema":"https://github.com/citation-style-language/schema/raw/master/csl-citation.json"}</w:instrText>
      </w:r>
      <w:r w:rsidR="00B06ED4" w:rsidRPr="00CA4ABC">
        <w:rPr>
          <w:rFonts w:cstheme="minorHAnsi"/>
          <w:color w:val="000000" w:themeColor="text1"/>
        </w:rPr>
        <w:fldChar w:fldCharType="separate"/>
      </w:r>
      <w:r w:rsidR="00FF0BCE" w:rsidRPr="00FF0BCE">
        <w:rPr>
          <w:rFonts w:cstheme="minorHAnsi"/>
          <w:noProof/>
          <w:color w:val="000000" w:themeColor="text1"/>
        </w:rPr>
        <w:t>(315)</w:t>
      </w:r>
      <w:r w:rsidR="00B06ED4" w:rsidRPr="00CA4ABC">
        <w:rPr>
          <w:rFonts w:cstheme="minorHAnsi"/>
          <w:color w:val="000000" w:themeColor="text1"/>
        </w:rPr>
        <w:fldChar w:fldCharType="end"/>
      </w:r>
      <w:r w:rsidR="00B06ED4" w:rsidRPr="00CA4ABC">
        <w:rPr>
          <w:rFonts w:cstheme="minorHAnsi"/>
          <w:color w:val="000000" w:themeColor="text1"/>
        </w:rPr>
        <w:t xml:space="preserve"> reported tha</w:t>
      </w:r>
      <w:r w:rsidR="002D3390" w:rsidRPr="00CA4ABC">
        <w:rPr>
          <w:rFonts w:cstheme="minorHAnsi"/>
          <w:color w:val="000000" w:themeColor="text1"/>
        </w:rPr>
        <w:t>t</w:t>
      </w:r>
      <w:r w:rsidR="00B06ED4" w:rsidRPr="00CA4ABC">
        <w:rPr>
          <w:rFonts w:cstheme="minorHAnsi"/>
          <w:color w:val="000000" w:themeColor="text1"/>
        </w:rPr>
        <w:t xml:space="preserve"> 90,000 new digital health apps hit the market during the course of 2020. Moreover, investments in digital health also surged, with a monthly record of $3.4 billion being invested in December 2020, globally. </w:t>
      </w:r>
    </w:p>
    <w:p w14:paraId="31B5FC80" w14:textId="77777777" w:rsidR="002C4DE0" w:rsidRPr="00CA4ABC" w:rsidRDefault="002C4DE0" w:rsidP="00561B34">
      <w:pPr>
        <w:spacing w:line="360" w:lineRule="auto"/>
        <w:rPr>
          <w:rFonts w:cstheme="minorHAnsi"/>
          <w:lang w:eastAsia="en-GB"/>
        </w:rPr>
      </w:pPr>
    </w:p>
    <w:p w14:paraId="7083ACA2" w14:textId="0E346588" w:rsidR="004C12CF" w:rsidRPr="00CA4ABC" w:rsidRDefault="004C12CF" w:rsidP="00561B34">
      <w:pPr>
        <w:spacing w:line="360" w:lineRule="auto"/>
        <w:rPr>
          <w:rFonts w:cstheme="minorHAnsi"/>
          <w:color w:val="000000" w:themeColor="text1"/>
        </w:rPr>
      </w:pPr>
      <w:r w:rsidRPr="00CA4ABC">
        <w:rPr>
          <w:rFonts w:cstheme="minorHAnsi"/>
          <w:color w:val="000000" w:themeColor="text1"/>
        </w:rPr>
        <w:t xml:space="preserve">Semi-structured interviews were selected as </w:t>
      </w:r>
      <w:r w:rsidR="004C3E52" w:rsidRPr="00CA4ABC">
        <w:rPr>
          <w:rFonts w:cstheme="minorHAnsi"/>
          <w:color w:val="000000" w:themeColor="text1"/>
        </w:rPr>
        <w:t xml:space="preserve">the </w:t>
      </w:r>
      <w:r w:rsidRPr="00CA4ABC">
        <w:rPr>
          <w:rFonts w:cstheme="minorHAnsi"/>
          <w:color w:val="000000" w:themeColor="text1"/>
        </w:rPr>
        <w:t>qualitative methodology. These were favoured over other alternative methods</w:t>
      </w:r>
      <w:r w:rsidR="00005E3A" w:rsidRPr="00CA4ABC">
        <w:rPr>
          <w:rFonts w:cstheme="minorHAnsi"/>
          <w:color w:val="000000" w:themeColor="text1"/>
        </w:rPr>
        <w:t>,</w:t>
      </w:r>
      <w:r w:rsidRPr="00CA4ABC">
        <w:rPr>
          <w:rFonts w:cstheme="minorHAnsi"/>
          <w:color w:val="000000" w:themeColor="text1"/>
        </w:rPr>
        <w:t xml:space="preserve"> such as focus groups and narratives. </w:t>
      </w:r>
      <w:r w:rsidR="002D3390" w:rsidRPr="00CA4ABC">
        <w:rPr>
          <w:rFonts w:cstheme="minorHAnsi"/>
          <w:color w:val="000000" w:themeColor="text1"/>
        </w:rPr>
        <w:t>The r</w:t>
      </w:r>
      <w:r w:rsidRPr="00CA4ABC">
        <w:rPr>
          <w:rFonts w:cstheme="minorHAnsi"/>
          <w:color w:val="000000" w:themeColor="text1"/>
        </w:rPr>
        <w:t>ationale behind this was that this method of data collection is flexible, allowing questions to be asked in different orders and gives the researcher discretion to probe the interviewee further if they think this may lead to further information and more in-depth discuss</w:t>
      </w:r>
      <w:r w:rsidR="00D84BDF" w:rsidRPr="00CA4ABC">
        <w:rPr>
          <w:rFonts w:cstheme="minorHAnsi"/>
          <w:color w:val="000000" w:themeColor="text1"/>
        </w:rPr>
        <w:t>ions</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{"citationItems":[{"id":"ITEM-1","itemData":{"DOI":"10.1136/FMCH-2018-000057","ISSN":"2305-6983","PMID":"32148704","abstract":"Semistructured in-depth interviews are commonly used in qualitative research and are the most frequent qualitative data source in health services research. This method typically consists of a dialogue between researcher and participant, guided by a flexible interview protocol and supplemented by follow-up questions, probes and comments. The method allows the researcher to collect open-ended data, to explore participant thoughts, feelings and beliefs about a particular topic and to delve deeply into personal and sometimes sensitive issues. The purpose of this article was to identify and describe the essential skills to designing and conducting semistructured interviews in family medicine and primary care research settings. We reviewed the literature on semistructured interviewing to identify key skills and components for using this method in family medicine and primary care research settings. Overall, semistructured interviewing requires both a relational focus and practice in the skills of facilitation. Skills include: (1) determining the purpose and scope of the study; (2) identifying participants; (3) considering ethical issues; (4) planning logistical aspects; (5) developing the interview guide; (6) establishing trust and rapport; (7) conducting the interview; (8) memoing and reflection; (9) analysing the data; (10) demonstrating the trustworthiness of the research; and (11) presenting findings in a paper or report. Semistructured interviews provide an effective and feasible research method for family physicians to conduct in primary care research settings. Researchers using semistructured interviews for data collection should take on a relational focus and consider the skills of interviewing to ensure quality. Semistructured interviewing can be a powerful tool for family physicians, primary care providers and other health services researchers to use to understand the thoughts, beliefs and experiences of individuals. Despite the utility, semistructured interviews can be intimidating and challenging for researchers not familiar with qualitative approaches. In order to elucidate this method, we provide practical guidance for researchers, including novice researchers and those with few resources, to use semistructured interviewing as a data collection strategy. We provide recommendations for the essential steps to follow in order to best implement semistructured interviews in family medicine and primary care research settings.","author":[{"dropping-particle":"","family":"DeJonckheere","given":"Melissa","non-dropping-particle":"","parse-names":false,"suffix":""},{"dropping-particle":"","family":"Vaughn","given":"Lisa M.","non-dropping-particle":"","parse-names":false,"suffix":""}],"container-title":"Family Medicine and Community Health","id":"ITEM-1","issue":"2","issued":{"date-parts":[["2019","3","1"]]},"page":"e000057","publisher":"BMJ Specialist Journals","title":"Semistructured interviewing in primary care research: a balance of relationship and rigour","type":"article-journal","volume":"7"},"uris":["http://www.mendeley.com/documents/?uuid=b49d2996-0d3b-3b8c-815c-db11d4734fb9"]}],"mendeley":{"formattedCitation":"(316)","plainTextFormattedCitation":"(316)","previouslyFormattedCitation":"(316)"},"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(316)</w:t>
      </w:r>
      <w:r w:rsidRPr="00CA4ABC">
        <w:rPr>
          <w:rFonts w:cstheme="minorHAnsi"/>
          <w:color w:val="000000" w:themeColor="text1"/>
        </w:rPr>
        <w:fldChar w:fldCharType="end"/>
      </w:r>
      <w:r w:rsidRPr="00CA4ABC">
        <w:rPr>
          <w:rFonts w:cstheme="minorHAnsi"/>
          <w:color w:val="000000" w:themeColor="text1"/>
        </w:rPr>
        <w:t xml:space="preserve">. </w:t>
      </w:r>
      <w:r w:rsidR="00D84BDF" w:rsidRPr="00CA4ABC">
        <w:rPr>
          <w:rFonts w:cstheme="minorHAnsi"/>
          <w:color w:val="000000" w:themeColor="text1"/>
        </w:rPr>
        <w:t>Data</w:t>
      </w:r>
      <w:r w:rsidR="0015606B" w:rsidRPr="00CA4ABC">
        <w:rPr>
          <w:rFonts w:cstheme="minorHAnsi"/>
          <w:color w:val="000000" w:themeColor="text1"/>
        </w:rPr>
        <w:t xml:space="preserve"> saturation</w:t>
      </w:r>
      <w:r w:rsidR="00D84BDF" w:rsidRPr="00CA4ABC">
        <w:rPr>
          <w:rFonts w:cstheme="minorHAnsi"/>
          <w:color w:val="000000" w:themeColor="text1"/>
        </w:rPr>
        <w:t xml:space="preserve"> appears to be</w:t>
      </w:r>
      <w:r w:rsidR="0015606B" w:rsidRPr="00CA4ABC">
        <w:rPr>
          <w:rFonts w:cstheme="minorHAnsi"/>
          <w:color w:val="000000" w:themeColor="text1"/>
        </w:rPr>
        <w:t xml:space="preserve"> achieved </w:t>
      </w:r>
      <w:r w:rsidR="00D84BDF" w:rsidRPr="00CA4ABC">
        <w:rPr>
          <w:rFonts w:cstheme="minorHAnsi"/>
          <w:color w:val="000000" w:themeColor="text1"/>
        </w:rPr>
        <w:t>as</w:t>
      </w:r>
      <w:r w:rsidR="0015606B" w:rsidRPr="00CA4ABC">
        <w:rPr>
          <w:rFonts w:cstheme="minorHAnsi"/>
          <w:color w:val="000000" w:themeColor="text1"/>
        </w:rPr>
        <w:t xml:space="preserve"> many topics </w:t>
      </w:r>
      <w:r w:rsidR="00D84BDF" w:rsidRPr="00CA4ABC">
        <w:rPr>
          <w:rFonts w:cstheme="minorHAnsi"/>
          <w:color w:val="000000" w:themeColor="text1"/>
        </w:rPr>
        <w:t>were</w:t>
      </w:r>
      <w:r w:rsidR="0015606B" w:rsidRPr="00CA4ABC">
        <w:rPr>
          <w:rFonts w:cstheme="minorHAnsi"/>
          <w:color w:val="000000" w:themeColor="text1"/>
        </w:rPr>
        <w:t xml:space="preserve"> repeatedly raised by the participants and no new codes emerg</w:t>
      </w:r>
      <w:r w:rsidR="00D84BDF" w:rsidRPr="00CA4ABC">
        <w:rPr>
          <w:rFonts w:cstheme="minorHAnsi"/>
          <w:color w:val="000000" w:themeColor="text1"/>
        </w:rPr>
        <w:t>ed</w:t>
      </w:r>
      <w:r w:rsidR="0015606B" w:rsidRPr="00CA4ABC">
        <w:rPr>
          <w:rFonts w:cstheme="minorHAnsi"/>
          <w:color w:val="000000" w:themeColor="text1"/>
        </w:rPr>
        <w:t xml:space="preserve"> </w:t>
      </w:r>
      <w:r w:rsidR="0015606B"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{"citationItems":[{"id":"ITEM-1","itemData":{"DOI":"10.1016/J.SOCSCIMED.2021.114523","ISSN":"0277-9536","PMID":"34785096","abstract":"Objective: To review empirical studies that assess saturation in qualitative research in order to identify sample sizes for saturation, strategies used to assess saturation, and guidance we can draw from these studies. Methods: We conducted a systematic review of four databases to identify studies empirically assessing sample sizes for saturation in qualitative research, supplemented by searching citing articles and reference lists. Results: We identified 23 articles that used empirical data (n = 17) or statistical modeling (n = 6) to assess saturation. Studies using empirical data reached saturation within a narrow range of interviews (9–17) or focus group discussions (4–8), particularly those with relatively homogenous study populations and narrowly defined objectives. Most studies had a relatively homogenous study population and assessed code saturation; the few outliers (e.g., multi-country research, meta-themes, “code meaning” saturation) needed larger samples for saturation. Conclusions: Despite varied research topics and approaches to assessing saturation, studies converged on a relatively consistent sample size for saturation for commonly used qualitative research methods. However, these findings apply to certain types of studies (e.g., those with homogenous study populations). These results provide strong empirical guidance on effective sample sizes for qualitative research, which can be used in conjunction with the characteristics of individual studies to estimate an appropriate sample size prior to data collection. This synthesis also provides an important resource for researchers, academic journals, journal reviewers, ethical review boards, and funding agencies to facilitate greater transparency in justifying and reporting sample sizes in qualitative research. Future empirical research is needed to explore how various parameters affect sample sizes for saturation.","author":[{"dropping-particle":"","family":"Hennink","given":"Monique","non-dropping-particle":"","parse-names":false,"suffix":""},{"dropping-particle":"","family":"Kaiser","given":"Bonnie N.","non-dropping-particle":"","parse-names":false,"suffix":""}],"container-title":"Social Science &amp; Medicine","id":"ITEM-1","issued":{"date-parts":[["2022","1","1"]]},"page":"114523","publisher":"Pergamon","title":"Sample sizes for saturation in qualitative research: A systematic review of empirical tests","type":"article-journal","volume":"292"},"uris":["http://www.mendeley.com/documents/?uuid=04bf1634-09bd-3d26-9c67-4885a44e52af"]}],"mendeley":{"formattedCitation":"(317)","plainTextFormattedCitation":"(317)","previouslyFormattedCitation":"(317)"},"properties":{"noteIndex":0},"schema":"https://github.com/citation-style-language/schema/raw/master/csl-citation.json"}</w:instrText>
      </w:r>
      <w:r w:rsidR="0015606B" w:rsidRPr="00CA4ABC">
        <w:rPr>
          <w:rFonts w:cstheme="minorHAnsi"/>
          <w:color w:val="000000" w:themeColor="text1"/>
        </w:rPr>
        <w:fldChar w:fldCharType="separate"/>
      </w:r>
      <w:r w:rsidR="00FF0BCE" w:rsidRPr="00FF0BCE">
        <w:rPr>
          <w:rFonts w:cstheme="minorHAnsi"/>
          <w:noProof/>
          <w:color w:val="000000" w:themeColor="text1"/>
        </w:rPr>
        <w:t>(317)</w:t>
      </w:r>
      <w:r w:rsidR="0015606B" w:rsidRPr="00CA4ABC">
        <w:rPr>
          <w:rFonts w:cstheme="minorHAnsi"/>
          <w:color w:val="000000" w:themeColor="text1"/>
        </w:rPr>
        <w:fldChar w:fldCharType="end"/>
      </w:r>
      <w:r w:rsidR="0015606B" w:rsidRPr="00CA4ABC">
        <w:rPr>
          <w:rFonts w:cstheme="minorHAnsi"/>
          <w:color w:val="000000" w:themeColor="text1"/>
        </w:rPr>
        <w:t xml:space="preserve">.  This further supports adequate participant </w:t>
      </w:r>
      <w:r w:rsidR="002D3390" w:rsidRPr="00CA4ABC">
        <w:rPr>
          <w:rFonts w:cstheme="minorHAnsi"/>
          <w:color w:val="000000" w:themeColor="text1"/>
        </w:rPr>
        <w:t>numbers</w:t>
      </w:r>
      <w:r w:rsidR="0015606B" w:rsidRPr="00CA4ABC">
        <w:rPr>
          <w:rFonts w:cstheme="minorHAnsi"/>
          <w:color w:val="000000" w:themeColor="text1"/>
        </w:rPr>
        <w:t xml:space="preserve"> for the feasibility trial and semi-structured interviews being </w:t>
      </w:r>
      <w:r w:rsidR="00483206" w:rsidRPr="00CA4ABC">
        <w:rPr>
          <w:rFonts w:cstheme="minorHAnsi"/>
          <w:color w:val="000000" w:themeColor="text1"/>
        </w:rPr>
        <w:t>attained</w:t>
      </w:r>
      <w:r w:rsidR="0015606B" w:rsidRPr="00CA4ABC">
        <w:rPr>
          <w:rFonts w:cstheme="minorHAnsi"/>
          <w:color w:val="000000" w:themeColor="text1"/>
        </w:rPr>
        <w:t xml:space="preserve">. </w:t>
      </w:r>
      <w:r w:rsidRPr="00CA4ABC">
        <w:rPr>
          <w:rFonts w:cstheme="minorHAnsi"/>
          <w:color w:val="000000" w:themeColor="text1"/>
        </w:rPr>
        <w:t xml:space="preserve">Although focus groups offer the opportunity to capitalise on group interactions which can yield rich data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{"citationItems":[{"id":"ITEM-1","itemData":{"DOI":"10.1136/BMJ.311.7000.299","ISSN":"0959-8138","PMID":"7633241","author":[{"dropping-particle":"","family":"Kitzinger","given":"Jenny","non-dropping-particle":"","parse-names":false,"suffix":""}],"container-title":"BMJ (Clinical research ed.)","id":"ITEM-1","issue":"7000","issued":{"date-parts":[["1995","7","29"]]},"page":"299","publisher":"BMJ","title":"Qualitative research. Introducing focus groups","type":"article-journal","volume":"311"},"uris":["http://www.mendeley.com/documents/?uuid=0588bfda-3c0d-3dc9-9f1c-a22d539a9f54"]}],"mendeley":{"formattedCitation":"(318)","plainTextFormattedCitation":"(318)","previouslyFormattedCitation":"(318)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(318)</w:t>
      </w:r>
      <w:r w:rsidRPr="00CA4ABC">
        <w:rPr>
          <w:rFonts w:cstheme="minorHAnsi"/>
          <w:color w:val="000000" w:themeColor="text1"/>
        </w:rPr>
        <w:fldChar w:fldCharType="end"/>
      </w:r>
      <w:r w:rsidR="00483206" w:rsidRPr="00CA4ABC">
        <w:rPr>
          <w:rFonts w:cstheme="minorHAnsi"/>
          <w:color w:val="000000" w:themeColor="text1"/>
        </w:rPr>
        <w:t>, t</w:t>
      </w:r>
      <w:r w:rsidRPr="00CA4ABC">
        <w:rPr>
          <w:rFonts w:cstheme="minorHAnsi"/>
          <w:color w:val="000000" w:themeColor="text1"/>
        </w:rPr>
        <w:t>his research was still conducted amongst social distancing restrictions so it was considered less safe to get multiple people in the same room. Furthermore, conversations and group interactions did not feel as natural over video</w:t>
      </w:r>
      <w:r w:rsidR="00005E3A" w:rsidRPr="00CA4ABC">
        <w:rPr>
          <w:rFonts w:cstheme="minorHAnsi"/>
          <w:color w:val="000000" w:themeColor="text1"/>
        </w:rPr>
        <w:t xml:space="preserve"> </w:t>
      </w:r>
      <w:r w:rsidRPr="00CA4ABC">
        <w:rPr>
          <w:rFonts w:cstheme="minorHAnsi"/>
          <w:color w:val="000000" w:themeColor="text1"/>
        </w:rPr>
        <w:t>calls. Convenience also played a part, as it was easy to conduct one</w:t>
      </w:r>
      <w:r w:rsidR="00005E3A" w:rsidRPr="00CA4ABC">
        <w:rPr>
          <w:rFonts w:cstheme="minorHAnsi"/>
          <w:color w:val="000000" w:themeColor="text1"/>
        </w:rPr>
        <w:t>-</w:t>
      </w:r>
      <w:r w:rsidRPr="00CA4ABC">
        <w:rPr>
          <w:rFonts w:cstheme="minorHAnsi"/>
          <w:color w:val="000000" w:themeColor="text1"/>
        </w:rPr>
        <w:t>on</w:t>
      </w:r>
      <w:r w:rsidR="00005E3A" w:rsidRPr="00CA4ABC">
        <w:rPr>
          <w:rFonts w:cstheme="minorHAnsi"/>
          <w:color w:val="000000" w:themeColor="text1"/>
        </w:rPr>
        <w:t>-</w:t>
      </w:r>
      <w:r w:rsidRPr="00CA4ABC">
        <w:rPr>
          <w:rFonts w:cstheme="minorHAnsi"/>
          <w:color w:val="000000" w:themeColor="text1"/>
        </w:rPr>
        <w:t>one interviews when participants were already coming onsite to provide their follow</w:t>
      </w:r>
      <w:r w:rsidR="00005E3A" w:rsidRPr="00CA4ABC">
        <w:rPr>
          <w:rFonts w:cstheme="minorHAnsi"/>
          <w:color w:val="000000" w:themeColor="text1"/>
        </w:rPr>
        <w:t>-</w:t>
      </w:r>
      <w:r w:rsidRPr="00CA4ABC">
        <w:rPr>
          <w:rFonts w:cstheme="minorHAnsi"/>
          <w:color w:val="000000" w:themeColor="text1"/>
        </w:rPr>
        <w:t xml:space="preserve">up study measurements. </w:t>
      </w:r>
    </w:p>
    <w:p w14:paraId="5BD0A371" w14:textId="77777777" w:rsidR="004C12CF" w:rsidRPr="00CA4ABC" w:rsidRDefault="004C12CF" w:rsidP="004053D7">
      <w:pPr>
        <w:spacing w:line="360" w:lineRule="auto"/>
        <w:rPr>
          <w:rFonts w:cstheme="minorHAnsi"/>
          <w:color w:val="000000" w:themeColor="text1"/>
        </w:rPr>
      </w:pPr>
    </w:p>
    <w:p w14:paraId="6E1B0DAD" w14:textId="06499032" w:rsidR="004C12CF" w:rsidRPr="00CA4ABC" w:rsidRDefault="004C12CF" w:rsidP="004053D7">
      <w:pPr>
        <w:pStyle w:val="Heading3"/>
        <w:spacing w:line="360" w:lineRule="auto"/>
        <w:rPr>
          <w:rFonts w:asciiTheme="minorHAnsi" w:hAnsiTheme="minorHAnsi" w:cstheme="minorHAnsi"/>
          <w:color w:val="000000" w:themeColor="text1"/>
        </w:rPr>
      </w:pPr>
      <w:bookmarkStart w:id="357" w:name="_Toc135384391"/>
      <w:r w:rsidRPr="00CA4ABC">
        <w:rPr>
          <w:rFonts w:asciiTheme="minorHAnsi" w:hAnsiTheme="minorHAnsi" w:cstheme="minorHAnsi"/>
          <w:color w:val="000000" w:themeColor="text1"/>
        </w:rPr>
        <w:t>5.</w:t>
      </w:r>
      <w:r w:rsidR="001C06F3"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.2 Study limitations</w:t>
      </w:r>
      <w:bookmarkEnd w:id="357"/>
    </w:p>
    <w:p w14:paraId="1EE887B5" w14:textId="70CC253B" w:rsidR="004C12CF" w:rsidRPr="00CA4ABC" w:rsidRDefault="004C12CF" w:rsidP="004053D7">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Reflecting o</w:t>
      </w:r>
      <w:r w:rsidR="004C3E52" w:rsidRPr="00CA4ABC">
        <w:rPr>
          <w:rFonts w:asciiTheme="minorHAnsi" w:hAnsiTheme="minorHAnsi" w:cstheme="minorHAnsi"/>
          <w:color w:val="000000" w:themeColor="text1"/>
        </w:rPr>
        <w:t>n</w:t>
      </w:r>
      <w:r w:rsidRPr="00CA4ABC">
        <w:rPr>
          <w:rFonts w:asciiTheme="minorHAnsi" w:hAnsiTheme="minorHAnsi" w:cstheme="minorHAnsi"/>
          <w:color w:val="000000" w:themeColor="text1"/>
        </w:rPr>
        <w:t xml:space="preserve"> </w:t>
      </w:r>
      <w:r w:rsidR="00483206" w:rsidRPr="00CA4ABC">
        <w:rPr>
          <w:rFonts w:asciiTheme="minorHAnsi" w:hAnsiTheme="minorHAnsi" w:cstheme="minorHAnsi"/>
          <w:color w:val="000000" w:themeColor="text1"/>
        </w:rPr>
        <w:t>study</w:t>
      </w:r>
      <w:r w:rsidRPr="00CA4ABC">
        <w:rPr>
          <w:rFonts w:asciiTheme="minorHAnsi" w:hAnsiTheme="minorHAnsi" w:cstheme="minorHAnsi"/>
          <w:color w:val="000000" w:themeColor="text1"/>
        </w:rPr>
        <w:t xml:space="preserve"> limitations is an important aspect of feasibility trials and allows for improvements moving forward to the larger scale trial. Theme 4 </w:t>
      </w:r>
      <w:r w:rsidR="00483206" w:rsidRPr="00CA4ABC">
        <w:rPr>
          <w:rFonts w:asciiTheme="minorHAnsi" w:hAnsiTheme="minorHAnsi" w:cstheme="minorHAnsi"/>
          <w:color w:val="000000" w:themeColor="text1"/>
        </w:rPr>
        <w:t>outlined</w:t>
      </w:r>
      <w:r w:rsidRPr="00CA4ABC">
        <w:rPr>
          <w:rFonts w:asciiTheme="minorHAnsi" w:hAnsiTheme="minorHAnsi" w:cstheme="minorHAnsi"/>
          <w:color w:val="000000" w:themeColor="text1"/>
        </w:rPr>
        <w:t xml:space="preserve"> some of the possible negative</w:t>
      </w:r>
      <w:r w:rsidR="00483206" w:rsidRPr="00CA4ABC">
        <w:rPr>
          <w:rFonts w:asciiTheme="minorHAnsi" w:hAnsiTheme="minorHAnsi" w:cstheme="minorHAnsi"/>
          <w:color w:val="000000" w:themeColor="text1"/>
        </w:rPr>
        <w:t xml:space="preserve"> elements</w:t>
      </w:r>
      <w:r w:rsidRPr="00CA4ABC">
        <w:rPr>
          <w:rFonts w:asciiTheme="minorHAnsi" w:hAnsiTheme="minorHAnsi" w:cstheme="minorHAnsi"/>
          <w:color w:val="000000" w:themeColor="text1"/>
        </w:rPr>
        <w:t xml:space="preserve"> of the feasibility trial and</w:t>
      </w:r>
      <w:r w:rsidR="00483206" w:rsidRPr="00CA4ABC">
        <w:rPr>
          <w:rFonts w:asciiTheme="minorHAnsi" w:hAnsiTheme="minorHAnsi" w:cstheme="minorHAnsi"/>
          <w:color w:val="000000" w:themeColor="text1"/>
        </w:rPr>
        <w:t xml:space="preserve"> suggestions for</w:t>
      </w:r>
      <w:r w:rsidRPr="00CA4ABC">
        <w:rPr>
          <w:rFonts w:asciiTheme="minorHAnsi" w:hAnsiTheme="minorHAnsi" w:cstheme="minorHAnsi"/>
          <w:color w:val="000000" w:themeColor="text1"/>
        </w:rPr>
        <w:t xml:space="preserve"> improvements. </w:t>
      </w:r>
    </w:p>
    <w:p w14:paraId="5802E57F" w14:textId="21C04615" w:rsidR="007570F6" w:rsidRPr="00CA4ABC" w:rsidRDefault="00EA28AA" w:rsidP="00E0387B">
      <w:pPr>
        <w:pStyle w:val="NormalWeb"/>
        <w:spacing w:line="360" w:lineRule="auto"/>
        <w:rPr>
          <w:rFonts w:asciiTheme="minorHAnsi" w:hAnsiTheme="minorHAnsi" w:cstheme="minorHAnsi"/>
        </w:rPr>
      </w:pPr>
      <w:r w:rsidRPr="00CA4ABC">
        <w:rPr>
          <w:rFonts w:asciiTheme="minorHAnsi" w:hAnsiTheme="minorHAnsi" w:cstheme="minorHAnsi"/>
        </w:rPr>
        <w:t xml:space="preserve">All feasibility trial participants were </w:t>
      </w:r>
      <w:r w:rsidR="007570F6" w:rsidRPr="00CA4ABC">
        <w:rPr>
          <w:rFonts w:asciiTheme="minorHAnsi" w:hAnsiTheme="minorHAnsi" w:cstheme="minorHAnsi"/>
        </w:rPr>
        <w:t>middle-aged women</w:t>
      </w:r>
      <w:r w:rsidRPr="00CA4ABC">
        <w:rPr>
          <w:rFonts w:asciiTheme="minorHAnsi" w:hAnsiTheme="minorHAnsi" w:cstheme="minorHAnsi"/>
        </w:rPr>
        <w:t>.</w:t>
      </w:r>
      <w:r w:rsidR="00005E3A" w:rsidRPr="00CA4ABC">
        <w:rPr>
          <w:rFonts w:asciiTheme="minorHAnsi" w:hAnsiTheme="minorHAnsi" w:cstheme="minorHAnsi"/>
        </w:rPr>
        <w:t xml:space="preserve"> Only recruiting women is a major limitation for the generalisability of the result.</w:t>
      </w:r>
      <w:r w:rsidRPr="00CA4ABC">
        <w:rPr>
          <w:rFonts w:asciiTheme="minorHAnsi" w:hAnsiTheme="minorHAnsi" w:cstheme="minorHAnsi"/>
        </w:rPr>
        <w:t xml:space="preserve"> Despite</w:t>
      </w:r>
      <w:r w:rsidR="00005E3A" w:rsidRPr="00CA4ABC">
        <w:rPr>
          <w:rFonts w:asciiTheme="minorHAnsi" w:hAnsiTheme="minorHAnsi" w:cstheme="minorHAnsi"/>
        </w:rPr>
        <w:t xml:space="preserve"> this,</w:t>
      </w:r>
      <w:r w:rsidRPr="00CA4ABC">
        <w:rPr>
          <w:rFonts w:asciiTheme="minorHAnsi" w:hAnsiTheme="minorHAnsi" w:cstheme="minorHAnsi"/>
        </w:rPr>
        <w:t xml:space="preserve"> post-menopausal women</w:t>
      </w:r>
      <w:r w:rsidR="00005E3A" w:rsidRPr="00CA4ABC">
        <w:rPr>
          <w:rFonts w:asciiTheme="minorHAnsi" w:hAnsiTheme="minorHAnsi" w:cstheme="minorHAnsi"/>
        </w:rPr>
        <w:t xml:space="preserve"> are</w:t>
      </w:r>
      <w:r w:rsidRPr="00CA4ABC">
        <w:rPr>
          <w:rFonts w:asciiTheme="minorHAnsi" w:hAnsiTheme="minorHAnsi" w:cstheme="minorHAnsi"/>
        </w:rPr>
        <w:t xml:space="preserve"> </w:t>
      </w:r>
      <w:r w:rsidR="00005E3A" w:rsidRPr="00CA4ABC">
        <w:rPr>
          <w:rFonts w:asciiTheme="minorHAnsi" w:hAnsiTheme="minorHAnsi" w:cstheme="minorHAnsi"/>
        </w:rPr>
        <w:t xml:space="preserve">possibly </w:t>
      </w:r>
      <w:r w:rsidRPr="00CA4ABC">
        <w:rPr>
          <w:rFonts w:asciiTheme="minorHAnsi" w:hAnsiTheme="minorHAnsi" w:cstheme="minorHAnsi"/>
        </w:rPr>
        <w:t>at</w:t>
      </w:r>
      <w:r w:rsidR="00005E3A" w:rsidRPr="00CA4ABC">
        <w:rPr>
          <w:rFonts w:asciiTheme="minorHAnsi" w:hAnsiTheme="minorHAnsi" w:cstheme="minorHAnsi"/>
        </w:rPr>
        <w:t xml:space="preserve"> the</w:t>
      </w:r>
      <w:r w:rsidRPr="00CA4ABC">
        <w:rPr>
          <w:rFonts w:asciiTheme="minorHAnsi" w:hAnsiTheme="minorHAnsi" w:cstheme="minorHAnsi"/>
        </w:rPr>
        <w:t xml:space="preserve"> greatest risk of suffering from falls</w:t>
      </w:r>
      <w:r w:rsidR="00476173" w:rsidRPr="00CA4ABC">
        <w:rPr>
          <w:rFonts w:asciiTheme="minorHAnsi" w:hAnsiTheme="minorHAnsi" w:cstheme="minorHAnsi"/>
        </w:rPr>
        <w:t>,</w:t>
      </w:r>
      <w:r w:rsidRPr="00CA4ABC">
        <w:rPr>
          <w:rFonts w:asciiTheme="minorHAnsi" w:hAnsiTheme="minorHAnsi" w:cstheme="minorHAnsi"/>
        </w:rPr>
        <w:t xml:space="preserve"> and as such</w:t>
      </w:r>
      <w:r w:rsidR="00005E3A" w:rsidRPr="00CA4ABC">
        <w:rPr>
          <w:rFonts w:asciiTheme="minorHAnsi" w:hAnsiTheme="minorHAnsi" w:cstheme="minorHAnsi"/>
        </w:rPr>
        <w:t>,</w:t>
      </w:r>
      <w:r w:rsidRPr="00CA4ABC">
        <w:rPr>
          <w:rFonts w:asciiTheme="minorHAnsi" w:hAnsiTheme="minorHAnsi" w:cstheme="minorHAnsi"/>
        </w:rPr>
        <w:t xml:space="preserve"> there is support for pre-emptive interventions to prevent falls in this demographic </w:t>
      </w:r>
      <w:r w:rsidRPr="00CA4ABC">
        <w:rPr>
          <w:rFonts w:asciiTheme="minorHAnsi" w:hAnsiTheme="minorHAnsi" w:cstheme="minorHAnsi"/>
        </w:rPr>
        <w:fldChar w:fldCharType="begin" w:fldLock="1"/>
      </w:r>
      <w:r w:rsidR="00821D82">
        <w:rPr>
          <w:rFonts w:asciiTheme="minorHAnsi" w:hAnsiTheme="minorHAnsi" w:cstheme="minorHAnsi"/>
        </w:rPr>
        <w:instrText>ADDIN CSL_CITATION {"citationItems":[{"id":"ITEM-1","itemData":{"DOI":"10.1080/13697130802398517","ISSN":"13697137","PMID":"18802814","abstract":"Objective This study aimed to report falls and identify factors that might predict a fall in women aged between 40 and 80 years and thus provide evidence of earlier falls and need for morbidity pre...","author":[{"dropping-particle":"","family":"Nitz","given":"J. C.","non-dropping-particle":"","parse-names":false,"suffix":""},{"dropping-particle":"","family":"Low Choy","given":"N. L.","non-dropping-particle":"","parse-names":false,"suffix":""}],"container-title":"http://dx.doi.org/10.1080/13697130802398517","id":"ITEM-1","issue":"6","issued":{"date-parts":[["2009"]]},"page":"461-466","publisher":"Taylor &amp; Francis","title":"Falling is not just for older women: support for pre-emptive prevention intervention before 60","type":"article-journal","volume":"11"},"uris":["http://www.mendeley.com/documents/?uuid=48c4c487-aef6-3565-960c-4745c992c40c"]}],"mendeley":{"formattedCitation":"(319)","plainTextFormattedCitation":"(319)","previouslyFormattedCitation":"(319)"},"properties":{"noteIndex":0},"schema":"https://github.com/citation-style-language/schema/raw/master/csl-citation.json"}</w:instrText>
      </w:r>
      <w:r w:rsidRPr="00CA4ABC">
        <w:rPr>
          <w:rFonts w:asciiTheme="minorHAnsi" w:hAnsiTheme="minorHAnsi" w:cstheme="minorHAnsi"/>
        </w:rPr>
        <w:fldChar w:fldCharType="separate"/>
      </w:r>
      <w:r w:rsidR="00FF0BCE" w:rsidRPr="00FF0BCE">
        <w:rPr>
          <w:rFonts w:asciiTheme="minorHAnsi" w:hAnsiTheme="minorHAnsi" w:cstheme="minorHAnsi"/>
          <w:noProof/>
        </w:rPr>
        <w:t>(319)</w:t>
      </w:r>
      <w:r w:rsidRPr="00CA4ABC">
        <w:rPr>
          <w:rFonts w:asciiTheme="minorHAnsi" w:hAnsiTheme="minorHAnsi" w:cstheme="minorHAnsi"/>
        </w:rPr>
        <w:fldChar w:fldCharType="end"/>
      </w:r>
      <w:r w:rsidR="00476173" w:rsidRPr="00CA4ABC">
        <w:rPr>
          <w:rFonts w:asciiTheme="minorHAnsi" w:hAnsiTheme="minorHAnsi" w:cstheme="minorHAnsi"/>
        </w:rPr>
        <w:t>.</w:t>
      </w:r>
      <w:r w:rsidRPr="00CA4ABC">
        <w:rPr>
          <w:rFonts w:asciiTheme="minorHAnsi" w:hAnsiTheme="minorHAnsi" w:cstheme="minorHAnsi"/>
        </w:rPr>
        <w:t xml:space="preserve"> F</w:t>
      </w:r>
      <w:r w:rsidR="007570F6" w:rsidRPr="00CA4ABC">
        <w:rPr>
          <w:rFonts w:asciiTheme="minorHAnsi" w:hAnsiTheme="minorHAnsi" w:cstheme="minorHAnsi"/>
        </w:rPr>
        <w:t xml:space="preserve">uture work should </w:t>
      </w:r>
      <w:r w:rsidRPr="00CA4ABC">
        <w:rPr>
          <w:rFonts w:asciiTheme="minorHAnsi" w:hAnsiTheme="minorHAnsi" w:cstheme="minorHAnsi"/>
        </w:rPr>
        <w:t>recruit more males in the trial. Moreover</w:t>
      </w:r>
      <w:r w:rsidR="00005E3A" w:rsidRPr="00CA4ABC">
        <w:rPr>
          <w:rFonts w:asciiTheme="minorHAnsi" w:hAnsiTheme="minorHAnsi" w:cstheme="minorHAnsi"/>
        </w:rPr>
        <w:t>,</w:t>
      </w:r>
      <w:r w:rsidRPr="00CA4ABC">
        <w:rPr>
          <w:rFonts w:asciiTheme="minorHAnsi" w:hAnsiTheme="minorHAnsi" w:cstheme="minorHAnsi"/>
        </w:rPr>
        <w:t xml:space="preserve"> ensuring</w:t>
      </w:r>
      <w:r w:rsidR="007570F6" w:rsidRPr="00CA4ABC">
        <w:rPr>
          <w:rFonts w:asciiTheme="minorHAnsi" w:hAnsiTheme="minorHAnsi" w:cstheme="minorHAnsi"/>
        </w:rPr>
        <w:t xml:space="preserve"> </w:t>
      </w:r>
      <w:r w:rsidR="00E0387B" w:rsidRPr="00CA4ABC">
        <w:rPr>
          <w:rFonts w:asciiTheme="minorHAnsi" w:hAnsiTheme="minorHAnsi" w:cstheme="minorHAnsi"/>
        </w:rPr>
        <w:t>participants</w:t>
      </w:r>
      <w:r w:rsidR="007570F6" w:rsidRPr="00CA4ABC">
        <w:rPr>
          <w:rFonts w:asciiTheme="minorHAnsi" w:hAnsiTheme="minorHAnsi" w:cstheme="minorHAnsi"/>
        </w:rPr>
        <w:t xml:space="preserve"> are capture</w:t>
      </w:r>
      <w:r w:rsidR="003F1723" w:rsidRPr="00CA4ABC">
        <w:rPr>
          <w:rFonts w:asciiTheme="minorHAnsi" w:hAnsiTheme="minorHAnsi" w:cstheme="minorHAnsi"/>
        </w:rPr>
        <w:t>d</w:t>
      </w:r>
      <w:r w:rsidR="007570F6" w:rsidRPr="00CA4ABC">
        <w:rPr>
          <w:rFonts w:asciiTheme="minorHAnsi" w:hAnsiTheme="minorHAnsi" w:cstheme="minorHAnsi"/>
        </w:rPr>
        <w:t xml:space="preserve"> across a spread of socioeconomic, eth</w:t>
      </w:r>
      <w:r w:rsidR="00005E3A" w:rsidRPr="00CA4ABC">
        <w:rPr>
          <w:rFonts w:asciiTheme="minorHAnsi" w:hAnsiTheme="minorHAnsi" w:cstheme="minorHAnsi"/>
        </w:rPr>
        <w:t>n</w:t>
      </w:r>
      <w:r w:rsidR="007570F6" w:rsidRPr="00CA4ABC">
        <w:rPr>
          <w:rFonts w:asciiTheme="minorHAnsi" w:hAnsiTheme="minorHAnsi" w:cstheme="minorHAnsi"/>
        </w:rPr>
        <w:t xml:space="preserve">ic and </w:t>
      </w:r>
      <w:r w:rsidR="00E0387B" w:rsidRPr="00CA4ABC">
        <w:rPr>
          <w:rFonts w:asciiTheme="minorHAnsi" w:hAnsiTheme="minorHAnsi" w:cstheme="minorHAnsi"/>
        </w:rPr>
        <w:t>health backgrounds</w:t>
      </w:r>
      <w:r w:rsidRPr="00CA4ABC">
        <w:rPr>
          <w:rFonts w:asciiTheme="minorHAnsi" w:hAnsiTheme="minorHAnsi" w:cstheme="minorHAnsi"/>
        </w:rPr>
        <w:t xml:space="preserve"> is vital.</w:t>
      </w:r>
      <w:r w:rsidR="007570F6" w:rsidRPr="00CA4ABC">
        <w:rPr>
          <w:rFonts w:asciiTheme="minorHAnsi" w:hAnsiTheme="minorHAnsi" w:cstheme="minorHAnsi"/>
        </w:rPr>
        <w:t xml:space="preserve"> </w:t>
      </w:r>
      <w:r w:rsidRPr="00CA4ABC">
        <w:rPr>
          <w:rFonts w:asciiTheme="minorHAnsi" w:hAnsiTheme="minorHAnsi" w:cstheme="minorHAnsi"/>
          <w:color w:val="000000" w:themeColor="text1"/>
        </w:rPr>
        <w:t xml:space="preserve">Outlining a participant recruitment strategy is important to ensure </w:t>
      </w:r>
      <w:r w:rsidRPr="00CA4ABC">
        <w:rPr>
          <w:rFonts w:asciiTheme="minorHAnsi" w:hAnsiTheme="minorHAnsi" w:cstheme="minorHAnsi"/>
        </w:rPr>
        <w:t>diversity is achieved in participant engagement and that recruitment occurs in a</w:t>
      </w:r>
      <w:r w:rsidRPr="00CA4ABC">
        <w:rPr>
          <w:rFonts w:asciiTheme="minorHAnsi" w:hAnsiTheme="minorHAnsi" w:cstheme="minorHAnsi"/>
          <w:color w:val="000000" w:themeColor="text1"/>
        </w:rPr>
        <w:t xml:space="preserve"> suitable timeframe</w:t>
      </w:r>
      <w:r w:rsidR="00674232" w:rsidRPr="00CA4ABC">
        <w:rPr>
          <w:rFonts w:asciiTheme="minorHAnsi" w:hAnsiTheme="minorHAnsi" w:cstheme="minorHAnsi"/>
          <w:color w:val="000000" w:themeColor="text1"/>
        </w:rPr>
        <w:t xml:space="preserve"> </w:t>
      </w:r>
      <w:r w:rsidR="00674232" w:rsidRPr="00CA4ABC">
        <w:rPr>
          <w:rFonts w:asciiTheme="minorHAnsi" w:hAnsiTheme="minorHAnsi" w:cstheme="minorHAnsi"/>
          <w:color w:val="000000" w:themeColor="text1"/>
        </w:rPr>
        <w:fldChar w:fldCharType="begin" w:fldLock="1"/>
      </w:r>
      <w:r w:rsidR="00821D82">
        <w:rPr>
          <w:rFonts w:asciiTheme="minorHAnsi" w:hAnsiTheme="minorHAnsi" w:cstheme="minorHAnsi"/>
          <w:color w:val="000000" w:themeColor="text1"/>
        </w:rPr>
        <w:instrText>ADDIN CSL_CITATION {"citationItems":[{"id":"ITEM-1","itemData":{"DOI":"10.1002/14651858.MR000036.PUB2","ISSN":"1469493X","abstract":"Background: Identifying and approaching eligible participants for recruitment to research studies usually relies on healthcare professionals. This process is sometimes hampered by deliberate or inadvertent gatekeeping that can introduce bias into patient selection. Objectives: Our primary objective was to identify and assess the effect of strategies designed to help healthcare professionals to recruit participants to research studies. Search methods: We performed searches on 5 January 2015 in the following electronic databases: Cochrane Methodology Register, CENTRAL, MEDLINE, EMBASE, CINAHL, British Nursing Index, PsycINFO, ASSIA and Web of Science (SSCI, SCI-EXPANDED) from 1985 onwards. We checked the reference lists of all included studies and relevant review articles and did citation tracking through Web of Science for all included studies. Selection criteria: We selected all studies that evaluated a strategy to identify and recruit participants for research via healthcare professionals and provided pre-post comparison data on recruitment rates. Data collection and analysis: Two review authors independently screened search results for potential eligibility, read full papers, applied the selection criteria and extracted data. We calculated risk ratios for each study to indicate the effect of each strategy. Main results: Eleven studies met our eligibility criteria and all were at medium or high risk of bias. Only five studies gave the total number of participants (totalling 7372 participants). Three studies used a randomised design, with the others using pre-post comparisons. Several different strategies were investigated. Four studies examined the impact of additional visits or information for the study site, with no increases in recruitment demonstrated. Increased recruitment rates were reported in two studies that used a dedicated clinical recruiter, and five studies that introduced an automated alert system for identifying eligible participants. The studies were embedded into trials evaluating care in oncology mainly but also in emergency departments, diabetes and lower back pain. Authors' conclusions: There is no strong evidence for any single strategy to help healthcare professionals to recruit participants in research studies. Additional visits or information did not appear to increase recruitment by healthcare professionals. The most promising strategies appear to be those with a dedicated resource (e.g. a clinical recruiter or automated alert …","author":[{"dropping-particle":"","family":"Preston","given":"Nancy J.","non-dropping-particle":"","parse-names":false,"suffix":""},{"dropping-particle":"","family":"Farquhar","given":"Morag C.","non-dropping-particle":"","parse-names":false,"suffix":""},{"dropping-particle":"","family":"Walshe","given":"Catherine E.","non-dropping-particle":"","parse-names":false,"suffix":""},{"dropping-particle":"","family":"Stevinson","given":"Clare","non-dropping-particle":"","parse-names":false,"suffix":""},{"dropping-particle":"","family":"Ewing","given":"Gail","non-dropping-particle":"","parse-names":false,"suffix":""},{"dropping-particle":"","family":"Calman","given":"Lynn A.","non-dropping-particle":"","parse-names":false,"suffix":""},{"dropping-particle":"","family":"Burden","given":"Sorrel","non-dropping-particle":"","parse-names":false,"suffix":""},{"dropping-particle":"","family":"Brown Wilson","given":"Christine","non-dropping-particle":"","parse-names":false,"suffix":""},{"dropping-particle":"","family":"Hopkinson","given":"Jane B.","non-dropping-particle":"","parse-names":false,"suffix":""},{"dropping-particle":"","family":"Todd","given":"Chris","non-dropping-particle":"","parse-names":false,"suffix":""}],"container-title":"Cochrane Database of Systematic Reviews","id":"ITEM-1","issue":"2","issued":{"date-parts":[["2016","2","29"]]},"publisher":"John Wiley and Sons Ltd","title":"Strategies designed to help healthcare professionals to recruit participants to research studies","type":"article-journal","volume":"2016"},"uris":["http://www.mendeley.com/documents/?uuid=854be442-17bb-3c0c-aa99-9b97b6fe1611"]}],"mendeley":{"formattedCitation":"(320)","plainTextFormattedCitation":"(320)","previouslyFormattedCitation":"(320)"},"properties":{"noteIndex":0},"schema":"https://github.com/citation-style-language/schema/raw/master/csl-citation.json"}</w:instrText>
      </w:r>
      <w:r w:rsidR="00674232" w:rsidRPr="00CA4ABC">
        <w:rPr>
          <w:rFonts w:asciiTheme="minorHAnsi" w:hAnsiTheme="minorHAnsi" w:cstheme="minorHAnsi"/>
          <w:color w:val="000000" w:themeColor="text1"/>
        </w:rPr>
        <w:fldChar w:fldCharType="separate"/>
      </w:r>
      <w:r w:rsidR="00FF0BCE" w:rsidRPr="00FF0BCE">
        <w:rPr>
          <w:rFonts w:asciiTheme="minorHAnsi" w:hAnsiTheme="minorHAnsi" w:cstheme="minorHAnsi"/>
          <w:noProof/>
          <w:color w:val="000000" w:themeColor="text1"/>
        </w:rPr>
        <w:t>(320)</w:t>
      </w:r>
      <w:r w:rsidR="00674232" w:rsidRPr="00CA4ABC">
        <w:rPr>
          <w:rFonts w:asciiTheme="minorHAnsi" w:hAnsiTheme="minorHAnsi" w:cstheme="minorHAnsi"/>
          <w:color w:val="000000" w:themeColor="text1"/>
        </w:rPr>
        <w:fldChar w:fldCharType="end"/>
      </w:r>
      <w:r w:rsidRPr="00CA4ABC">
        <w:rPr>
          <w:rFonts w:asciiTheme="minorHAnsi" w:hAnsiTheme="minorHAnsi" w:cstheme="minorHAnsi"/>
          <w:color w:val="000000" w:themeColor="text1"/>
        </w:rPr>
        <w:t>.</w:t>
      </w:r>
    </w:p>
    <w:p w14:paraId="37725565" w14:textId="43AB7734" w:rsidR="0041766C" w:rsidRPr="00CA4ABC" w:rsidRDefault="0041766C" w:rsidP="00E0387B">
      <w:pPr>
        <w:pStyle w:val="NormalWeb"/>
        <w:spacing w:line="360" w:lineRule="auto"/>
        <w:rPr>
          <w:rFonts w:asciiTheme="minorHAnsi" w:hAnsiTheme="minorHAnsi" w:cstheme="minorHAnsi"/>
          <w:color w:val="000000" w:themeColor="text1"/>
        </w:rPr>
      </w:pPr>
      <w:r w:rsidRPr="00CA4ABC">
        <w:rPr>
          <w:rFonts w:asciiTheme="minorHAnsi" w:hAnsiTheme="minorHAnsi" w:cstheme="minorHAnsi"/>
        </w:rPr>
        <w:t xml:space="preserve">Many measures of study engagement were self-reported, which is prone to bias. To try and get around this, several measurements relating to the same variable were taken, including </w:t>
      </w:r>
      <w:r w:rsidRPr="00CA4ABC">
        <w:rPr>
          <w:rFonts w:asciiTheme="minorHAnsi" w:hAnsiTheme="minorHAnsi" w:cstheme="minorHAnsi"/>
        </w:rPr>
        <w:lastRenderedPageBreak/>
        <w:t>daily log book documentation, weekly check-ins and end</w:t>
      </w:r>
      <w:r w:rsidR="00005E3A" w:rsidRPr="00CA4ABC">
        <w:rPr>
          <w:rFonts w:asciiTheme="minorHAnsi" w:hAnsiTheme="minorHAnsi" w:cstheme="minorHAnsi"/>
        </w:rPr>
        <w:t>-</w:t>
      </w:r>
      <w:r w:rsidRPr="00CA4ABC">
        <w:rPr>
          <w:rFonts w:asciiTheme="minorHAnsi" w:hAnsiTheme="minorHAnsi" w:cstheme="minorHAnsi"/>
        </w:rPr>
        <w:t>of</w:t>
      </w:r>
      <w:r w:rsidR="00005E3A" w:rsidRPr="00CA4ABC">
        <w:rPr>
          <w:rFonts w:asciiTheme="minorHAnsi" w:hAnsiTheme="minorHAnsi" w:cstheme="minorHAnsi"/>
        </w:rPr>
        <w:t>-</w:t>
      </w:r>
      <w:r w:rsidRPr="00CA4ABC">
        <w:rPr>
          <w:rFonts w:asciiTheme="minorHAnsi" w:hAnsiTheme="minorHAnsi" w:cstheme="minorHAnsi"/>
        </w:rPr>
        <w:t>intervention measures. Cross-checks between these were made to decipher if there was consistency between what was being reported. Moreover, comparisons between researcher and participant measurements of the same parameter (circumference measurements) did not differ substantially. This may be of value for understanding fu</w:t>
      </w:r>
      <w:r w:rsidR="0065223B" w:rsidRPr="00CA4ABC">
        <w:rPr>
          <w:rFonts w:asciiTheme="minorHAnsi" w:hAnsiTheme="minorHAnsi" w:cstheme="minorHAnsi"/>
        </w:rPr>
        <w:t>ture</w:t>
      </w:r>
      <w:r w:rsidRPr="00CA4ABC">
        <w:rPr>
          <w:rFonts w:asciiTheme="minorHAnsi" w:hAnsiTheme="minorHAnsi" w:cstheme="minorHAnsi"/>
        </w:rPr>
        <w:t xml:space="preserve"> way</w:t>
      </w:r>
      <w:r w:rsidR="0065223B" w:rsidRPr="00CA4ABC">
        <w:rPr>
          <w:rFonts w:asciiTheme="minorHAnsi" w:hAnsiTheme="minorHAnsi" w:cstheme="minorHAnsi"/>
        </w:rPr>
        <w:t>s</w:t>
      </w:r>
      <w:r w:rsidRPr="00CA4ABC">
        <w:rPr>
          <w:rFonts w:asciiTheme="minorHAnsi" w:hAnsiTheme="minorHAnsi" w:cstheme="minorHAnsi"/>
        </w:rPr>
        <w:t xml:space="preserve"> to conduct remote interventions and the possibility of alternative data collection methods. Exploring this in greater depth is required.</w:t>
      </w:r>
    </w:p>
    <w:p w14:paraId="01570247" w14:textId="5CCCB7E8" w:rsidR="004C12CF" w:rsidRPr="00CA4ABC" w:rsidRDefault="00005E3A" w:rsidP="004053D7">
      <w:pPr>
        <w:spacing w:line="360" w:lineRule="auto"/>
        <w:rPr>
          <w:rFonts w:cstheme="minorHAnsi"/>
          <w:color w:val="000000" w:themeColor="text1"/>
        </w:rPr>
      </w:pPr>
      <w:r w:rsidRPr="00CA4ABC">
        <w:rPr>
          <w:rFonts w:cstheme="minorHAnsi"/>
          <w:color w:val="000000" w:themeColor="text1"/>
        </w:rPr>
        <w:t>T</w:t>
      </w:r>
      <w:r w:rsidRPr="00CA4ABC">
        <w:rPr>
          <w:rFonts w:cstheme="minorHAnsi"/>
          <w:color w:val="000000"/>
          <w:shd w:val="clear" w:color="auto" w:fill="FFFFFF"/>
        </w:rPr>
        <w:t>he interviews were conducted by the research project lead (ET), who was responsible for the intervention's design and delivery.</w:t>
      </w:r>
      <w:r w:rsidR="004C12CF" w:rsidRPr="00CA4ABC">
        <w:rPr>
          <w:rFonts w:cstheme="minorHAnsi"/>
          <w:color w:val="000000" w:themeColor="text1"/>
        </w:rPr>
        <w:t xml:space="preserve"> This has several potential downsides, primarily with the participants being aware of this and potentially adapting their answers accordingly, possibly to avoid offending/upsetting the researcher.  Moreover, they were likely to be aware of the aims and purpose of the research, so they may have felt obliged to give answers </w:t>
      </w:r>
      <w:r w:rsidRPr="00CA4ABC">
        <w:rPr>
          <w:rFonts w:cstheme="minorHAnsi"/>
          <w:color w:val="000000" w:themeColor="text1"/>
        </w:rPr>
        <w:t>that</w:t>
      </w:r>
      <w:r w:rsidR="004C12CF" w:rsidRPr="00CA4ABC">
        <w:rPr>
          <w:rFonts w:cstheme="minorHAnsi"/>
          <w:color w:val="000000" w:themeColor="text1"/>
        </w:rPr>
        <w:t xml:space="preserve"> they felt the researcher would want to receive. The interviewer may have influence over the interviewee and thus implicate the responses given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{"citationItems":[{"id":"ITEM-1","itemData":{"DOI":"10.12968/IJTR.2009.16.6.42433","ISSN":"1759779X","abstract":"Background The one-to-one interview is a commonly used data collection method in health and social research. Increasing attention has been given in the literature to the process of conducting an in...","author":[{"dropping-particle":"","family":"Ryan","given":"Frances","non-dropping-particle":"","parse-names":false,"suffix":""},{"dropping-particle":"","family":"Coughlan","given":"Michael","non-dropping-particle":"","parse-names":false,"suffix":""},{"dropping-particle":"","family":"Cronin","given":"Patricia","non-dropping-particle":"","parse-names":false,"suffix":""}],"container-title":"http://dx.doi.org/10.12968/ijtr.2009.16.6.42433","id":"ITEM-1","issue":"6","issued":{"date-parts":[["2013","9","29"]]},"page":"309-314","publisher":" MA Healthcare London ","title":"Interviewing in qualitative research: The one-to-one interview","type":"article-journal","volume":"16"},"uris":["http://www.mendeley.com/documents/?uuid=5cb617ce-3e61-3667-af45-80a784eb630f"]}],"mendeley":{"formattedCitation":"(321)","plainTextFormattedCitation":"(321)","previouslyFormattedCitation":"(198)"},"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(321)</w:t>
      </w:r>
      <w:r w:rsidR="004C12CF" w:rsidRPr="00CA4ABC">
        <w:rPr>
          <w:rFonts w:cstheme="minorHAnsi"/>
          <w:color w:val="000000" w:themeColor="text1"/>
        </w:rPr>
        <w:fldChar w:fldCharType="end"/>
      </w:r>
      <w:r w:rsidR="004C12CF" w:rsidRPr="00CA4ABC">
        <w:rPr>
          <w:rFonts w:cstheme="minorHAnsi"/>
          <w:color w:val="000000" w:themeColor="text1"/>
        </w:rPr>
        <w:t xml:space="preserve">. </w:t>
      </w:r>
      <w:r w:rsidR="00483206" w:rsidRPr="00CA4ABC">
        <w:rPr>
          <w:rFonts w:cstheme="minorHAnsi"/>
          <w:color w:val="000000" w:themeColor="text1"/>
        </w:rPr>
        <w:t xml:space="preserve">The researcher’s objectives and research focus may have influenced the question’s wording or phrasing. Having an independent researcher conduct these interviews may have led to more honest and open feedback. </w:t>
      </w:r>
      <w:r w:rsidR="00483206" w:rsidRPr="00CA4ABC">
        <w:rPr>
          <w:rFonts w:cstheme="minorHAnsi"/>
          <w:color w:val="000000"/>
          <w:shd w:val="clear" w:color="auto" w:fill="FFFFFF"/>
        </w:rPr>
        <w:t xml:space="preserve">Participants were reminded and strongly encouraged to speak genuinely about their study experience to try and counteract this. </w:t>
      </w:r>
      <w:r w:rsidR="00483206" w:rsidRPr="00CA4ABC">
        <w:rPr>
          <w:rFonts w:cstheme="minorHAnsi"/>
          <w:color w:val="000000" w:themeColor="text1"/>
        </w:rPr>
        <w:t>Moreover,</w:t>
      </w:r>
      <w:r w:rsidR="004C12CF" w:rsidRPr="00CA4ABC">
        <w:rPr>
          <w:rFonts w:cstheme="minorHAnsi"/>
          <w:color w:val="000000" w:themeColor="text1"/>
        </w:rPr>
        <w:t xml:space="preserve"> guidelines for </w:t>
      </w:r>
      <w:r w:rsidRPr="00CA4ABC">
        <w:rPr>
          <w:rFonts w:cstheme="minorHAnsi"/>
          <w:color w:val="000000" w:themeColor="text1"/>
        </w:rPr>
        <w:t>open-ended</w:t>
      </w:r>
      <w:r w:rsidR="004C12CF" w:rsidRPr="00CA4ABC">
        <w:rPr>
          <w:rFonts w:cstheme="minorHAnsi"/>
          <w:color w:val="000000" w:themeColor="text1"/>
        </w:rPr>
        <w:t xml:space="preserve"> questioning</w:t>
      </w:r>
      <w:r w:rsidRPr="00CA4ABC">
        <w:rPr>
          <w:rFonts w:cstheme="minorHAnsi"/>
          <w:color w:val="000000" w:themeColor="text1"/>
        </w:rPr>
        <w:t xml:space="preserve"> formats</w:t>
      </w:r>
      <w:r w:rsidR="004C12CF" w:rsidRPr="00CA4ABC">
        <w:rPr>
          <w:rFonts w:cstheme="minorHAnsi"/>
          <w:color w:val="000000" w:themeColor="text1"/>
        </w:rPr>
        <w:t xml:space="preserve"> were </w:t>
      </w:r>
      <w:r w:rsidRPr="00CA4ABC">
        <w:rPr>
          <w:rFonts w:cstheme="minorHAnsi"/>
          <w:color w:val="000000" w:themeColor="text1"/>
        </w:rPr>
        <w:t>followed</w:t>
      </w:r>
      <w:r w:rsidR="004C12CF" w:rsidRPr="00CA4ABC">
        <w:rPr>
          <w:rFonts w:cstheme="minorHAnsi"/>
          <w:color w:val="000000" w:themeColor="text1"/>
        </w:rPr>
        <w:t xml:space="preserve">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{"citationItems":[{"id":"ITEM-1","itemData":{"DOI":"10.4103/0976-0105.141942","ISSN":"0976-0105","PMID":"25316987","abstract":"Buckley and Chiang define research methodology as “a strategy or architectural design by which the researcher maps out an approach to problem-finding or problem-solving.”[1] According to Crotty, research methodology is a comprehensive strategy ‘that silhouettes our choice and use of specific methods relating them to the anticipated outcomes,[2] but the choice of research methodology is based upon the type and features of the research problem.[3] According to Johnson et al. mixed method research is “a class of research where the researcher mixes or combines quantitative and qualitative research techniques, methods, approaches, theories and or language into a single study.[4] In order to have diverse opinions and views, qualitative findings need to be supplemented with quantitative results.[5] Therefore, these research methodologies are considered to be complementary to each other rather than incompatible to each other.[6] Qualitative research methodology is considered to be suitable when the researcher or the investigator either investigates new field of study or intends to ascertain and theorize prominent issues.[6,7] There are many qualitative methods which are developed to have an in depth and extensive understanding of the issues by means of their textual interpretation and the most common types are interviewing and observation.[7]","author":[{"dropping-particle":"","family":"Jamshed","given":"Shazia","non-dropping-particle":"","parse-names":false,"suffix":""}],"container-title":"Journal of Basic and Clinical Pharmacy","id":"ITEM-1","issue":"4","issued":{"date-parts":[["2014"]]},"page":"87","publisher":"Wolters Kluwer -- Medknow Publications","title":"Qualitative research method-interviewing and observation","type":"article-journal","volume":"5"},"uris":["http://www.mendeley.com/documents/?uuid=b88ba419-8f95-3407-b050-97787344dce4"]}],"mendeley":{"formattedCitation":"(322)","plainTextFormattedCitation":"(322)","previouslyFormattedCitation":"(321)"},"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(322)</w:t>
      </w:r>
      <w:r w:rsidR="004C12CF" w:rsidRPr="00CA4ABC">
        <w:rPr>
          <w:rFonts w:cstheme="minorHAnsi"/>
          <w:color w:val="000000" w:themeColor="text1"/>
        </w:rPr>
        <w:fldChar w:fldCharType="end"/>
      </w:r>
      <w:r w:rsidR="004C12CF" w:rsidRPr="00CA4ABC">
        <w:rPr>
          <w:rFonts w:cstheme="minorHAnsi"/>
          <w:color w:val="000000" w:themeColor="text1"/>
        </w:rPr>
        <w:t xml:space="preserve">, </w:t>
      </w:r>
      <w:r w:rsidRPr="00CA4ABC">
        <w:rPr>
          <w:rFonts w:cstheme="minorHAnsi"/>
          <w:color w:val="000000" w:themeColor="text1"/>
        </w:rPr>
        <w:t>where possible,</w:t>
      </w:r>
      <w:r w:rsidR="00CA7F6E" w:rsidRPr="00CA4ABC">
        <w:rPr>
          <w:rFonts w:cstheme="minorHAnsi"/>
          <w:color w:val="000000" w:themeColor="text1"/>
        </w:rPr>
        <w:t xml:space="preserve"> but</w:t>
      </w:r>
      <w:r w:rsidRPr="00CA4ABC">
        <w:rPr>
          <w:rFonts w:cstheme="minorHAnsi"/>
          <w:color w:val="000000" w:themeColor="text1"/>
        </w:rPr>
        <w:t xml:space="preserve"> </w:t>
      </w:r>
      <w:r w:rsidR="004C12CF" w:rsidRPr="00CA4ABC">
        <w:rPr>
          <w:rFonts w:cstheme="minorHAnsi"/>
          <w:color w:val="000000" w:themeColor="text1"/>
        </w:rPr>
        <w:t xml:space="preserve">questions </w:t>
      </w:r>
      <w:r w:rsidRPr="00CA4ABC">
        <w:rPr>
          <w:rFonts w:cstheme="minorHAnsi"/>
          <w:color w:val="000000" w:themeColor="text1"/>
        </w:rPr>
        <w:t>beginning</w:t>
      </w:r>
      <w:r w:rsidR="004C12CF" w:rsidRPr="00CA4ABC">
        <w:rPr>
          <w:rFonts w:cstheme="minorHAnsi"/>
          <w:color w:val="000000" w:themeColor="text1"/>
        </w:rPr>
        <w:t xml:space="preserve"> with phrases such as ‘What are your thoughts on . . . ?’ and ‘In your opinion . . . ?’  may </w:t>
      </w:r>
      <w:r w:rsidR="003F1723" w:rsidRPr="00CA4ABC">
        <w:rPr>
          <w:rFonts w:cstheme="minorHAnsi"/>
          <w:color w:val="000000" w:themeColor="text1"/>
        </w:rPr>
        <w:t xml:space="preserve">not </w:t>
      </w:r>
      <w:r w:rsidR="004C12CF" w:rsidRPr="00CA4ABC">
        <w:rPr>
          <w:rFonts w:cstheme="minorHAnsi"/>
          <w:color w:val="000000" w:themeColor="text1"/>
        </w:rPr>
        <w:t xml:space="preserve">have been </w:t>
      </w:r>
      <w:r w:rsidR="00483206" w:rsidRPr="00CA4ABC">
        <w:rPr>
          <w:rFonts w:cstheme="minorHAnsi"/>
          <w:color w:val="000000" w:themeColor="text1"/>
        </w:rPr>
        <w:t>used</w:t>
      </w:r>
      <w:r w:rsidR="004C12CF" w:rsidRPr="00CA4ABC">
        <w:rPr>
          <w:rFonts w:cstheme="minorHAnsi"/>
          <w:color w:val="000000" w:themeColor="text1"/>
        </w:rPr>
        <w:t xml:space="preserve"> enough in the semi-structured interviews. Once </w:t>
      </w:r>
      <w:r w:rsidR="00CA7F6E" w:rsidRPr="00CA4ABC">
        <w:rPr>
          <w:rFonts w:cstheme="minorHAnsi"/>
          <w:color w:val="000000" w:themeColor="text1"/>
        </w:rPr>
        <w:t>an open line of</w:t>
      </w:r>
      <w:r w:rsidR="004C12CF" w:rsidRPr="00CA4ABC">
        <w:rPr>
          <w:rFonts w:cstheme="minorHAnsi"/>
          <w:color w:val="000000" w:themeColor="text1"/>
        </w:rPr>
        <w:t xml:space="preserve"> enquiry had been adopted, naturally occurring probing questions</w:t>
      </w:r>
      <w:r w:rsidR="00CA7F6E" w:rsidRPr="00CA4ABC">
        <w:rPr>
          <w:rFonts w:cstheme="minorHAnsi"/>
          <w:color w:val="000000" w:themeColor="text1"/>
        </w:rPr>
        <w:t xml:space="preserve"> can be asked</w:t>
      </w:r>
      <w:r w:rsidR="004C12CF" w:rsidRPr="00CA4ABC">
        <w:rPr>
          <w:rFonts w:cstheme="minorHAnsi"/>
          <w:color w:val="000000" w:themeColor="text1"/>
        </w:rPr>
        <w:t xml:space="preserve"> to gain more detail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{"citationItems":[{"id":"ITEM-1","itemData":{"ISBN":"0415268788","abstract":"1. What is Research? -- 2. Research Traditions -- 3. The Research Process -- 4. Research Questions, Aims and Objectives -- 5. Reviewing the Literature -- 6. Theories, Concepts and Variables in Sport Research -- 7. Research Designs for Sports Studies -- 8. Collecting Data I: The Questionnaire Survey -- 9. Collecting Data II: Research Interviews -- 10. Collecting Data III: Unobtrusive Methods -- Observation and Content Analysis -- 11. Collecting Data IV: Ethnographic Research in Sport -- 12. Analysing Data I: Quantitative Data Analysis -- 13. Analysing Data II: Qualitative Data Analysis -- 14. Writing the Research Report -- 15. Sports Research and the Internet -- 16. Student Issues -- Journals publishing sports-related research.","author":[{"dropping-particle":"","family":"Gratton","given":"Chris","non-dropping-particle":"","parse-names":false,"suffix":""},{"dropping-particle":"","family":"Jones","given":"Ian","non-dropping-particle":"","parse-names":false,"suffix":""}],"id":"ITEM-1","issued":{"date-parts":[["2004"]]},"page":"288","publisher":"Routledge","title":"Research methods for sport studies","type":"article-journal"},"uris":["http://www.mendeley.com/documents/?uuid=83b3f27d-5ceb-3997-96cd-5d02979ad482"]}],"mendeley":{"formattedCitation":"(323)","plainTextFormattedCitation":"(323)","previouslyFormattedCitation":"(322)"},"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(323)</w:t>
      </w:r>
      <w:r w:rsidR="004C12CF" w:rsidRPr="00CA4ABC">
        <w:rPr>
          <w:rFonts w:cstheme="minorHAnsi"/>
          <w:color w:val="000000" w:themeColor="text1"/>
        </w:rPr>
        <w:fldChar w:fldCharType="end"/>
      </w:r>
      <w:r w:rsidR="004C12CF" w:rsidRPr="00CA4ABC">
        <w:rPr>
          <w:rFonts w:cstheme="minorHAnsi"/>
          <w:color w:val="000000" w:themeColor="text1"/>
        </w:rPr>
        <w:t xml:space="preserve">. This format of </w:t>
      </w:r>
      <w:r w:rsidR="00CA7F6E" w:rsidRPr="00CA4ABC">
        <w:rPr>
          <w:rFonts w:cstheme="minorHAnsi"/>
          <w:color w:val="000000" w:themeColor="text1"/>
        </w:rPr>
        <w:t>quetioning</w:t>
      </w:r>
      <w:r w:rsidR="004C12CF" w:rsidRPr="00CA4ABC">
        <w:rPr>
          <w:rFonts w:cstheme="minorHAnsi"/>
          <w:color w:val="000000" w:themeColor="text1"/>
        </w:rPr>
        <w:t xml:space="preserve"> would allow participants the liberty to express their experiences and opinions with minimal constraints and to self-navigate towards areas they felt significant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{"citationItems":[{"id":"ITEM-1","itemData":{"ISBN":"9781847875822","abstract":"Click on the links below to find answers to exercises in the text (see Student Resources tab for fuller details), extended versions of text boxes and tables used in the book, qualitative presentations, data and a host of other materials.","author":[{"dropping-particle":"","family":"Braun","given":"Virginia","non-dropping-particle":"","parse-names":false,"suffix":""},{"dropping-particle":"","family":"Clarke","given":"Victoria","non-dropping-particle":"","parse-names":false,"suffix":""}],"id":"ITEM-1","issued":{"date-parts":[["2013"]]},"page":"1-2","title":"Successful Qualitative Research: Student Resources","type":"article-journal"},"uris":["http://www.mendeley.com/documents/?uuid=ff70ad21-7bf0-33f3-9c62-96cc1ce169cb"]}],"mendeley":{"formattedCitation":"(324)","plainTextFormattedCitation":"(324)","previouslyFormattedCitation":"(323)"},"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(324)</w:t>
      </w:r>
      <w:r w:rsidR="004C12CF" w:rsidRPr="00CA4ABC">
        <w:rPr>
          <w:rFonts w:cstheme="minorHAnsi"/>
          <w:color w:val="000000" w:themeColor="text1"/>
        </w:rPr>
        <w:fldChar w:fldCharType="end"/>
      </w:r>
      <w:r w:rsidR="004C12CF" w:rsidRPr="00CA4ABC">
        <w:rPr>
          <w:rFonts w:cstheme="minorHAnsi"/>
          <w:color w:val="000000" w:themeColor="text1"/>
        </w:rPr>
        <w:t xml:space="preserve">. On the other hand, by being consistent with the researcher, the level of trust and rapport </w:t>
      </w:r>
      <w:r w:rsidR="00483206" w:rsidRPr="00CA4ABC">
        <w:rPr>
          <w:rFonts w:cstheme="minorHAnsi"/>
          <w:color w:val="000000" w:themeColor="text1"/>
        </w:rPr>
        <w:t>built up</w:t>
      </w:r>
      <w:r w:rsidR="004C12CF" w:rsidRPr="00CA4ABC">
        <w:rPr>
          <w:rFonts w:cstheme="minorHAnsi"/>
          <w:color w:val="000000" w:themeColor="text1"/>
        </w:rPr>
        <w:t xml:space="preserve"> has also been noted as a factor which can influence the responses given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{"citationItems":[{"id":"ITEM-1","itemData":{"DOI":"10.12968/IJTR.2009.16.6.42433","ISSN":"1759779X","abstract":"Background The one-to-one interview is a commonly used data collection method in health and social research. Increasing attention has been given in the literature to the process of conducting an in...","author":[{"dropping-particle":"","family":"Ryan","given":"Frances","non-dropping-particle":"","parse-names":false,"suffix":""},{"dropping-particle":"","family":"Coughlan","given":"Michael","non-dropping-particle":"","parse-names":false,"suffix":""},{"dropping-particle":"","family":"Cronin","given":"Patricia","non-dropping-particle":"","parse-names":false,"suffix":""}],"container-title":"http://dx.doi.org/10.12968/ijtr.2009.16.6.42433","id":"ITEM-1","issue":"6","issued":{"date-parts":[["2013","9","29"]]},"page":"309-314","publisher":" MA Healthcare London ","title":"Interviewing in qualitative research: The one-to-one interview","type":"article-journal","volume":"16"},"uris":["http://www.mendeley.com/documents/?uuid=5cb617ce-3e61-3667-af45-80a784eb630f"]}],"mendeley":{"formattedCitation":"(321)","plainTextFormattedCitation":"(321)","previouslyFormattedCitation":"(198)"},"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(321)</w:t>
      </w:r>
      <w:r w:rsidR="004C12CF" w:rsidRPr="00CA4ABC">
        <w:rPr>
          <w:rFonts w:cstheme="minorHAnsi"/>
          <w:color w:val="000000" w:themeColor="text1"/>
        </w:rPr>
        <w:fldChar w:fldCharType="end"/>
      </w:r>
      <w:r w:rsidR="0089655A" w:rsidRPr="00CA4ABC">
        <w:rPr>
          <w:rFonts w:cstheme="minorHAnsi"/>
          <w:color w:val="000000" w:themeColor="text1"/>
        </w:rPr>
        <w:t xml:space="preserve"> </w:t>
      </w:r>
      <w:r w:rsidR="0065223B" w:rsidRPr="00CA4ABC">
        <w:rPr>
          <w:rFonts w:cstheme="minorHAnsi"/>
          <w:color w:val="000000" w:themeColor="text1"/>
        </w:rPr>
        <w:t>and</w:t>
      </w:r>
      <w:r w:rsidR="0089655A" w:rsidRPr="00CA4ABC">
        <w:rPr>
          <w:rFonts w:cstheme="minorHAnsi"/>
          <w:color w:val="000000" w:themeColor="text1"/>
        </w:rPr>
        <w:t xml:space="preserve"> aid in a more natural and authentic conversation develo</w:t>
      </w:r>
      <w:r w:rsidRPr="00CA4ABC">
        <w:rPr>
          <w:rFonts w:cstheme="minorHAnsi"/>
          <w:color w:val="000000" w:themeColor="text1"/>
        </w:rPr>
        <w:t>pment</w:t>
      </w:r>
      <w:r w:rsidR="004C12CF" w:rsidRPr="00CA4ABC">
        <w:rPr>
          <w:rFonts w:cstheme="minorHAnsi"/>
          <w:color w:val="000000" w:themeColor="text1"/>
        </w:rPr>
        <w:t>. A</w:t>
      </w:r>
      <w:r w:rsidR="00922C01" w:rsidRPr="00CA4ABC">
        <w:rPr>
          <w:rFonts w:cstheme="minorHAnsi"/>
          <w:color w:val="000000" w:themeColor="text1"/>
        </w:rPr>
        <w:t>dditional</w:t>
      </w:r>
      <w:r w:rsidR="00483206" w:rsidRPr="00CA4ABC">
        <w:rPr>
          <w:rFonts w:cstheme="minorHAnsi"/>
          <w:color w:val="000000" w:themeColor="text1"/>
        </w:rPr>
        <w:t>ly</w:t>
      </w:r>
      <w:r w:rsidR="004C12CF" w:rsidRPr="00CA4ABC">
        <w:rPr>
          <w:rFonts w:cstheme="minorHAnsi"/>
          <w:color w:val="000000" w:themeColor="text1"/>
        </w:rPr>
        <w:t xml:space="preserve">, </w:t>
      </w:r>
      <w:r w:rsidR="00922C01" w:rsidRPr="00CA4ABC">
        <w:rPr>
          <w:rFonts w:cstheme="minorHAnsi"/>
          <w:color w:val="000000" w:themeColor="text1"/>
        </w:rPr>
        <w:t>researcher</w:t>
      </w:r>
      <w:r w:rsidR="004C12CF" w:rsidRPr="00CA4ABC">
        <w:rPr>
          <w:rFonts w:cstheme="minorHAnsi"/>
          <w:color w:val="000000" w:themeColor="text1"/>
        </w:rPr>
        <w:t xml:space="preserve"> familiar</w:t>
      </w:r>
      <w:r w:rsidR="00922C01" w:rsidRPr="00CA4ABC">
        <w:rPr>
          <w:rFonts w:cstheme="minorHAnsi"/>
          <w:color w:val="000000" w:themeColor="text1"/>
        </w:rPr>
        <w:t>ity</w:t>
      </w:r>
      <w:r w:rsidR="004C12CF" w:rsidRPr="00CA4ABC">
        <w:rPr>
          <w:rFonts w:cstheme="minorHAnsi"/>
          <w:color w:val="000000" w:themeColor="text1"/>
        </w:rPr>
        <w:t xml:space="preserve"> with the study and its design</w:t>
      </w:r>
      <w:r w:rsidR="00922C01" w:rsidRPr="00CA4ABC">
        <w:rPr>
          <w:rFonts w:cstheme="minorHAnsi"/>
          <w:color w:val="000000" w:themeColor="text1"/>
        </w:rPr>
        <w:t xml:space="preserve"> </w:t>
      </w:r>
      <w:r w:rsidR="004C12CF" w:rsidRPr="00CA4ABC">
        <w:rPr>
          <w:rFonts w:cstheme="minorHAnsi"/>
          <w:color w:val="000000" w:themeColor="text1"/>
        </w:rPr>
        <w:t xml:space="preserve">made further probing and questioning possible during the semi-structured interviews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{"citationItems":[{"id":"ITEM-1","itemData":{"DOI":"10.1136/FMCH-2018-000057","ISSN":"2305-6983","PMID":"32148704","abstract":"Semistructured in-depth interviews are commonly used in qualitative research and are the most frequent qualitative data source in health services research. This method typically consists of a dialogue between researcher and participant, guided by a flexible interview protocol and supplemented by follow-up questions, probes and comments. The method allows the researcher to collect open-ended data, to explore participant thoughts, feelings and beliefs about a particular topic and to delve deeply into personal and sometimes sensitive issues. The purpose of this article was to identify and describe the essential skills to designing and conducting semistructured interviews in family medicine and primary care research settings. We reviewed the literature on semistructured interviewing to identify key skills and components for using this method in family medicine and primary care research settings. Overall, semistructured interviewing requires both a relational focus and practice in the skills of facilitation. Skills include: (1) determining the purpose and scope of the study; (2) identifying participants; (3) considering ethical issues; (4) planning logistical aspects; (5) developing the interview guide; (6) establishing trust and rapport; (7) conducting the interview; (8) memoing and reflection; (9) analysing the data; (10) demonstrating the trustworthiness of the research; and (11) presenting findings in a paper or report. Semistructured interviews provide an effective and feasible research method for family physicians to conduct in primary care research settings. Researchers using semistructured interviews for data collection should take on a relational focus and consider the skills of interviewing to ensure quality. Semistructured interviewing can be a powerful tool for family physicians, primary care providers and other health services researchers to use to understand the thoughts, beliefs and experiences of individuals. Despite the utility, semistructured interviews can be intimidating and challenging for researchers not familiar with qualitative approaches. In order to elucidate this method, we provide practical guidance for researchers, including novice researchers and those with few resources, to use semistructured interviewing as a data collection strategy. We provide recommendations for the essential steps to follow in order to best implement semistructured interviews in family medicine and primary care research settings.","author":[{"dropping-particle":"","family":"DeJonckheere","given":"Melissa","non-dropping-particle":"","parse-names":false,"suffix":""},{"dropping-particle":"","family":"Vaughn","given":"Lisa M.","non-dropping-particle":"","parse-names":false,"suffix":""}],"container-title":"Family Medicine and Community Health","id":"ITEM-1","issue":"2","issued":{"date-parts":[["2019","3","1"]]},"page":"e000057","publisher":"BMJ Specialist Journals","title":"Semistructured interviewing in primary care research: a balance of relationship and rigour","type":"article-journal","volume":"7"},"uris":["http://www.mendeley.com/documents/?uuid=b49d2996-0d3b-3b8c-815c-db11d4734fb9"]}],"mendeley":{"formattedCitation":"(316)","plainTextFormattedCitation":"(316)","previouslyFormattedCitation":"(316)"},"properties":{"noteIndex":0},"schema":"https://github.com/citation-style-language/schema/raw/master/csl-citation.json"}</w:instrText>
      </w:r>
      <w:r w:rsidR="004C12CF" w:rsidRPr="00CA4ABC">
        <w:rPr>
          <w:rFonts w:cstheme="minorHAnsi"/>
          <w:color w:val="000000" w:themeColor="text1"/>
        </w:rPr>
        <w:fldChar w:fldCharType="separate"/>
      </w:r>
      <w:r w:rsidR="00FF0BCE" w:rsidRPr="00FF0BCE">
        <w:rPr>
          <w:rFonts w:cstheme="minorHAnsi"/>
          <w:noProof/>
          <w:color w:val="000000" w:themeColor="text1"/>
        </w:rPr>
        <w:t>(316)</w:t>
      </w:r>
      <w:r w:rsidR="004C12CF" w:rsidRPr="00CA4ABC">
        <w:rPr>
          <w:rFonts w:cstheme="minorHAnsi"/>
          <w:color w:val="000000" w:themeColor="text1"/>
        </w:rPr>
        <w:fldChar w:fldCharType="end"/>
      </w:r>
      <w:r w:rsidR="004C12CF" w:rsidRPr="00CA4ABC">
        <w:rPr>
          <w:rFonts w:cstheme="minorHAnsi"/>
          <w:color w:val="000000" w:themeColor="text1"/>
        </w:rPr>
        <w:t>.</w:t>
      </w:r>
    </w:p>
    <w:p w14:paraId="51114B04" w14:textId="1F77BA16" w:rsidR="007570F6" w:rsidRPr="00CA4ABC" w:rsidRDefault="007570F6" w:rsidP="004053D7">
      <w:pPr>
        <w:spacing w:line="360" w:lineRule="auto"/>
        <w:rPr>
          <w:rFonts w:cstheme="minorHAnsi"/>
          <w:color w:val="000000" w:themeColor="text1"/>
        </w:rPr>
      </w:pPr>
    </w:p>
    <w:p w14:paraId="4F2AAB78" w14:textId="0C5B5FD7" w:rsidR="007570F6" w:rsidRPr="00CA4ABC" w:rsidRDefault="007570F6" w:rsidP="004053D7">
      <w:pPr>
        <w:spacing w:line="360" w:lineRule="auto"/>
        <w:rPr>
          <w:rFonts w:cstheme="minorHAnsi"/>
          <w:color w:val="000000" w:themeColor="text1"/>
        </w:rPr>
      </w:pPr>
      <w:r w:rsidRPr="00CA4ABC">
        <w:rPr>
          <w:rFonts w:cstheme="minorHAnsi"/>
          <w:color w:val="000000" w:themeColor="text1"/>
        </w:rPr>
        <w:t>Braun and Clarke state that subjectivity can benefit qualitative research.</w:t>
      </w:r>
      <w:r w:rsidR="003216D7" w:rsidRPr="00CA4ABC">
        <w:rPr>
          <w:rFonts w:cstheme="minorHAnsi"/>
          <w:color w:val="000000" w:themeColor="text1"/>
        </w:rPr>
        <w:t xml:space="preserve"> Moreover, the process of reflexivity attempts to understand how the role of the researcher and research </w:t>
      </w:r>
      <w:r w:rsidR="003216D7" w:rsidRPr="00CA4ABC">
        <w:rPr>
          <w:rFonts w:cstheme="minorHAnsi"/>
          <w:color w:val="000000" w:themeColor="text1"/>
        </w:rPr>
        <w:lastRenderedPageBreak/>
        <w:t>processes influence the research outcomes through reflection. Reflective notes were used to aid reflexivity practices</w:t>
      </w:r>
      <w:r w:rsidR="00C234B1" w:rsidRPr="00CA4ABC">
        <w:rPr>
          <w:rFonts w:cstheme="minorHAnsi"/>
          <w:color w:val="000000" w:themeColor="text1"/>
        </w:rPr>
        <w:t>, alongside frequent discussions between the t</w:t>
      </w:r>
      <w:r w:rsidRPr="00CA4ABC">
        <w:rPr>
          <w:rFonts w:cstheme="minorHAnsi"/>
          <w:color w:val="000000" w:themeColor="text1"/>
        </w:rPr>
        <w:t>wo independent researchers</w:t>
      </w:r>
      <w:r w:rsidR="003216D7" w:rsidRPr="00CA4ABC">
        <w:rPr>
          <w:rFonts w:cstheme="minorHAnsi"/>
          <w:color w:val="000000" w:themeColor="text1"/>
        </w:rPr>
        <w:t xml:space="preserve"> </w:t>
      </w:r>
      <w:r w:rsidR="00C234B1" w:rsidRPr="00CA4ABC">
        <w:rPr>
          <w:rFonts w:cstheme="minorHAnsi"/>
          <w:color w:val="000000" w:themeColor="text1"/>
        </w:rPr>
        <w:t>who</w:t>
      </w:r>
      <w:r w:rsidRPr="00CA4ABC">
        <w:rPr>
          <w:rFonts w:cstheme="minorHAnsi"/>
          <w:color w:val="000000" w:themeColor="text1"/>
        </w:rPr>
        <w:t xml:space="preserve"> carried out the thematic analysis</w:t>
      </w:r>
      <w:r w:rsidR="00C234B1" w:rsidRPr="00CA4ABC">
        <w:rPr>
          <w:rFonts w:cstheme="minorHAnsi"/>
          <w:color w:val="000000" w:themeColor="text1"/>
        </w:rPr>
        <w:t xml:space="preserve">. A further benefit of having more than one researcher contributing to the thematic analysis is that it can lead to richer data through enhanced diversity of experience, backgrounds, views and characteristics.  </w:t>
      </w:r>
      <w:r w:rsidRPr="00CA4ABC">
        <w:rPr>
          <w:rFonts w:cstheme="minorHAnsi"/>
          <w:color w:val="000000" w:themeColor="text1"/>
        </w:rPr>
        <w:t>It should be noted, however, that the two independent research</w:t>
      </w:r>
      <w:r w:rsidR="003F1723" w:rsidRPr="00CA4ABC">
        <w:rPr>
          <w:rFonts w:cstheme="minorHAnsi"/>
          <w:color w:val="000000" w:themeColor="text1"/>
        </w:rPr>
        <w:t>ers</w:t>
      </w:r>
      <w:r w:rsidRPr="00CA4ABC">
        <w:rPr>
          <w:rFonts w:cstheme="minorHAnsi"/>
          <w:color w:val="000000" w:themeColor="text1"/>
        </w:rPr>
        <w:t xml:space="preserve"> shared many traits, including ethnicity and being of similar ages and educational backgrounds</w:t>
      </w:r>
      <w:r w:rsidR="003216D7" w:rsidRPr="00CA4ABC">
        <w:rPr>
          <w:rFonts w:cstheme="minorHAnsi"/>
          <w:color w:val="000000" w:themeColor="text1"/>
        </w:rPr>
        <w:t>, as reflected by</w:t>
      </w:r>
      <w:r w:rsidRPr="00CA4ABC">
        <w:rPr>
          <w:rFonts w:cstheme="minorHAnsi"/>
          <w:color w:val="000000" w:themeColor="text1"/>
        </w:rPr>
        <w:t xml:space="preserve"> </w:t>
      </w:r>
      <w:r w:rsidR="003216D7" w:rsidRPr="00CA4ABC">
        <w:rPr>
          <w:rFonts w:cstheme="minorHAnsi"/>
          <w:color w:val="000000" w:themeColor="text1"/>
        </w:rPr>
        <w:t>l</w:t>
      </w:r>
      <w:r w:rsidRPr="00CA4ABC">
        <w:rPr>
          <w:rFonts w:cstheme="minorHAnsi"/>
          <w:color w:val="000000" w:themeColor="text1"/>
        </w:rPr>
        <w:t>ittle to no disagreements ar</w:t>
      </w:r>
      <w:r w:rsidR="003216D7" w:rsidRPr="00CA4ABC">
        <w:rPr>
          <w:rFonts w:cstheme="minorHAnsi"/>
          <w:color w:val="000000" w:themeColor="text1"/>
        </w:rPr>
        <w:t>ising</w:t>
      </w:r>
      <w:r w:rsidRPr="00CA4ABC">
        <w:rPr>
          <w:rFonts w:cstheme="minorHAnsi"/>
          <w:color w:val="000000" w:themeColor="text1"/>
        </w:rPr>
        <w:t xml:space="preserve"> during theme generation</w:t>
      </w:r>
      <w:r w:rsidR="003216D7" w:rsidRPr="00CA4ABC">
        <w:rPr>
          <w:rFonts w:cstheme="minorHAnsi"/>
          <w:color w:val="000000" w:themeColor="text1"/>
        </w:rPr>
        <w:t xml:space="preserve">. </w:t>
      </w:r>
      <w:r w:rsidR="00DA05F6" w:rsidRPr="00CA4ABC">
        <w:rPr>
          <w:rFonts w:cstheme="minorHAnsi"/>
          <w:color w:val="000000" w:themeColor="text1"/>
        </w:rPr>
        <w:t>Using</w:t>
      </w:r>
      <w:r w:rsidRPr="00CA4ABC">
        <w:rPr>
          <w:rFonts w:cstheme="minorHAnsi"/>
          <w:color w:val="000000" w:themeColor="text1"/>
        </w:rPr>
        <w:t xml:space="preserve"> a critical friend would have also been beneficial to check over and challenge the data analysis and theme generation and encourage reflexivity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{"citationItems":[{"id":"ITEM-1","itemData":{"DOI":"10.1080/1750984X.2017.1317357","ISSN":"17509858","abstract":"Qualitative research has grown within sport and exercise psychology and is now widely conducted. The purpose of this review is to discuss three commonly used ways to demonstrate rigor when conducting or judging qualitative research in sport and exercise psychology. These are the method of member checking, the method of inter-rater reliability, and the notion of universal criteria. Problems with each method are first highlighted. Member checking and inter-rater reliability are shown to be ineffective for verification, trustworthiness, or reliability purposes. Next, universal criteria within the context of Tracy’s, heavily drawn on paper within sport and exercise psychology is problematized. Throughout the discussion of each method and universal criteria more suitable possibilities for conducting rigorous qualitative research are offered. The paper concludes that to support high-quality qualitative research, scholars–including journal editors and reviewers–need to change how rigor is developed and judged, rather than perpetuate the problems with how it has been commonly evaluated in the past. Recommendations for developing rigor when conducting and/or judging qualitative research within sport and exercise psychology are also offered.","author":[{"dropping-particle":"","family":"Smith","given":"Brett","non-dropping-particle":"","parse-names":false,"suffix":""},{"dropping-particle":"","family":"McGannon","given":"Kerry R.","non-dropping-particle":"","parse-names":false,"suffix":""}],"container-title":"International Review of Sport and Exercise Psychology","id":"ITEM-1","issue":"1","issued":{"date-parts":[["2018","1","1"]]},"page":"101-121","publisher":"Routledge","title":"Developing rigor in qualitative research: problems and opportunities within sport and exercise psychology","type":"article-journal","volume":"11"},"uris":["http://www.mendeley.com/documents/?uuid=a233f769-a740-3753-adde-08a01d66b297"]}],"mendeley":{"formattedCitation":"(325)","plainTextFormattedCitation":"(325)","previouslyFormattedCitation":"(324)"},"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(325)</w:t>
      </w:r>
      <w:r w:rsidRPr="00CA4ABC">
        <w:rPr>
          <w:rFonts w:cstheme="minorHAnsi"/>
          <w:color w:val="000000" w:themeColor="text1"/>
        </w:rPr>
        <w:fldChar w:fldCharType="end"/>
      </w:r>
      <w:r w:rsidRPr="00CA4ABC">
        <w:rPr>
          <w:rFonts w:cstheme="minorHAnsi"/>
          <w:color w:val="000000" w:themeColor="text1"/>
        </w:rPr>
        <w:t>. Furthermore, having a second researcher from a different background, who engaged in the analysis process may have led to slight</w:t>
      </w:r>
      <w:r w:rsidR="003F1723" w:rsidRPr="00CA4ABC">
        <w:rPr>
          <w:rFonts w:cstheme="minorHAnsi"/>
          <w:color w:val="000000" w:themeColor="text1"/>
        </w:rPr>
        <w:t>ly</w:t>
      </w:r>
      <w:r w:rsidRPr="00CA4ABC">
        <w:rPr>
          <w:rFonts w:cstheme="minorHAnsi"/>
          <w:color w:val="000000" w:themeColor="text1"/>
        </w:rPr>
        <w:t xml:space="preserve"> varied themes being generated. </w:t>
      </w:r>
    </w:p>
    <w:p w14:paraId="01FF10AC" w14:textId="77777777" w:rsidR="004C12CF" w:rsidRPr="00CA4ABC" w:rsidRDefault="004C12CF" w:rsidP="004053D7">
      <w:pPr>
        <w:spacing w:line="360" w:lineRule="auto"/>
        <w:rPr>
          <w:rFonts w:cstheme="minorHAnsi"/>
          <w:color w:val="000000" w:themeColor="text1"/>
        </w:rPr>
      </w:pPr>
    </w:p>
    <w:p w14:paraId="312F56C6" w14:textId="58E75585" w:rsidR="004C12CF" w:rsidRPr="00CA4ABC" w:rsidRDefault="0089655A" w:rsidP="004053D7">
      <w:pPr>
        <w:tabs>
          <w:tab w:val="left" w:pos="2267"/>
        </w:tabs>
        <w:spacing w:line="360" w:lineRule="auto"/>
        <w:rPr>
          <w:rFonts w:cstheme="minorHAnsi"/>
          <w:color w:val="000000" w:themeColor="text1"/>
          <w:shd w:val="clear" w:color="auto" w:fill="FFFFFF"/>
        </w:rPr>
      </w:pPr>
      <w:r w:rsidRPr="00CA4ABC">
        <w:rPr>
          <w:rFonts w:cstheme="minorHAnsi"/>
          <w:color w:val="000000" w:themeColor="text1"/>
        </w:rPr>
        <w:t>In the feasibility study</w:t>
      </w:r>
      <w:r w:rsidR="004C12CF" w:rsidRPr="00CA4ABC">
        <w:rPr>
          <w:rFonts w:cstheme="minorHAnsi"/>
          <w:color w:val="000000" w:themeColor="text1"/>
        </w:rPr>
        <w:t>, only weekday live sessions were delivered</w:t>
      </w:r>
      <w:r w:rsidR="00DA05F6" w:rsidRPr="00CA4ABC">
        <w:rPr>
          <w:rFonts w:cstheme="minorHAnsi"/>
          <w:color w:val="000000" w:themeColor="text1"/>
        </w:rPr>
        <w:t>,</w:t>
      </w:r>
      <w:r w:rsidR="004C12CF" w:rsidRPr="00CA4ABC">
        <w:rPr>
          <w:rFonts w:cstheme="minorHAnsi"/>
          <w:color w:val="000000" w:themeColor="text1"/>
        </w:rPr>
        <w:t xml:space="preserve"> and this could be addressed, especially as it was reported by some of the participants that they did the recordings on the weekend. In these instances, additional check-ins may need to be put in place to monitor those with a lower level of self-motivation to engage in the workouts. Evidence which supports the requirement for check-ins was a home-based exercise, long-term intervention study which f</w:t>
      </w:r>
      <w:r w:rsidR="00DA05F6" w:rsidRPr="00CA4ABC">
        <w:rPr>
          <w:rFonts w:cstheme="minorHAnsi"/>
          <w:color w:val="000000" w:themeColor="text1"/>
        </w:rPr>
        <w:t>ound</w:t>
      </w:r>
      <w:r w:rsidR="004C12CF" w:rsidRPr="00CA4ABC">
        <w:rPr>
          <w:rFonts w:cstheme="minorHAnsi"/>
          <w:color w:val="000000" w:themeColor="text1"/>
        </w:rPr>
        <w:t xml:space="preserve"> that adherence rates rapidly declined at the </w:t>
      </w:r>
      <w:r w:rsidR="00DA05F6" w:rsidRPr="00CA4ABC">
        <w:rPr>
          <w:rFonts w:cstheme="minorHAnsi"/>
          <w:color w:val="000000" w:themeColor="text1"/>
        </w:rPr>
        <w:t>one-year</w:t>
      </w:r>
      <w:r w:rsidR="004C12CF" w:rsidRPr="00CA4ABC">
        <w:rPr>
          <w:rFonts w:cstheme="minorHAnsi"/>
          <w:color w:val="000000" w:themeColor="text1"/>
        </w:rPr>
        <w:t xml:space="preserve"> mark, which coincided with the withdrawal of regular contact with the participants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{"citationItems":[{"id":"ITEM-1","itemData":{"DOI":"10.1161/01.CIR.91.10.2596","ISSN":"00097322","PMID":"7743622","abstract":"Background: Although exercise parameters such as intensity and format have been shown to influence exercise participation rates and physiological outcomes in the short term, few data are available evaluating their longer- term effects. The study objective was to determine the 2-year effects of differing intensities and formats of endurance exercise on exercise participation rates, fitness, and plasma HDL cholesterol levels among healthy older adults. Methods and Results: Higher-intensity, group-based exercise training; higher-intensity, home-based exercise; and lower-intensity, home- based exercise were compared in a 2-year randomized trial. Participants were 149 men and 120 postmenopausal women 50 to 65 years of age who were sedentary and free of cardiovascular disease. Recruitment was achieved through a random digit-dial community telephone survey and media promotion. All exercise occurred in community settings. For higher-intensity exercise training, three 40-minute endurance training sessions per week were prescribed at 73% to 88% of peak treadmill heart rate. For lower-intensity exercise, five 30-minute endurance training sessions per week were prescribed at 60% to 73% of peak treadmill heart rate. Treadmill exercise performance, lipoprotein levels and other heart disease risk factors, and exercise adherence were evaluated at baseline and across the 2-year period. Treadmill exercise test performance improved for all three training conditions during year 1 and was successfully maintained during year 2, particularly for subjects in the higher-intensity, home-based condition. Subjects in that condition also showed the greatest year 2 exercise adherence rates (P&lt;.003). Although no significant increases in HDL cholesterol were observed during year 1, by the end of year 2 subjects in the two home-based training conditions showed small but significant HDL cholesterol increases over baseline (P&lt;.01). The increases were particularly pronounced for subjects in the lower-intensity condition, whose exercise prescription required more frequent exercise sessions per week. For all exercise conditions, increases in HDL cholesterol were associated with decreases in waist-to-hip ratio in both men and women (P&lt;.04). Conclusions: While older adults can benefit from initiating a regular regimen of moderate- intensity exercise in terms of improved fitness levels and small improvements in HDL cholesterol levels, the time frame needed to achieve HDL cholesterol change (2 …","author":[{"dropping-particle":"","family":"King","given":"Abby C.","non-dropping-particle":"","parse-names":false,"suffix":""},{"dropping-particle":"","family":"Haskell","given":"William L.","non-dropping-particle":"","parse-names":false,"suffix":""},{"dropping-particle":"","family":"Young","given":"Deborah R.","non-dropping-particle":"","parse-names":false,"suffix":""},{"dropping-particle":"","family":"Oka","given":"Roberta K.","non-dropping-particle":"","parse-names":false,"suffix":""},{"dropping-particle":"","family":"Stefanick","given":"Marcia L.","non-dropping-particle":"","parse-names":false,"suffix":""}],"container-title":"Circulation","id":"ITEM-1","issue":"10","issued":{"date-parts":[["1995","5","15"]]},"page":"2596-2604","publisher":"Lippincott Williams and Wilkins","title":"Long-term effects of varying intensities and formats of physical activity on participation rates, fitness, and lipoproteins in men and women aged 50 to 65 years","type":"article-journal","volume":"91"},"uris":["http://www.mendeley.com/documents/?uuid=304ffb90-51cd-3f5e-9859-2ff850b6889f"]}],"mendeley":{"formattedCitation":"(326)","plainTextFormattedCitation":"(326)","previouslyFormattedCitation":"(325)"},"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(326)</w:t>
      </w:r>
      <w:r w:rsidR="004C12CF" w:rsidRPr="00CA4ABC">
        <w:rPr>
          <w:rFonts w:cstheme="minorHAnsi"/>
          <w:color w:val="000000" w:themeColor="text1"/>
        </w:rPr>
        <w:fldChar w:fldCharType="end"/>
      </w:r>
      <w:r w:rsidRPr="00CA4ABC">
        <w:rPr>
          <w:rFonts w:cstheme="minorHAnsi"/>
          <w:color w:val="000000" w:themeColor="text1"/>
        </w:rPr>
        <w:t>.</w:t>
      </w:r>
      <w:r w:rsidR="004C12CF" w:rsidRPr="00CA4ABC">
        <w:rPr>
          <w:rFonts w:cstheme="minorHAnsi"/>
          <w:color w:val="000000" w:themeColor="text1"/>
        </w:rPr>
        <w:t xml:space="preserve"> As such, it is likely to be important to consider and evaluate the importance of non-direct supervision, such as telephone check-ins. Telephone check-ins were used by Connell and Janevic </w:t>
      </w:r>
      <w:r w:rsidR="004C12C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{"citationItems":[{"id":"ITEM-1","itemData":{"DOI":"10.1177/0733464808326951","ISSN":"07334648","PMID":"21709757","abstract":"Despite the importance of self-care for dementia caregivers, few interventions have included a focus on health behaviors. This study reports outcomes of a telephone-based exercise intervention designed for women caring for a spouse with dementia. Caregivers (N = 137) were randomized to intervention or control conditions. Participants with at- or below-median exercise scores at baseline had a significantly greater increase in exercise at 6-month follow-up compared with their control counterparts. At 6 months, participants had greater reductions in perceived stress relative to controls. Participants also reported significantly greater increases in exercise self-efficacy than caregivers in the control group at both follow-up points. Results indicate that spouse caregivers are able to increase their physical activity and that a focus on exercise in multicomponent interventions may be beneficial. Debate and discussion are needed to inform expectations for program effects and their maintenance and to explore the interface between enhanced self-care and caregiving perceptions. © 2009 The Author(s).","author":[{"dropping-particle":"","family":"Connell","given":"Cathleen M.","non-dropping-particle":"","parse-names":false,"suffix":""},{"dropping-particle":"","family":"Janevic","given":"Mary R.","non-dropping-particle":"","parse-names":false,"suffix":""}],"container-title":"Journal of applied gerontology : the official journal of the Southern Gerontological Society","id":"ITEM-1","issue":"2","issued":{"date-parts":[["2009","4"]]},"page":"171","publisher":"NIH Public Access","title":"Effects of a Telephone-Based Exercise Intervention for Dementia Caregiving Wives: A Randomized Controlled Trial","type":"article-journal","volume":"28"},"uris":["http://www.mendeley.com/documents/?uuid=aa0feef9-f1e4-359e-8438-f44c17bdec5d"]}],"mendeley":{"formattedCitation":"(327)","plainTextFormattedCitation":"(327)","previouslyFormattedCitation":"(326)"},"properties":{"noteIndex":0},"schema":"https://github.com/citation-style-language/schema/raw/master/csl-citation.json"}</w:instrText>
      </w:r>
      <w:r w:rsidR="004C12CF" w:rsidRPr="00CA4ABC">
        <w:rPr>
          <w:rFonts w:cstheme="minorHAnsi"/>
          <w:color w:val="000000" w:themeColor="text1"/>
        </w:rPr>
        <w:fldChar w:fldCharType="separate"/>
      </w:r>
      <w:r w:rsidR="00821D82" w:rsidRPr="00821D82">
        <w:rPr>
          <w:rFonts w:cstheme="minorHAnsi"/>
          <w:noProof/>
          <w:color w:val="000000" w:themeColor="text1"/>
        </w:rPr>
        <w:t>(327)</w:t>
      </w:r>
      <w:r w:rsidR="004C12CF" w:rsidRPr="00CA4ABC">
        <w:rPr>
          <w:rFonts w:cstheme="minorHAnsi"/>
          <w:color w:val="000000" w:themeColor="text1"/>
        </w:rPr>
        <w:fldChar w:fldCharType="end"/>
      </w:r>
      <w:r w:rsidR="004C12CF" w:rsidRPr="00CA4ABC">
        <w:rPr>
          <w:rFonts w:cstheme="minorHAnsi"/>
          <w:color w:val="000000" w:themeColor="text1"/>
        </w:rPr>
        <w:t xml:space="preserve"> to promote home-based exercise engagement for caregivers. In total, participant</w:t>
      </w:r>
      <w:r w:rsidR="00DA05F6" w:rsidRPr="00CA4ABC">
        <w:rPr>
          <w:rFonts w:cstheme="minorHAnsi"/>
          <w:color w:val="000000" w:themeColor="text1"/>
        </w:rPr>
        <w:t>s</w:t>
      </w:r>
      <w:r w:rsidR="004C12CF" w:rsidRPr="00CA4ABC">
        <w:rPr>
          <w:rFonts w:cstheme="minorHAnsi"/>
          <w:color w:val="000000" w:themeColor="text1"/>
        </w:rPr>
        <w:t xml:space="preserve"> received </w:t>
      </w:r>
      <w:r w:rsidR="004C12CF" w:rsidRPr="00CA4ABC">
        <w:rPr>
          <w:rFonts w:cstheme="minorHAnsi"/>
          <w:color w:val="000000" w:themeColor="text1"/>
          <w:shd w:val="clear" w:color="auto" w:fill="FFFFFF"/>
        </w:rPr>
        <w:t>14 telephone calls from trained behaviour-change counsellors over a 6-month period. During the calls, participants set specific short-term goals for exercise, in collaboration with the counsellor. In comparison</w:t>
      </w:r>
      <w:r w:rsidRPr="00CA4ABC">
        <w:rPr>
          <w:rFonts w:cstheme="minorHAnsi"/>
          <w:color w:val="000000" w:themeColor="text1"/>
          <w:shd w:val="clear" w:color="auto" w:fill="FFFFFF"/>
        </w:rPr>
        <w:t>,</w:t>
      </w:r>
      <w:r w:rsidR="004C12CF" w:rsidRPr="00CA4ABC">
        <w:rPr>
          <w:rFonts w:cstheme="minorHAnsi"/>
          <w:color w:val="000000" w:themeColor="text1"/>
          <w:shd w:val="clear" w:color="auto" w:fill="FFFFFF"/>
        </w:rPr>
        <w:t xml:space="preserve"> the control group just received written materials about </w:t>
      </w:r>
      <w:r w:rsidR="00DA05F6" w:rsidRPr="00CA4ABC">
        <w:rPr>
          <w:rFonts w:cstheme="minorHAnsi"/>
          <w:color w:val="000000" w:themeColor="text1"/>
          <w:shd w:val="clear" w:color="auto" w:fill="FFFFFF"/>
        </w:rPr>
        <w:t xml:space="preserve">the </w:t>
      </w:r>
      <w:r w:rsidRPr="00CA4ABC">
        <w:rPr>
          <w:rFonts w:cstheme="minorHAnsi"/>
          <w:color w:val="000000" w:themeColor="text1"/>
          <w:shd w:val="clear" w:color="auto" w:fill="FFFFFF"/>
        </w:rPr>
        <w:t>exercise</w:t>
      </w:r>
      <w:r w:rsidR="004C12CF" w:rsidRPr="00CA4ABC">
        <w:rPr>
          <w:rFonts w:cstheme="minorHAnsi"/>
          <w:color w:val="000000" w:themeColor="text1"/>
          <w:shd w:val="clear" w:color="auto" w:fill="FFFFFF"/>
        </w:rPr>
        <w:t xml:space="preserve">. </w:t>
      </w:r>
      <w:r w:rsidRPr="00CA4ABC">
        <w:rPr>
          <w:rFonts w:cstheme="minorHAnsi"/>
          <w:color w:val="000000" w:themeColor="text1"/>
          <w:shd w:val="clear" w:color="auto" w:fill="FFFFFF"/>
        </w:rPr>
        <w:t>S</w:t>
      </w:r>
      <w:r w:rsidR="004C12CF" w:rsidRPr="00CA4ABC">
        <w:rPr>
          <w:rFonts w:cstheme="minorHAnsi"/>
          <w:color w:val="000000" w:themeColor="text1"/>
          <w:shd w:val="clear" w:color="auto" w:fill="FFFFFF"/>
        </w:rPr>
        <w:t>ignificant between-group differences were evident in weekly exercise scores based on time spent engaging in aerobic, stretching and strengthening activities (p=0.01)</w:t>
      </w:r>
      <w:r w:rsidRPr="00CA4ABC">
        <w:rPr>
          <w:rFonts w:cstheme="minorHAnsi"/>
          <w:color w:val="000000" w:themeColor="text1"/>
          <w:shd w:val="clear" w:color="auto" w:fill="FFFFFF"/>
        </w:rPr>
        <w:t>.</w:t>
      </w:r>
      <w:r w:rsidR="004C12CF" w:rsidRPr="00CA4ABC">
        <w:rPr>
          <w:rFonts w:cstheme="minorHAnsi"/>
          <w:color w:val="000000" w:themeColor="text1"/>
          <w:shd w:val="clear" w:color="auto" w:fill="FFFFFF"/>
        </w:rPr>
        <w:t xml:space="preserve"> </w:t>
      </w:r>
    </w:p>
    <w:p w14:paraId="0020C96D" w14:textId="77777777" w:rsidR="004C12CF" w:rsidRPr="00CA4ABC" w:rsidRDefault="004C12CF" w:rsidP="004053D7">
      <w:pPr>
        <w:spacing w:line="360" w:lineRule="auto"/>
        <w:rPr>
          <w:rFonts w:cstheme="minorHAnsi"/>
          <w:color w:val="000000" w:themeColor="text1"/>
        </w:rPr>
      </w:pPr>
    </w:p>
    <w:p w14:paraId="04DC1D7A" w14:textId="644D608E" w:rsidR="004C12CF" w:rsidRPr="00CA4ABC" w:rsidRDefault="004C12CF" w:rsidP="004053D7">
      <w:pPr>
        <w:spacing w:line="360" w:lineRule="auto"/>
        <w:rPr>
          <w:rFonts w:cstheme="minorHAnsi"/>
          <w:color w:val="000000" w:themeColor="text1"/>
        </w:rPr>
      </w:pPr>
      <w:r w:rsidRPr="00CA4ABC">
        <w:rPr>
          <w:rFonts w:cstheme="minorHAnsi"/>
          <w:color w:val="000000" w:themeColor="text1"/>
        </w:rPr>
        <w:t xml:space="preserve">Qualitative research has been criticised </w:t>
      </w:r>
      <w:r w:rsidR="00DA05F6" w:rsidRPr="00CA4ABC">
        <w:rPr>
          <w:rFonts w:cstheme="minorHAnsi"/>
          <w:color w:val="000000" w:themeColor="text1"/>
        </w:rPr>
        <w:t>as lacking</w:t>
      </w:r>
      <w:r w:rsidRPr="00CA4ABC">
        <w:rPr>
          <w:rFonts w:cstheme="minorHAnsi"/>
          <w:color w:val="000000" w:themeColor="text1"/>
        </w:rPr>
        <w:t xml:space="preserve"> scientific rigour and validity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{"citationItems":[{"id":"ITEM-1","itemData":{"DOI":"10.1136/EB-2015-102054","ISSN":"1367-6539","PMID":"25653237","abstract":"Evaluating the quality of research is essential if findings are to be utilised in practice and incorporated into care delivery. In a previous article we explored ‘bias’ across research designs and outlined strategies to minimise bias.1 The aim of this article is to further outline rigour, or the integrity in which a study is conducted, and ensure the credibility of findings in relation to qualitative research. Concepts such as reliability, validity and generalisability typically associated with quantitative research and alternative terminology will be compared in relation to their application to qualitative research. In addition, some of the strategies adopted by qualitative researchers to enhance the credibility of their research are outlined.\n\nAssessing the reliability of study findings requires researchers and health professionals to make judgements about the ‘soundness’ of the research in relation to …","author":[{"dropping-particle":"","family":"Noble","given":"Helen","non-dropping-particle":"","parse-names":false,"suffix":""},{"dropping-particle":"","family":"Smith","given":"Joanna","non-dropping-particle":"","parse-names":false,"suffix":""}],"container-title":"Evidence-Based Nursing","id":"ITEM-1","issue":"2","issued":{"date-parts":[["2015","4","1"]]},"page":"34-35","publisher":"Royal College of Nursing","title":"Issues of validity and reliability in qualitative research","type":"article-journal","volume":"18"},"uris":["http://www.mendeley.com/documents/?uuid=65569036-d093-329c-ba57-4386338062e5"]}],"mendeley":{"formattedCitation":"(328)","plainTextFormattedCitation":"(328)","previouslyFormattedCitation":"(327)"},"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(328)</w:t>
      </w:r>
      <w:r w:rsidRPr="00CA4ABC">
        <w:rPr>
          <w:rFonts w:cstheme="minorHAnsi"/>
          <w:color w:val="000000" w:themeColor="text1"/>
        </w:rPr>
        <w:fldChar w:fldCharType="end"/>
      </w:r>
      <w:r w:rsidRPr="00CA4ABC">
        <w:rPr>
          <w:rFonts w:cstheme="minorHAnsi"/>
          <w:color w:val="000000" w:themeColor="text1"/>
        </w:rPr>
        <w:t>. In particular</w:t>
      </w:r>
      <w:r w:rsidR="00DA05F6" w:rsidRPr="00CA4ABC">
        <w:rPr>
          <w:rFonts w:cstheme="minorHAnsi"/>
          <w:color w:val="000000" w:themeColor="text1"/>
        </w:rPr>
        <w:t>,</w:t>
      </w:r>
      <w:r w:rsidRPr="00CA4ABC">
        <w:rPr>
          <w:rFonts w:cstheme="minorHAnsi"/>
          <w:color w:val="000000" w:themeColor="text1"/>
        </w:rPr>
        <w:t xml:space="preserve"> it is suggested that it does not pose the same levels of objectivity, reliability and </w:t>
      </w:r>
      <w:r w:rsidRPr="00CA4ABC">
        <w:rPr>
          <w:rFonts w:cstheme="minorHAnsi"/>
          <w:color w:val="000000" w:themeColor="text1"/>
        </w:rPr>
        <w:lastRenderedPageBreak/>
        <w:t>validity associated with quantitative research. We conducted qualitative analysis alongside quantitative research</w:t>
      </w:r>
      <w:r w:rsidR="004C3E52" w:rsidRPr="00CA4ABC">
        <w:rPr>
          <w:rFonts w:cstheme="minorHAnsi"/>
          <w:color w:val="000000" w:themeColor="text1"/>
        </w:rPr>
        <w:t>,</w:t>
      </w:r>
      <w:r w:rsidRPr="00CA4ABC">
        <w:rPr>
          <w:rFonts w:cstheme="minorHAnsi"/>
          <w:color w:val="000000" w:themeColor="text1"/>
        </w:rPr>
        <w:t xml:space="preserve"> which may help address this concern. It was </w:t>
      </w:r>
      <w:r w:rsidR="00CA7F6E" w:rsidRPr="00CA4ABC">
        <w:rPr>
          <w:rFonts w:cstheme="minorHAnsi"/>
          <w:color w:val="000000" w:themeColor="text1"/>
        </w:rPr>
        <w:t>anticipated</w:t>
      </w:r>
      <w:r w:rsidRPr="00CA4ABC">
        <w:rPr>
          <w:rFonts w:cstheme="minorHAnsi"/>
          <w:color w:val="000000" w:themeColor="text1"/>
        </w:rPr>
        <w:t xml:space="preserve"> that this holistic approach would lead to in-depth data collection and allow the researcher to obtain as much information</w:t>
      </w:r>
      <w:r w:rsidR="00DA05F6" w:rsidRPr="00CA4ABC">
        <w:rPr>
          <w:rFonts w:cstheme="minorHAnsi"/>
          <w:color w:val="000000" w:themeColor="text1"/>
        </w:rPr>
        <w:t xml:space="preserve"> as possible</w:t>
      </w:r>
      <w:r w:rsidRPr="00CA4ABC">
        <w:rPr>
          <w:rFonts w:cstheme="minorHAnsi"/>
          <w:color w:val="000000" w:themeColor="text1"/>
        </w:rPr>
        <w:t xml:space="preserve"> to make conclusions about the feasibility of the trial and understand where improvements can be made. </w:t>
      </w:r>
    </w:p>
    <w:p w14:paraId="0B637601" w14:textId="77777777" w:rsidR="004C12CF" w:rsidRPr="00CA4ABC" w:rsidRDefault="004C12CF" w:rsidP="004053D7">
      <w:pPr>
        <w:spacing w:line="360" w:lineRule="auto"/>
        <w:rPr>
          <w:rFonts w:cstheme="minorHAnsi"/>
          <w:color w:val="000000" w:themeColor="text1"/>
        </w:rPr>
      </w:pPr>
    </w:p>
    <w:p w14:paraId="3F0B18D4" w14:textId="0214753E" w:rsidR="004C12CF" w:rsidRPr="00CA4ABC" w:rsidRDefault="004C12CF" w:rsidP="00357DD3">
      <w:pPr>
        <w:pStyle w:val="Heading3"/>
        <w:spacing w:line="360" w:lineRule="auto"/>
        <w:rPr>
          <w:rFonts w:asciiTheme="minorHAnsi" w:hAnsiTheme="minorHAnsi" w:cstheme="minorHAnsi"/>
          <w:color w:val="000000" w:themeColor="text1"/>
        </w:rPr>
      </w:pPr>
      <w:bookmarkStart w:id="358" w:name="_Toc135384392"/>
      <w:r w:rsidRPr="00CA4ABC">
        <w:rPr>
          <w:rFonts w:asciiTheme="minorHAnsi" w:hAnsiTheme="minorHAnsi" w:cstheme="minorHAnsi"/>
          <w:color w:val="000000" w:themeColor="text1"/>
        </w:rPr>
        <w:t>5.</w:t>
      </w:r>
      <w:r w:rsidR="001C06F3" w:rsidRPr="00CA4ABC">
        <w:rPr>
          <w:rFonts w:asciiTheme="minorHAnsi" w:hAnsiTheme="minorHAnsi" w:cstheme="minorHAnsi"/>
          <w:color w:val="000000" w:themeColor="text1"/>
        </w:rPr>
        <w:t>5</w:t>
      </w:r>
      <w:r w:rsidRPr="00CA4ABC">
        <w:rPr>
          <w:rFonts w:asciiTheme="minorHAnsi" w:hAnsiTheme="minorHAnsi" w:cstheme="minorHAnsi"/>
          <w:color w:val="000000" w:themeColor="text1"/>
        </w:rPr>
        <w:t>.3 Conclusions</w:t>
      </w:r>
      <w:bookmarkEnd w:id="358"/>
    </w:p>
    <w:p w14:paraId="27C45CB4" w14:textId="284DC796" w:rsidR="004C12CF" w:rsidRPr="00CA4ABC" w:rsidRDefault="004C12CF" w:rsidP="00357DD3">
      <w:pPr>
        <w:spacing w:line="360" w:lineRule="auto"/>
        <w:ind w:firstLine="720"/>
        <w:rPr>
          <w:rFonts w:cstheme="minorHAnsi"/>
          <w:color w:val="000000" w:themeColor="text1"/>
        </w:rPr>
        <w:sectPr w:rsidR="004C12CF" w:rsidRPr="00CA4ABC" w:rsidSect="00755CCD">
          <w:pgSz w:w="11900" w:h="16840"/>
          <w:pgMar w:top="1440" w:right="1440" w:bottom="1440" w:left="1440" w:header="708" w:footer="708" w:gutter="0"/>
          <w:cols w:space="708"/>
          <w:docGrid w:linePitch="360"/>
        </w:sectPr>
      </w:pPr>
      <w:r w:rsidRPr="00CA4ABC">
        <w:rPr>
          <w:rFonts w:cstheme="minorHAnsi"/>
          <w:color w:val="000000" w:themeColor="text1"/>
        </w:rPr>
        <w:t xml:space="preserve">This work used a deductive approach to narrow findings down and </w:t>
      </w:r>
      <w:r w:rsidR="006259F3" w:rsidRPr="00CA4ABC">
        <w:rPr>
          <w:rFonts w:cstheme="minorHAnsi"/>
          <w:color w:val="000000" w:themeColor="text1"/>
        </w:rPr>
        <w:t>understand if it is</w:t>
      </w:r>
      <w:r w:rsidRPr="00CA4ABC">
        <w:rPr>
          <w:rFonts w:cstheme="minorHAnsi"/>
          <w:color w:val="000000" w:themeColor="text1"/>
        </w:rPr>
        <w:t xml:space="preserve"> appropriate to </w:t>
      </w:r>
      <w:r w:rsidR="006259F3" w:rsidRPr="00CA4ABC">
        <w:rPr>
          <w:rFonts w:cstheme="minorHAnsi"/>
          <w:color w:val="000000" w:themeColor="text1"/>
        </w:rPr>
        <w:t xml:space="preserve">test a </w:t>
      </w:r>
      <w:r w:rsidRPr="00CA4ABC">
        <w:rPr>
          <w:rFonts w:cstheme="minorHAnsi"/>
          <w:color w:val="000000" w:themeColor="text1"/>
        </w:rPr>
        <w:t>specific hypothes</w:t>
      </w:r>
      <w:r w:rsidR="009841BB" w:rsidRPr="00CA4ABC">
        <w:rPr>
          <w:rFonts w:cstheme="minorHAnsi"/>
          <w:color w:val="000000" w:themeColor="text1"/>
        </w:rPr>
        <w:t>i</w:t>
      </w:r>
      <w:r w:rsidRPr="00CA4ABC">
        <w:rPr>
          <w:rFonts w:cstheme="minorHAnsi"/>
          <w:color w:val="000000" w:themeColor="text1"/>
        </w:rPr>
        <w:t>s via a full, larger-scale trial. The learnings from this feasibility</w:t>
      </w:r>
      <w:r w:rsidR="00CA7F6E" w:rsidRPr="00CA4ABC">
        <w:rPr>
          <w:rFonts w:cstheme="minorHAnsi"/>
          <w:color w:val="000000" w:themeColor="text1"/>
        </w:rPr>
        <w:t xml:space="preserve"> study</w:t>
      </w:r>
      <w:r w:rsidRPr="00CA4ABC">
        <w:rPr>
          <w:rFonts w:cstheme="minorHAnsi"/>
          <w:color w:val="000000" w:themeColor="text1"/>
        </w:rPr>
        <w:t xml:space="preserve"> will be carried forward to design a scalable trial, which will be outlined in the next chapter. </w:t>
      </w:r>
      <w:r w:rsidR="007B11A5" w:rsidRPr="00CA4ABC">
        <w:rPr>
          <w:rFonts w:cstheme="minorHAnsi"/>
          <w:color w:val="000000"/>
          <w:shd w:val="clear" w:color="auto" w:fill="FFFFFF"/>
        </w:rPr>
        <w:t>Notwithstanding, it is important to use the findings, particularly the qualitative analysis, to make necessary amendments to improve the trial design and address areas that did not meet the progression criteria</w:t>
      </w:r>
      <w:r w:rsidRPr="00CA4ABC">
        <w:rPr>
          <w:rFonts w:eastAsia="Times New Roman" w:cstheme="minorHAnsi"/>
          <w:color w:val="000000" w:themeColor="text1"/>
          <w:shd w:val="clear" w:color="auto" w:fill="FFFFFF"/>
          <w:lang w:eastAsia="en-GB"/>
        </w:rPr>
        <w:t>.</w:t>
      </w:r>
      <w:r w:rsidRPr="00CA4ABC">
        <w:rPr>
          <w:rFonts w:cstheme="minorHAnsi"/>
          <w:color w:val="000000" w:themeColor="text1"/>
        </w:rPr>
        <w:t xml:space="preserve"> The</w:t>
      </w:r>
      <w:r w:rsidR="004C3E52" w:rsidRPr="00CA4ABC">
        <w:rPr>
          <w:rFonts w:cstheme="minorHAnsi"/>
          <w:color w:val="000000" w:themeColor="text1"/>
        </w:rPr>
        <w:t xml:space="preserve"> main points </w:t>
      </w:r>
      <w:r w:rsidR="006259F3" w:rsidRPr="00CA4ABC">
        <w:rPr>
          <w:rFonts w:cstheme="minorHAnsi"/>
          <w:color w:val="000000" w:themeColor="text1"/>
        </w:rPr>
        <w:t xml:space="preserve">to address </w:t>
      </w:r>
      <w:r w:rsidR="00CA7F6E" w:rsidRPr="00CA4ABC">
        <w:rPr>
          <w:rFonts w:cstheme="minorHAnsi"/>
          <w:color w:val="000000" w:themeColor="text1"/>
        </w:rPr>
        <w:t>from</w:t>
      </w:r>
      <w:r w:rsidR="006259F3" w:rsidRPr="00CA4ABC">
        <w:rPr>
          <w:rFonts w:cstheme="minorHAnsi"/>
          <w:color w:val="000000" w:themeColor="text1"/>
        </w:rPr>
        <w:t xml:space="preserve"> the learnings obtained</w:t>
      </w:r>
      <w:r w:rsidR="007B11A5" w:rsidRPr="00CA4ABC">
        <w:rPr>
          <w:rFonts w:cstheme="minorHAnsi"/>
          <w:color w:val="000000" w:themeColor="text1"/>
        </w:rPr>
        <w:t xml:space="preserve"> </w:t>
      </w:r>
      <w:r w:rsidRPr="00CA4ABC">
        <w:rPr>
          <w:rFonts w:cstheme="minorHAnsi"/>
          <w:color w:val="000000" w:themeColor="text1"/>
        </w:rPr>
        <w:t xml:space="preserve">include: changing the protein supplement form, </w:t>
      </w:r>
      <w:r w:rsidR="006259F3" w:rsidRPr="00CA4ABC">
        <w:rPr>
          <w:rFonts w:cstheme="minorHAnsi"/>
          <w:color w:val="000000" w:themeColor="text1"/>
        </w:rPr>
        <w:t xml:space="preserve">recruiting a more diverse participant population, ensuring </w:t>
      </w:r>
      <w:r w:rsidR="007B11A5" w:rsidRPr="00CA4ABC">
        <w:rPr>
          <w:rFonts w:cstheme="minorHAnsi"/>
          <w:color w:val="000000" w:themeColor="text1"/>
        </w:rPr>
        <w:t xml:space="preserve">participants </w:t>
      </w:r>
      <w:r w:rsidR="006259F3" w:rsidRPr="00CA4ABC">
        <w:rPr>
          <w:rFonts w:cstheme="minorHAnsi"/>
          <w:color w:val="000000" w:themeColor="text1"/>
        </w:rPr>
        <w:t xml:space="preserve">would benefit the most from the interventions, </w:t>
      </w:r>
      <w:r w:rsidRPr="00CA4ABC">
        <w:rPr>
          <w:rFonts w:eastAsia="Times New Roman" w:cstheme="minorHAnsi"/>
          <w:color w:val="000000" w:themeColor="text1"/>
          <w:shd w:val="clear" w:color="auto" w:fill="FFFFFF"/>
          <w:lang w:eastAsia="en-GB"/>
        </w:rPr>
        <w:t>making the exercise videos and/or platform more accessible to everyone and providing more time slots to engage in live sessions</w:t>
      </w:r>
      <w:r w:rsidR="006259F3" w:rsidRPr="00CA4ABC">
        <w:rPr>
          <w:rFonts w:eastAsia="Times New Roman" w:cstheme="minorHAnsi"/>
          <w:color w:val="000000" w:themeColor="text1"/>
          <w:shd w:val="clear" w:color="auto" w:fill="FFFFFF"/>
          <w:lang w:eastAsia="en-GB"/>
        </w:rPr>
        <w:t xml:space="preserve">. </w:t>
      </w:r>
      <w:r w:rsidR="007B11A5" w:rsidRPr="00CA4ABC">
        <w:rPr>
          <w:rFonts w:eastAsia="Times New Roman" w:cstheme="minorHAnsi"/>
          <w:color w:val="000000" w:themeColor="text1"/>
          <w:shd w:val="clear" w:color="auto" w:fill="FFFFFF"/>
          <w:lang w:eastAsia="en-GB"/>
        </w:rPr>
        <w:t>The next</w:t>
      </w:r>
      <w:r w:rsidR="006259F3" w:rsidRPr="00CA4ABC">
        <w:rPr>
          <w:rFonts w:cstheme="minorHAnsi"/>
          <w:color w:val="000000" w:themeColor="text1"/>
        </w:rPr>
        <w:t xml:space="preserve"> steps should also extend the</w:t>
      </w:r>
      <w:r w:rsidRPr="00CA4ABC">
        <w:rPr>
          <w:rFonts w:cstheme="minorHAnsi"/>
          <w:color w:val="000000" w:themeColor="text1"/>
        </w:rPr>
        <w:t xml:space="preserve"> intervention trial duration</w:t>
      </w:r>
      <w:r w:rsidR="006259F3" w:rsidRPr="00CA4ABC">
        <w:rPr>
          <w:rFonts w:cstheme="minorHAnsi"/>
          <w:color w:val="000000" w:themeColor="text1"/>
        </w:rPr>
        <w:t xml:space="preserve"> to gain</w:t>
      </w:r>
      <w:r w:rsidR="007B11A5" w:rsidRPr="00CA4ABC">
        <w:rPr>
          <w:rFonts w:cstheme="minorHAnsi"/>
          <w:color w:val="000000" w:themeColor="text1"/>
        </w:rPr>
        <w:t xml:space="preserve"> an</w:t>
      </w:r>
      <w:r w:rsidR="006259F3" w:rsidRPr="00CA4ABC">
        <w:rPr>
          <w:rFonts w:cstheme="minorHAnsi"/>
          <w:color w:val="000000" w:themeColor="text1"/>
        </w:rPr>
        <w:t xml:space="preserve"> </w:t>
      </w:r>
      <w:r w:rsidR="007B11A5" w:rsidRPr="00CA4ABC">
        <w:rPr>
          <w:rFonts w:cstheme="minorHAnsi"/>
          <w:color w:val="000000" w:themeColor="text1"/>
        </w:rPr>
        <w:t>understanding</w:t>
      </w:r>
      <w:r w:rsidR="006259F3" w:rsidRPr="00CA4ABC">
        <w:rPr>
          <w:rFonts w:cstheme="minorHAnsi"/>
          <w:color w:val="000000" w:themeColor="text1"/>
        </w:rPr>
        <w:t xml:space="preserve"> </w:t>
      </w:r>
      <w:r w:rsidR="007B11A5" w:rsidRPr="00CA4ABC">
        <w:rPr>
          <w:rFonts w:cstheme="minorHAnsi"/>
          <w:color w:val="000000" w:themeColor="text1"/>
        </w:rPr>
        <w:t>of the</w:t>
      </w:r>
      <w:r w:rsidR="006259F3" w:rsidRPr="00CA4ABC">
        <w:rPr>
          <w:rFonts w:cstheme="minorHAnsi"/>
          <w:color w:val="000000" w:themeColor="text1"/>
        </w:rPr>
        <w:t xml:space="preserve"> longer-term engagement/motivation and</w:t>
      </w:r>
      <w:r w:rsidRPr="00CA4ABC">
        <w:rPr>
          <w:rFonts w:cstheme="minorHAnsi"/>
          <w:color w:val="000000" w:themeColor="text1"/>
        </w:rPr>
        <w:t xml:space="preserve"> ensur</w:t>
      </w:r>
      <w:r w:rsidR="007B11A5" w:rsidRPr="00CA4ABC">
        <w:rPr>
          <w:rFonts w:cstheme="minorHAnsi"/>
          <w:color w:val="000000" w:themeColor="text1"/>
        </w:rPr>
        <w:t>e</w:t>
      </w:r>
      <w:r w:rsidRPr="00CA4ABC">
        <w:rPr>
          <w:rFonts w:cstheme="minorHAnsi"/>
          <w:color w:val="000000" w:themeColor="text1"/>
        </w:rPr>
        <w:t xml:space="preserve"> progression is </w:t>
      </w:r>
      <w:r w:rsidR="006259F3" w:rsidRPr="00CA4ABC">
        <w:rPr>
          <w:rFonts w:cstheme="minorHAnsi"/>
          <w:color w:val="000000" w:themeColor="text1"/>
        </w:rPr>
        <w:t xml:space="preserve">still </w:t>
      </w:r>
      <w:r w:rsidRPr="00CA4ABC">
        <w:rPr>
          <w:rFonts w:cstheme="minorHAnsi"/>
          <w:color w:val="000000" w:themeColor="text1"/>
        </w:rPr>
        <w:t xml:space="preserve">achieved </w:t>
      </w:r>
      <w:r w:rsidR="006259F3" w:rsidRPr="00CA4ABC">
        <w:rPr>
          <w:rFonts w:cstheme="minorHAnsi"/>
          <w:color w:val="000000" w:themeColor="text1"/>
        </w:rPr>
        <w:t xml:space="preserve">using remote-based training protocols. </w:t>
      </w:r>
      <w:r w:rsidRPr="00CA4ABC">
        <w:rPr>
          <w:rFonts w:cstheme="minorHAnsi"/>
          <w:color w:val="000000" w:themeColor="text1"/>
        </w:rPr>
        <w:t xml:space="preserve">Although the digital health sphere has progressed, this remotely delivered intervention is still novel and addresses the importance </w:t>
      </w:r>
      <w:r w:rsidR="007B11A5" w:rsidRPr="00CA4ABC">
        <w:rPr>
          <w:rFonts w:cstheme="minorHAnsi"/>
          <w:color w:val="000000" w:themeColor="text1"/>
        </w:rPr>
        <w:t>of</w:t>
      </w:r>
      <w:r w:rsidRPr="00CA4ABC">
        <w:rPr>
          <w:rFonts w:cstheme="minorHAnsi"/>
          <w:color w:val="000000" w:themeColor="text1"/>
        </w:rPr>
        <w:t xml:space="preserve"> the need for trials delivered using online and home-based protocols, particularly for middle-aged adults. </w:t>
      </w:r>
      <w:r w:rsidR="0036226C" w:rsidRPr="00CA4ABC">
        <w:rPr>
          <w:rFonts w:cstheme="minorHAnsi"/>
          <w:color w:val="000000" w:themeColor="text1"/>
        </w:rPr>
        <w:t>A</w:t>
      </w:r>
      <w:r w:rsidRPr="00CA4ABC">
        <w:rPr>
          <w:rFonts w:cstheme="minorHAnsi"/>
          <w:color w:val="000000" w:themeColor="text1"/>
        </w:rPr>
        <w:t xml:space="preserve"> future study protocol design will be outlined in chapter 6</w:t>
      </w:r>
      <w:r w:rsidR="0036226C" w:rsidRPr="00CA4ABC">
        <w:rPr>
          <w:rFonts w:cstheme="minorHAnsi"/>
          <w:color w:val="000000" w:themeColor="text1"/>
        </w:rPr>
        <w:t>.</w:t>
      </w:r>
    </w:p>
    <w:p w14:paraId="7D39FB8F" w14:textId="77777777" w:rsidR="00310C71" w:rsidRPr="00CA4ABC" w:rsidRDefault="00310C71" w:rsidP="00310C71">
      <w:pPr>
        <w:pStyle w:val="Heading1"/>
        <w:spacing w:line="360" w:lineRule="auto"/>
        <w:rPr>
          <w:rFonts w:asciiTheme="minorHAnsi" w:hAnsiTheme="minorHAnsi" w:cstheme="minorHAnsi"/>
          <w:color w:val="000000" w:themeColor="text1"/>
          <w:sz w:val="32"/>
          <w:szCs w:val="32"/>
        </w:rPr>
      </w:pPr>
      <w:bookmarkStart w:id="359" w:name="_Toc135384393"/>
      <w:r w:rsidRPr="00CA4ABC">
        <w:rPr>
          <w:rFonts w:asciiTheme="minorHAnsi" w:hAnsiTheme="minorHAnsi" w:cstheme="minorHAnsi"/>
          <w:color w:val="000000" w:themeColor="text1"/>
          <w:sz w:val="32"/>
          <w:szCs w:val="32"/>
        </w:rPr>
        <w:lastRenderedPageBreak/>
        <w:t xml:space="preserve">Chapter 6: </w:t>
      </w:r>
      <w:r w:rsidRPr="00CA4ABC">
        <w:rPr>
          <w:rFonts w:asciiTheme="minorHAnsi" w:hAnsiTheme="minorHAnsi" w:cstheme="minorHAnsi"/>
          <w:color w:val="000000"/>
          <w:kern w:val="0"/>
          <w:sz w:val="32"/>
          <w:szCs w:val="32"/>
        </w:rPr>
        <w:t>A randomised controlled trial to assess the effectiveness of resistance exercise and protein remotely delivered to middle-aged adults for muscle function: a study protocol.</w:t>
      </w:r>
      <w:bookmarkEnd w:id="359"/>
    </w:p>
    <w:p w14:paraId="3996B7A1" w14:textId="674A3399" w:rsidR="007B11A5" w:rsidRPr="00CA4ABC" w:rsidRDefault="007B11A5" w:rsidP="007B11A5">
      <w:pPr>
        <w:pStyle w:val="Heading2"/>
        <w:rPr>
          <w:rFonts w:asciiTheme="minorHAnsi" w:hAnsiTheme="minorHAnsi" w:cstheme="minorHAnsi"/>
          <w:b/>
          <w:bCs/>
          <w:color w:val="000000" w:themeColor="text1"/>
        </w:rPr>
      </w:pPr>
      <w:bookmarkStart w:id="360" w:name="_Toc135384394"/>
      <w:r w:rsidRPr="00CA4ABC">
        <w:rPr>
          <w:rFonts w:asciiTheme="minorHAnsi" w:hAnsiTheme="minorHAnsi" w:cstheme="minorHAnsi"/>
          <w:b/>
          <w:bCs/>
          <w:color w:val="000000" w:themeColor="text1"/>
        </w:rPr>
        <w:t>6.1 Introduction</w:t>
      </w:r>
      <w:bookmarkEnd w:id="360"/>
    </w:p>
    <w:p w14:paraId="49A8FA28" w14:textId="0E2D3DE5" w:rsidR="007B11A5" w:rsidRPr="00CA4ABC" w:rsidRDefault="007B11A5" w:rsidP="007B11A5">
      <w:pPr>
        <w:rPr>
          <w:rFonts w:cstheme="minorHAnsi"/>
        </w:rPr>
      </w:pPr>
    </w:p>
    <w:p w14:paraId="64A099EF" w14:textId="4B1C15E5" w:rsidR="00683A57" w:rsidRPr="00CA4ABC" w:rsidRDefault="00683A57" w:rsidP="00CA7F6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cstheme="minorHAnsi"/>
          <w:color w:val="000000"/>
          <w14:ligatures w14:val="standardContextual"/>
        </w:rPr>
      </w:pPr>
      <w:r w:rsidRPr="00CA4ABC">
        <w:rPr>
          <w:rFonts w:cstheme="minorHAnsi"/>
        </w:rPr>
        <w:t xml:space="preserve">All the prior research performed in this thesis has been drawn upon to construct the protocol outlined in this chapter. The protocol uses insights from the literature to optimise interventions to promote MPS/prevent muscle loss, focusing on resistance training and protein strategies, including timing and dose considerations (Chapter 1.) </w:t>
      </w:r>
      <w:r w:rsidRPr="00CA4ABC">
        <w:rPr>
          <w:rFonts w:cstheme="minorHAnsi"/>
          <w:color w:val="000000"/>
          <w14:ligatures w14:val="standardContextual"/>
        </w:rPr>
        <w:t>It was identified that participants should be appropriately targeted to increase their response to the interventions, particularly protein supplementation (section 1.6.1).</w:t>
      </w:r>
      <w:r w:rsidR="00CA7F6E" w:rsidRPr="00CA4ABC">
        <w:rPr>
          <w:rFonts w:cstheme="minorHAnsi"/>
          <w:color w:val="000000"/>
          <w14:ligatures w14:val="standardContextual"/>
        </w:rPr>
        <w:t xml:space="preserve"> To address this,</w:t>
      </w:r>
      <w:r w:rsidRPr="00CA4ABC">
        <w:rPr>
          <w:rFonts w:cstheme="minorHAnsi"/>
        </w:rPr>
        <w:t xml:space="preserve"> low habitual protein consumers</w:t>
      </w:r>
      <w:r w:rsidR="00CA7F6E" w:rsidRPr="00CA4ABC">
        <w:rPr>
          <w:rFonts w:cstheme="minorHAnsi"/>
        </w:rPr>
        <w:t xml:space="preserve"> will be recruited</w:t>
      </w:r>
      <w:r w:rsidRPr="00CA4ABC">
        <w:rPr>
          <w:rFonts w:cstheme="minorHAnsi"/>
        </w:rPr>
        <w:t xml:space="preserve">. Furthermore, sedentary individuals and those from harder-to-reach populations will also be targeted. The use of </w:t>
      </w:r>
      <w:r w:rsidR="00964D3D" w:rsidRPr="00CA4ABC">
        <w:rPr>
          <w:rFonts w:cstheme="minorHAnsi"/>
        </w:rPr>
        <w:t xml:space="preserve">a </w:t>
      </w:r>
      <w:r w:rsidRPr="00CA4ABC">
        <w:rPr>
          <w:rFonts w:cstheme="minorHAnsi"/>
        </w:rPr>
        <w:t>protein screener tool which was amended and validated in chapter 3, can be used to check if participants meet the trial eligibility criteria, as it was concluded that it is suitable for use in research. Moreover, chapter 4 provided insight into recruitment strategies aimed at capturing individuals who are not likely to meet protein guidelines.</w:t>
      </w:r>
    </w:p>
    <w:p w14:paraId="003E5206" w14:textId="4076B911" w:rsidR="00683A57" w:rsidRPr="00CA4ABC" w:rsidRDefault="00683A57" w:rsidP="00683A57">
      <w:pPr>
        <w:spacing w:line="360" w:lineRule="auto"/>
        <w:rPr>
          <w:rFonts w:cstheme="minorHAnsi"/>
        </w:rPr>
      </w:pPr>
      <w:r w:rsidRPr="00CA4ABC">
        <w:rPr>
          <w:rFonts w:cstheme="minorHAnsi"/>
        </w:rPr>
        <w:t xml:space="preserve">The protocol outlined in this chapter progresses the feasibility trial (chapter 5) to a full-scale randomised control trial. Learnings, including qualitative findings, from chapter 5 were used to improve the trial design outlined (for example, the availability of more exercise class time slots.) When the progression criteria of the feasibility trial are met (green) or adequate (amber), none or minor changes </w:t>
      </w:r>
      <w:r w:rsidR="00964D3D" w:rsidRPr="00CA4ABC">
        <w:rPr>
          <w:rFonts w:cstheme="minorHAnsi"/>
        </w:rPr>
        <w:t>are</w:t>
      </w:r>
      <w:r w:rsidRPr="00CA4ABC">
        <w:rPr>
          <w:rFonts w:cstheme="minorHAnsi"/>
        </w:rPr>
        <w:t xml:space="preserve"> made, which will be explained in full in the protocol. To address the area of the feasibility trial that did not meet the progression criteria (red), a preliminary trial is outlined to identify a way of improving protein supplement acceptability. It is also </w:t>
      </w:r>
      <w:r w:rsidR="00D96BDD">
        <w:rPr>
          <w:rFonts w:cstheme="minorHAnsi"/>
        </w:rPr>
        <w:t>an</w:t>
      </w:r>
      <w:r w:rsidRPr="00CA4ABC">
        <w:rPr>
          <w:rFonts w:cstheme="minorHAnsi"/>
        </w:rPr>
        <w:t xml:space="preserve"> aim of the </w:t>
      </w:r>
      <w:r w:rsidR="003A4946">
        <w:rPr>
          <w:rFonts w:cstheme="minorHAnsi"/>
        </w:rPr>
        <w:t>proposed protocol</w:t>
      </w:r>
      <w:r w:rsidRPr="00CA4ABC">
        <w:rPr>
          <w:rFonts w:cstheme="minorHAnsi"/>
        </w:rPr>
        <w:t xml:space="preserve"> to investigate the effectiveness of the interventions</w:t>
      </w:r>
      <w:r w:rsidR="003A4946">
        <w:rPr>
          <w:rFonts w:cstheme="minorHAnsi"/>
        </w:rPr>
        <w:t>. Sufficient investigations to test this have not be</w:t>
      </w:r>
      <w:r w:rsidR="00D96BDD">
        <w:rPr>
          <w:rFonts w:cstheme="minorHAnsi"/>
        </w:rPr>
        <w:t>en previously</w:t>
      </w:r>
      <w:r w:rsidR="003A4946">
        <w:rPr>
          <w:rFonts w:cstheme="minorHAnsi"/>
        </w:rPr>
        <w:t xml:space="preserve"> carried out as this is not </w:t>
      </w:r>
      <w:r w:rsidRPr="00CA4ABC">
        <w:rPr>
          <w:rFonts w:cstheme="minorHAnsi"/>
        </w:rPr>
        <w:t>an element a feasibility trial need</w:t>
      </w:r>
      <w:r w:rsidR="003A4946">
        <w:rPr>
          <w:rFonts w:cstheme="minorHAnsi"/>
        </w:rPr>
        <w:t>s</w:t>
      </w:r>
      <w:r w:rsidRPr="00CA4ABC">
        <w:rPr>
          <w:rFonts w:cstheme="minorHAnsi"/>
        </w:rPr>
        <w:t xml:space="preserve"> to test.</w:t>
      </w:r>
    </w:p>
    <w:p w14:paraId="2F61222F" w14:textId="3D257F6A" w:rsidR="002E6E71" w:rsidRPr="00CA4ABC" w:rsidRDefault="00877915" w:rsidP="00635A2D">
      <w:pPr>
        <w:spacing w:line="360" w:lineRule="auto"/>
        <w:rPr>
          <w:rFonts w:cstheme="minorHAnsi"/>
        </w:rPr>
      </w:pPr>
      <w:r w:rsidRPr="00CA4ABC">
        <w:rPr>
          <w:rFonts w:cstheme="minorHAnsi"/>
        </w:rPr>
        <w:t xml:space="preserve"> </w:t>
      </w:r>
    </w:p>
    <w:p w14:paraId="57450713" w14:textId="25A6A74E" w:rsidR="007B11A5" w:rsidRDefault="00877915" w:rsidP="00A25E12">
      <w:pPr>
        <w:spacing w:line="360" w:lineRule="auto"/>
        <w:rPr>
          <w:rFonts w:cstheme="minorHAnsi"/>
        </w:rPr>
      </w:pPr>
      <w:r w:rsidRPr="00CA4ABC">
        <w:rPr>
          <w:rFonts w:cstheme="minorHAnsi"/>
        </w:rPr>
        <w:lastRenderedPageBreak/>
        <w:t>The Biomedical Central (BMC) encourage</w:t>
      </w:r>
      <w:r w:rsidR="00683A57" w:rsidRPr="00CA4ABC">
        <w:rPr>
          <w:rFonts w:cstheme="minorHAnsi"/>
        </w:rPr>
        <w:t>s</w:t>
      </w:r>
      <w:r w:rsidRPr="00CA4ABC">
        <w:rPr>
          <w:rFonts w:cstheme="minorHAnsi"/>
        </w:rPr>
        <w:t xml:space="preserve"> the publication of protocols in their open access peer review journal (BMC Public health, </w:t>
      </w:r>
      <w:hyperlink r:id="rId49" w:history="1">
        <w:r w:rsidRPr="00CA4ABC">
          <w:rPr>
            <w:rStyle w:val="Hyperlink"/>
            <w:rFonts w:cstheme="minorHAnsi"/>
          </w:rPr>
          <w:t>https://bmcpublichealth.biomedcentral.com/</w:t>
        </w:r>
      </w:hyperlink>
      <w:r w:rsidRPr="00CA4ABC">
        <w:rPr>
          <w:rFonts w:cstheme="minorHAnsi"/>
        </w:rPr>
        <w:t>), as they s</w:t>
      </w:r>
      <w:r w:rsidR="00A25E12" w:rsidRPr="00CA4ABC">
        <w:rPr>
          <w:rFonts w:cstheme="minorHAnsi"/>
        </w:rPr>
        <w:t>tate</w:t>
      </w:r>
      <w:r w:rsidRPr="00CA4ABC">
        <w:rPr>
          <w:rFonts w:cstheme="minorHAnsi"/>
        </w:rPr>
        <w:t xml:space="preserve"> this can improve the standard of medical research</w:t>
      </w:r>
      <w:r w:rsidR="00A25E12" w:rsidRPr="00CA4ABC">
        <w:rPr>
          <w:rFonts w:cstheme="minorHAnsi"/>
        </w:rPr>
        <w:t>.</w:t>
      </w:r>
    </w:p>
    <w:p w14:paraId="056D24EB" w14:textId="77777777" w:rsidR="00D96BDD" w:rsidRPr="00CA4ABC" w:rsidRDefault="00D96BDD" w:rsidP="00A25E12">
      <w:pPr>
        <w:spacing w:line="360" w:lineRule="auto"/>
        <w:rPr>
          <w:rFonts w:cstheme="minorHAnsi"/>
        </w:rPr>
      </w:pPr>
    </w:p>
    <w:p w14:paraId="34749BCE" w14:textId="56D25E19" w:rsidR="00310C71" w:rsidRPr="00CA4ABC" w:rsidRDefault="00310C71" w:rsidP="007B11A5">
      <w:pPr>
        <w:pStyle w:val="Heading3"/>
        <w:rPr>
          <w:rFonts w:asciiTheme="minorHAnsi" w:hAnsiTheme="minorHAnsi" w:cstheme="minorHAnsi"/>
          <w:b/>
          <w:bCs/>
          <w:color w:val="000000" w:themeColor="text1"/>
        </w:rPr>
      </w:pPr>
      <w:bookmarkStart w:id="361" w:name="_Toc135384395"/>
      <w:r w:rsidRPr="00CA4ABC">
        <w:rPr>
          <w:rFonts w:asciiTheme="minorHAnsi" w:hAnsiTheme="minorHAnsi" w:cstheme="minorHAnsi"/>
          <w:b/>
          <w:bCs/>
          <w:color w:val="000000" w:themeColor="text1"/>
        </w:rPr>
        <w:t>6.1</w:t>
      </w:r>
      <w:r w:rsidR="007B11A5" w:rsidRPr="00CA4ABC">
        <w:rPr>
          <w:rFonts w:asciiTheme="minorHAnsi" w:hAnsiTheme="minorHAnsi" w:cstheme="minorHAnsi"/>
          <w:b/>
          <w:bCs/>
          <w:color w:val="000000" w:themeColor="text1"/>
        </w:rPr>
        <w:t>.1</w:t>
      </w:r>
      <w:r w:rsidRPr="00CA4ABC">
        <w:rPr>
          <w:rFonts w:asciiTheme="minorHAnsi" w:hAnsiTheme="minorHAnsi" w:cstheme="minorHAnsi"/>
          <w:b/>
          <w:bCs/>
          <w:color w:val="000000" w:themeColor="text1"/>
        </w:rPr>
        <w:t xml:space="preserve"> Background and rationale.</w:t>
      </w:r>
      <w:bookmarkEnd w:id="361"/>
    </w:p>
    <w:p w14:paraId="7889F53D" w14:textId="5711E033" w:rsidR="00310C71" w:rsidRPr="00CA4ABC" w:rsidRDefault="00310C71" w:rsidP="00310C71">
      <w:pPr>
        <w:autoSpaceDE w:val="0"/>
        <w:autoSpaceDN w:val="0"/>
        <w:adjustRightInd w:val="0"/>
        <w:spacing w:line="360" w:lineRule="auto"/>
        <w:ind w:firstLine="720"/>
        <w:rPr>
          <w:rFonts w:cstheme="minorHAnsi"/>
          <w:color w:val="000000" w:themeColor="text1"/>
        </w:rPr>
      </w:pPr>
      <w:r w:rsidRPr="00CA4ABC">
        <w:rPr>
          <w:rFonts w:cstheme="minorHAnsi"/>
          <w:color w:val="000000" w:themeColor="text1"/>
        </w:rPr>
        <w:t>Muscle protein synthesis</w:t>
      </w:r>
      <w:r w:rsidR="00CA7F6E" w:rsidRPr="00CA4ABC">
        <w:rPr>
          <w:rFonts w:cstheme="minorHAnsi"/>
          <w:color w:val="000000" w:themeColor="text1"/>
        </w:rPr>
        <w:t xml:space="preserve"> (MPS)</w:t>
      </w:r>
      <w:r w:rsidRPr="00CA4ABC">
        <w:rPr>
          <w:rFonts w:cstheme="minorHAnsi"/>
          <w:color w:val="000000" w:themeColor="text1"/>
        </w:rPr>
        <w:t xml:space="preserve"> </w:t>
      </w:r>
      <w:r w:rsidR="00964D3D" w:rsidRPr="00CA4ABC">
        <w:rPr>
          <w:rFonts w:cstheme="minorHAnsi"/>
          <w:color w:val="000000" w:themeColor="text1"/>
        </w:rPr>
        <w:t>must</w:t>
      </w:r>
      <w:r w:rsidRPr="00CA4ABC">
        <w:rPr>
          <w:rFonts w:cstheme="minorHAnsi"/>
          <w:color w:val="000000" w:themeColor="text1"/>
        </w:rPr>
        <w:t xml:space="preserve"> exceed </w:t>
      </w:r>
      <w:r w:rsidR="00CA7F6E" w:rsidRPr="00CA4ABC">
        <w:rPr>
          <w:rFonts w:cstheme="minorHAnsi"/>
          <w:color w:val="000000" w:themeColor="text1"/>
        </w:rPr>
        <w:t>muscle protein breakdown (</w:t>
      </w:r>
      <w:r w:rsidRPr="00CA4ABC">
        <w:rPr>
          <w:rFonts w:cstheme="minorHAnsi"/>
          <w:color w:val="000000" w:themeColor="text1"/>
        </w:rPr>
        <w:t>MPB</w:t>
      </w:r>
      <w:r w:rsidR="00CA7F6E" w:rsidRPr="00CA4ABC">
        <w:rPr>
          <w:rFonts w:cstheme="minorHAnsi"/>
          <w:color w:val="000000" w:themeColor="text1"/>
        </w:rPr>
        <w:t>)</w:t>
      </w:r>
      <w:r w:rsidRPr="00CA4ABC">
        <w:rPr>
          <w:rFonts w:cstheme="minorHAnsi"/>
          <w:color w:val="000000" w:themeColor="text1"/>
        </w:rPr>
        <w:t xml:space="preserve"> to enhance skeletal muscle mass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{"citationItems":[{"id":"ITEM-1","itemData":{"DOI":"10.1113/JPHYSIOL.2011.225003","ISSN":"00223751","PMID":"22289911","abstract":"Muscle protein synthesis (MPS) is the driving force behind adaptive responses to exercise and represents a widely adopted proxy for gauging chronic efficacy of acute interventions, (i.e. exercise/nutrition). Recent findings in this arena have been progressive. Nutrient-driven increases in MPS are of finite duration (</w:instrText>
      </w:r>
      <w:r w:rsidR="00E86F8C">
        <w:rPr>
          <w:rFonts w:ascii="Cambria Math" w:hAnsi="Cambria Math" w:cs="Cambria Math"/>
          <w:color w:val="000000" w:themeColor="text1"/>
        </w:rPr>
        <w:instrText>∼</w:instrText>
      </w:r>
      <w:r w:rsidR="00E86F8C">
        <w:rPr>
          <w:rFonts w:cstheme="minorHAnsi"/>
          <w:color w:val="000000" w:themeColor="text1"/>
        </w:rPr>
        <w:instrText>1.5 h), switching off thereafter despite sustained amino acid availability and intramuscular anabolic signalling. Intriguingly, this 'muscle-full set-point' is delayed by resistance exercise (RE) (i.e. the feeding × exercise combination is 'more anabolic' than nutrition alone) even ≥24 h beyond a single exercise bout, casting doubt on the importance of nutrient timing vs. sufficiency per se. Studies manipulating exercise intensity/workload have shown that increases in MPS are negligible with RE at 20-40% but maximal at 70-90% of one-repetition maximum when workload is matched (according to load × repetition number). However, low-intensity exercise performed to failure equalises this response. Analysing distinct subcellular fractions (e.g. myofibrillar, sarcoplasmic, mitochondrial) may provide a readout of chronic exercise efficacy in addition to effect size in MPS per se, i.e. while 'mixed' MPS increases similarly with endurance and RE, increases in myofibrillar MPS are specific to RE, prophetic of adaptation (i.e. hypertrophy). Finally, the molecular regulation of MPS by exercise and its regulation via 'anabolic' hormones (e.g. IGF-1) has been questioned, leading to discovery of alternative mechanosensing-signalling to MPS. © 2012 The Authors. The Journal of Physiology © 2012 The Physiological Society.","author":[{"dropping-particle":"","family":"Atherton","given":"P. J.","non-dropping-particle":"","parse-names":false,"suffix":""},{"dropping-particle":"","family":"Smith","given":"K.","non-dropping-particle":"","parse-names":false,"suffix":""}],"container-title":"The Journal of Physiology","id":"ITEM-1","issue":"Pt 5","issued":{"date-parts":[["2012","3","3"]]},"page":"1049","publisher":"Wiley-Blackwell","title":"Muscle protein synthesis in response to nutrition and exercise","type":"article-journal","volume":"590"},"uris":["http://www.mendeley.com/documents/?uuid=32c0c90c-3af6-3894-9fea-ba1185500f52"]}],"mendeley":{"formattedCitation":"(133)","plainTextFormattedCitation":"(133)","previouslyFormattedCitation":"(133)"},"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(133)</w:t>
      </w:r>
      <w:r w:rsidRPr="00CA4ABC">
        <w:rPr>
          <w:rFonts w:cstheme="minorHAnsi"/>
          <w:color w:val="000000" w:themeColor="text1"/>
        </w:rPr>
        <w:fldChar w:fldCharType="end"/>
      </w:r>
      <w:r w:rsidRPr="00CA4ABC">
        <w:rPr>
          <w:rFonts w:cstheme="minorHAnsi"/>
          <w:color w:val="000000" w:themeColor="text1"/>
        </w:rPr>
        <w:t>. MPS can be triggered by anabolic stimuli, both of which protein and resistance exercise</w:t>
      </w:r>
      <w:r w:rsidR="00AF76E8" w:rsidRPr="00CA4ABC">
        <w:rPr>
          <w:rFonts w:cstheme="minorHAnsi"/>
          <w:color w:val="000000" w:themeColor="text1"/>
        </w:rPr>
        <w:t xml:space="preserve"> (RE)</w:t>
      </w:r>
      <w:r w:rsidRPr="00CA4ABC">
        <w:rPr>
          <w:rFonts w:cstheme="minorHAnsi"/>
          <w:color w:val="000000" w:themeColor="text1"/>
        </w:rPr>
        <w:t xml:space="preserve"> are classified as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{"citationItems":[{"id":"ITEM-1","itemData":{"DOI":"10.3390/nu4070740","ISSN":"2072-6643","PMID":"22852061","abstract":"A series of complex intracellular networks influence the regulation of skeletal muscle protein turnover. In recent years, studies have examined how cellular regulators of muscle protein turnover modulate metabolic mechanisms contributing to the loss, gain, or conservation of skeletal muscle mass. Exercise and amino acids both stimulate anabolic signaling potentially through several intracellular pathways including the mammalian target of rapamycin complex 1 and the mitogen activated protein kinase cell signaling cascades. As novel molecular regulators of muscle integrity continue to be explored, a contemporary analysis of the literature is required to understand the metabolic mechanisms by which contractile forces and amino acids affect cellular process that contribute to long-term adaptations and preservation of muscle mass. This article reviews the literature related to how exercise and amino acid availability affect cellular regulators of skeletal muscle mass, especially highlighting recent investigations that have identified mechanisms by which contractile forces and amino acids modulate muscle health. Furthermore, this review will explore integrated exercise and nutrition strategies that promote the maintenance of muscle health by optimizing exercise, and amino acid-induced cell signaling in aging adults susceptible to muscle loss.","author":[{"dropping-particle":"","family":"Pasiakos","given":"Stefan M","non-dropping-particle":"","parse-names":false,"suffix":""}],"container-title":"Nutrients","id":"ITEM-1","issue":"7","issued":{"date-parts":[["2012"]]},"page":"740-58","publisher":"Multidisciplinary Digital Publishing Institute  (MDPI)","title":"Exercise and amino acid anabolic cell signaling and the regulation of skeletal muscle mass.","type":"article-journal","volume":"4"},"uris":["http://www.mendeley.com/documents/?uuid=54082caf-9c9a-3753-8ecc-d1402dc48032"]},{"id":"ITEM-2","itemData":{"DOI":"10.1186/S12970-016-0118-Y","ISSN":"15502783","PMID":"26937223","abstract":"The mechanistic/mammalian target of rapamycin complex 1 (mTORC1) plays a pivotal role in the regulation of skeletal muscle protein synthesis. Activation of the complex leads to phosphorylation of two important sets of substrates, namely eIF4E binding proteins and ribosomal S6 kinases. Phosphorylation of these substrates then leads to an increase in protein synthesis, mainly by enhancing translation initiation. mTORC1 activity is regulated by several inputs, such as growth factors, energy status, amino acids and mechanical stimuli. Research in this field is rapidly evolving and unraveling how these inputs regulate the complex. Therefore this review attempts to provide a brief and up-to-date narrative on the regulation of this marvelous protein complex. Additionally, some sports supplements which have been shown to regulate mTORC1 activity are discussed.","author":[{"dropping-particle":"","family":"Bond","given":"Peter","non-dropping-particle":"","parse-names":false,"suffix":""}],"container-title":"Journal of the International Society of Sports Nutrition","id":"ITEM-2","issue":"1","issued":{"date-parts":[["2016","3","1"]]},"page":"8","publisher":"Taylor &amp; Francis","title":"Regulation of mTORC1 by growth factors, energy status, amino acids and mechanical stimuli at a glance","type":"article-journal","volume":"13"},"uris":["http://www.mendeley.com/documents/?uuid=c44755aa-0b47-36da-a26f-270025e73ea2"]}],"mendeley":{"formattedCitation":"(23,24)","plainTextFormattedCitation":"(23,24)","previouslyFormattedCitation":"(23,24)"},"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(23,24)</w:t>
      </w:r>
      <w:r w:rsidRPr="00CA4ABC">
        <w:rPr>
          <w:rFonts w:cstheme="minorHAnsi"/>
          <w:color w:val="000000" w:themeColor="text1"/>
        </w:rPr>
        <w:fldChar w:fldCharType="end"/>
      </w:r>
      <w:r w:rsidRPr="00CA4ABC">
        <w:rPr>
          <w:rFonts w:cstheme="minorHAnsi"/>
          <w:color w:val="000000" w:themeColor="text1"/>
        </w:rPr>
        <w:t xml:space="preserve"> although greater evidence for</w:t>
      </w:r>
      <w:r w:rsidR="00AF76E8" w:rsidRPr="00CA4ABC">
        <w:rPr>
          <w:rFonts w:cstheme="minorHAnsi"/>
          <w:color w:val="000000" w:themeColor="text1"/>
        </w:rPr>
        <w:t xml:space="preserve"> the anabolic actions of</w:t>
      </w:r>
      <w:r w:rsidRPr="00CA4ABC">
        <w:rPr>
          <w:rFonts w:cstheme="minorHAnsi"/>
          <w:color w:val="000000" w:themeColor="text1"/>
        </w:rPr>
        <w:t xml:space="preserve"> RE is available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{"citationItems":[{"id":"ITEM-1","itemData":{"DOI":"10.1093/ajcn/nqy192 LK  - http://ze6dt7rj9y.search.serialssolutions.com?sid=EMBASE&amp;issn=19383207&amp;id=doi:10.1093%2Fajcn%2Fnqy192&amp;atitle=Effects+of+protein+supplementation+on+lean+body+mass%2C+muscle+strength%2C+and+physical+performance+in+nonfrail+community-dwelling+older+adults%3A+A+systematic+review+and+meta-analysis&amp;stitle=Am.+J.+Clin.+Nutr.&amp;title=American+Journal+of+Clinical+Nutrition&amp;volume=108&amp;issue=5&amp;spage=1043&amp;epage=1059&amp;aulast=Ten+Haaf&amp;aufirst=Dominique+S.M.&amp;auinit=D.S.M.&amp;aufull=Ten+Haaf","ISSN":"1938-3207","PMID":"30475963","abstract":"Background: Increasing protein intake has been suggested as an effective strategy to ameliorate age-related loss of muscle mass and strength. Current reviews assessing the effect of protein supplementation are strongly influenced by the inclusion of studies with frail older adults. Objectives: We assessed the effect of protein supplementation on lean body mass, muscle strength, and physical performance in exclusively nonfrail community-dwelling older adults. Moreover, we assessed the superior effects of protein supplementation during concomitant resistance exercise training on muscle characteristics. Design: A systematic literature search was conducted on PubMed, Embase, and Web of Science up to 15 May 2018. We included randomized controlled trials that assessed the effect of protein supplementation on lean body mass, muscle thigh cross-sectional area, muscle strength, gait speed, and chair-rise ability and performed random-effects meta-analyses. Results: Data from 36 studies with 1682 participants showed no significant effects of protein supplementation on changes in lean body mass [standardized mean difference (SMD): 0.11; 95% CI: −0.06, 0.28], handgrip strength (SMD: 0.58; 95% CI: −0.08, 1.24), lower extremity muscle strength (SMD: 0.03; 95% CI: −0.20, 0.27), gait speed (SMD: 0.41; 95% CI: −0.04, 0.85), or chair-rise ability (SMD: 0.10; 95%: CI −0.08, 0.28) compared with a control condition in nonfrail community-dwelling older adults. Moreover, no superior effects of protein supplementation were found during concomitant resistance exercise training on muscle characteristics. Conclusions: Protein supplementation in nonfrail community-dwelling older adults does not lead to increases in lean body mass, muscle cross-sectional area, muscle strength, or physical performance compared with control conditions; nor does it exert superior effects when added to resistance exercise training. Habitual protein intakes of most study participants were already sufficient, and protein interventions differed in terms of type of protein, amount, and timing. Future research should clarify what specific protein supplementation protocol is beneficial for nonfrail community-dwelling older adults with low habitual protein intake.","author":[{"dropping-particle":"","family":"D.S.M.","given":"Ten Haaf","non-dropping-particle":"","parse-names":false,"suffix":""},{"dropping-particle":"","family":"M.A.H.","given":"Nuijten","non-dropping-particle":"","parse-names":false,"suffix":""},{"dropping-particle":"","family":"M.F.H.","given":"Maessen","non-dropping-particle":"","parse-names":false,"suffix":""},{"dropping-particle":"","family":"A.M.H.","given":"Horstman","non-dropping-particle":"","parse-names":false,"suffix":""},{"dropping-particle":"","family":"T.M.H.","given":"Eijsvogels","non-dropping-particle":"","parse-names":false,"suffix":""},{"dropping-particle":"","family":"M.T.E.","given":"Hopman","non-dropping-particle":"","parse-names":false,"suffix":""},{"dropping-particle":"","family":"Haaf","given":"Dominique S M","non-dropping-particle":"Ten","parse-names":false,"suffix":""},{"dropping-particle":"","family":"Nuijten","given":"Malou A H","non-dropping-particle":"","parse-names":false,"suffix":""},{"dropping-particle":"","family":"Maessen","given":"Martijn F H","non-dropping-particle":"","parse-names":false,"suffix":""},{"dropping-particle":"","family":"Horstman","given":"Astrid M H","non-dropping-particle":"","parse-names":false,"suffix":""},{"dropping-particle":"","family":"Eijsvogels","given":"Thijs M H","non-dropping-particle":"","parse-names":false,"suffix":""},{"dropping-particle":"","family":"Hopman","given":"Maria T E","non-dropping-particle":"","parse-names":false,"suffix":""}],"container-title":"American Journal of Clinical Nutrition","id":"ITEM-1","issue":"5","issued":{"date-parts":[["2018"]]},"page":"1043-1059","title":"Effects of protein supplementation on lean body mass, muscle strength, and physical performance in nonfrail community-dwelling older adults: A systematic review and meta-analysis","type":"article-journal","volume":"108"},"uris":["http://www.mendeley.com/documents/?uuid=774aad97-504f-348e-936c-66a9f1af8813"]},{"id":"ITEM-2","itemData":{"DOI":"10.1002/14651858.CD002759.pub2","ISSN":"14651858","PMID":"19588334","abstract":"BACKGROUND Muscle weakness in old age is associated with physical function decline. Progressive resistance strength training (PRT) exercises are designed to increase strength. OBJECTIVES To assess the effects of PRT on older people and identify adverse events. SEARCH STRATEGY We searched the Cochrane Bone, Joint and Muscle Trauma Group Specialized Register (to March 2007), the Cochrane Central Register of Controlled Trials (The Cochrane Library 2007, Issue 2), MEDLINE (1966 to May 01, 2008), EMBASE (1980 to February 06 2007), CINAHL (1982 to July 01 2007) and two other electronic databases. We also searched reference lists of articles, reviewed conference abstracts and contacted authors. SELECTION CRITERIA Randomised controlled trials reporting physical outcomes of PRT for older people were included. DATA COLLECTION AND ANALYSIS Two review authors independently selected trials, assessed trial quality and extracted data. Data were pooled where appropriate. MAIN RESULTS One hundred and twenty one trials with 6700 participants were included. In most trials, PRT was performed two to three times per week and at a high intensity. PRT resulted in a small but significant improvement in physical ability (33 trials, 2172 participants; SMD 0.14, 95% CI 0.05 to 0.22). Functional limitation measures also showed improvements: e.g. there was a modest improvement in gait speed (24 trials, 1179 participants, MD 0.08 m/s, 95% CI 0.04 to 0.12); and a moderate to large effect for getting out of a chair (11 trials, 384 participants, SMD -0.94, 95% CI -1.49 to -0.38). PRT had a large positive effect on muscle strength (73 trials, 3059 participants, SMD 0.84, 95% CI 0.67 to 1.00). Participants with osteoarthritis reported a reduction in pain following PRT(6 trials, 503 participants, SMD -0.30, 95% CI -0.48 to -0.13). There was no evidence from 10 other trials (587 participants) that PRT had an effect on bodily pain. Adverse events were poorly recorded but adverse events related to musculoskeletal complaints, such as joint pain and muscle soreness, were reported in many of the studies that prospectively defined and monitored these events. Serious adverse events were rare, and no serious events were reported to be directly related to the exercise programme. AUTHORS' CONCLUSIONS This review provides evidence that PRT is an effective intervention for improving physical functioning in older people, including improving strength and the performance of some simple and complex activit…","author":[{"dropping-particle":"","family":"Liu","given":"Chiung-ju","non-dropping-particle":"","parse-names":false,"suffix":""},{"dropping-particle":"","family":"Latham","given":"Nancy K","non-dropping-particle":"","parse-names":false,"suffix":""}],"container-title":"Cochrane Database of Systematic Reviews","id":"ITEM-2","issue":"3","issued":{"date-parts":[["2009","7","8"]]},"page":"CD002759","title":"Progressive resistance strength training for improving physical function in older adults","type":"article-journal"},"uris":["http://www.mendeley.com/documents/?uuid=8f25e460-4f7c-3bfa-9309-c24f51f48008"]},{"id":"ITEM-3","itemData":{"DOI":"10.1002/14651858.CD002759.pub2","ISSN":"1469493X","abstract":"Background: Muscle weakness in old age is associated with physical function decline. Progressive resistance strength training (PRT) exercises are designed to increase strength. Objectives: To assess the effects of PRT on older people and identify adverse events. Search strategy: We searched the Cochrane Bone, Joint and Muscle Trauma Group Specialized Register (to March 2007), the Cochrane Central Register of Controlled Trials (The Cochrane Library 2007, Issue 2), MEDLINE (1966 to May 01, 2008), EMBASE (1980 to February 06 2007), CINAHL (1982 to July 01 2007) and two other electronic databases. We also searched reference lists of articles, reviewed conference abstracts and contacted authors. Selection criteria: Randomised controlled trials reporting physical outcomes of PRT for older people were included. Data collection and analysis: Two review authors independently selected trials, assessed trial quality and extracted data. Data were pooled where appropriate. Main results: One hundred and twenty one trials with 6700 participants were included. In most trials, PRT was performed two to three times per week and at a high intensity. PRT resulted in a small but significant improvement in physical ability (33 trials, 2172 participants; SMD 0.14, 95% CI 0.05 to 0.22). Functional limitation measures also showed improvements: e.g. there was a modest improvement in gait speed (24 trials, 1179 participants, MD 0.08 m/s, 95% CI 0.04 to 0.12); and a moderate to large effect for getting out of a chair (11 trials, 384 participants, SMD -0.94, 95% CI -1.49 to -0.38). PRT had a large positive effect on muscle strength (73 trials, 3059 participants, SMD 0.84, 95% CI 0.67 to 1.00). Participants with osteoarthritis reported a reduction in pain following PRT(6 trials, 503 participants, SMD -0.30, 95% CI -0.48 to -0.13). There was no evidence from 10 other trials (587 participants) that PRT had an effect on bodily pain. Adverse events were poorly recorded but adverse events related to musculoskeletal complaints, such as joint pain and muscle soreness, were reported in many of the studies that prospectively defined and monitored these events. Serious adverse events were rare, and no serious events were reported to be directly related to the exercise programme. Authors' conclusions: This review provides evidence that PRT is an effective intervention for improving physical functioning in older people, including improving strength and the performance of some simple and complex …","author":[{"dropping-particle":"","family":"Liu","given":"Chiung Ju","non-dropping-particle":"","parse-names":false,"suffix":""},{"dropping-particle":"","family":"Latham","given":"Nancy K.","non-dropping-particle":"","parse-names":false,"suffix":""}],"container-title":"Cochrane Database of Systematic Reviews","id":"ITEM-3","issue":"3","issued":{"date-parts":[["2009"]]},"publisher":"John Wiley and Sons Ltd","title":"Progressive resistance strength training for improving physical function in older adults","type":"article"},"uris":["http://www.mendeley.com/documents/?uuid=e2240fdc-3a3f-341f-bb71-8e192e0451a1"]}],"mendeley":{"formattedCitation":"(96,127,329)","plainTextFormattedCitation":"(96,127,329)","previouslyFormattedCitation":"(96,127,328)"},"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(96,127,329)</w:t>
      </w:r>
      <w:r w:rsidRPr="00CA4ABC">
        <w:rPr>
          <w:rFonts w:cstheme="minorHAnsi"/>
          <w:color w:val="000000" w:themeColor="text1"/>
        </w:rPr>
        <w:fldChar w:fldCharType="end"/>
      </w:r>
      <w:r w:rsidRPr="00CA4ABC">
        <w:rPr>
          <w:rFonts w:cstheme="minorHAnsi"/>
          <w:color w:val="000000" w:themeColor="text1"/>
        </w:rPr>
        <w:t xml:space="preserve">. Notwithstanding, a synergistic effect of RE and protein on MPS has been suggested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{"citationItems":[{"id":"ITEM-1","itemData":{"DOI":"10.1007/s12603-019-1181-2","ISSN":"17604788","abstract":"Background: The loss of muscle mass, strength and function associated with increasing age has various health ramifications, including the elevated risk for falls, fractures, frailty, poor quality of life, and mortality. Several studies have confirmed the effects of protein supplementation and RT (resistance training) for this age-related change independently, but whether a combination of the two produces a stronger effect remains controversial. Objective: This study aims to explore whether a combination of protein supplementation and RT leads to reduction of muscle mass, strength and function in the elderly. Methods: We retrieved RCTs (randomized controlled trials) reporting the effects of protein supplementation combined with RT on muscle mass, strength and function in the elderly, published before May 2018 through PubMed, MEDLINE, Embase, and manual searches. Results: Twenty-one RCTs were included, involving 1,249 participants. The results showed that protein supplementation combine with RT significantly enhances the muscle mass and strength of the older adults, where FFM (fat-free mass) increased by 0.23 kg (95% CI: 0.09, 0.38; P=0.002), ASMM (appendicular skeletal muscle mass) by 0.39 kg (95% CI: 0.14, 0.64; P=0.002), handgrip strength by 0.29 kg (95% CI: 0.08, 0.50; P=0.008), knee extension strength by 0.27 kg (95% CI: 0.06, 0.47; P=0.013), leg press strength by 0.33 kg (95% CI: 0.01, 0.64; P=0.04), but no significant effects were seen on muscle function. Conclusion: Compared to simple RT, protein supplementation combine with RT is more effective in enhancing the muscle mass and strength in the elderly, and the findings do not support the benefit of combination treatment for muscle function.","author":[{"dropping-particle":"","family":"Hou","given":"L.","non-dropping-particle":"","parse-names":false,"suffix":""},{"dropping-particle":"","family":"Lei","given":"Y.","non-dropping-particle":"","parse-names":false,"suffix":""},{"dropping-particle":"","family":"Li","given":"X.","non-dropping-particle":"","parse-names":false,"suffix":""},{"dropping-particle":"","family":"Huo","given":"C.","non-dropping-particle":"","parse-names":false,"suffix":""},{"dropping-particle":"","family":"Jia","given":"X.","non-dropping-particle":"","parse-names":false,"suffix":""},{"dropping-particle":"","family":"Yang","given":"J.","non-dropping-particle":"","parse-names":false,"suffix":""},{"dropping-particle":"","family":"Xu","given":"R.","non-dropping-particle":"","parse-names":false,"suffix":""},{"dropping-particle":"","family":"Wang","given":"Xiao Ming","non-dropping-particle":"","parse-names":false,"suffix":""}],"container-title":"Journal of Nutrition, Health and Aging","id":"ITEM-1","issue":"5","issued":{"date-parts":[["2019","5","1"]]},"page":"451-458","publisher":"Springer-Verlag France","title":"Effect of Protein Supplementation Combined With Resistance Training on Muscle Mass, Strength and Function in the Elderly: A Systematic Review and Meta-Analysis","type":"article","volume":"23"},"uris":["http://www.mendeley.com/documents/?uuid=b586645b-fff4-3b24-8900-9eac52bf83be"]},{"id":"ITEM-2","itemData":{"DOI":"10.3390/nu11081713","ISSN":"20726643","abstract":"Aging and frailty are associated with a high risk of lean mass (LM) loss, which leads to physical disability and can be effectively alleviated by protein supplementation (PS) and muscle strengthening exercise (MSE). In this study, the associations between LM gain and PS + MSE efficacy (measured using physical outcomes) in elderly patients with a high risk of sarcopenia or frailty were identified. A comprehensive search of online databases was performed to identify randomized controlled trials (RCTs) reporting the efficacy of PS + MSE in elderly patients with sarcopenia or frailty. The included RCTs were analyzed using meta-analysis and risk of bias assessment. We finally included 19 RCTs in this meta-analysis with a median (range/total) Physiotherapy Evidence Database score of 7/10 (5–9/10). The PS + MSE group exhibited significant improvements in the whole-body LM (standard mean difference (SMD) = 0.66; p &lt; 0.00001), appendicular LM (SMD = 0.35; p &lt; 0.00001), leg strength (SMD = 0.65; p &lt; 0.00001), and walking capability (SMD = 0.33; p = 0.0006). Meta-regression analyses showed that changes in appendicular LM were significantly associated with the effect sizes of leg strength (β = 0.08; p = 0.003) and walking capability (β = 0.17; p = 0.04), respectively. Our findings suggest that LM gain after PS + MSE significantly contributes to the efficacy of the intervention in terms of muscle strength and physical mobility in elderly patients with a high risk of sarcopenia or frailty.","author":[{"dropping-particle":"De","family":"Liao","given":"Chun","non-dropping-particle":"","parse-names":false,"suffix":""},{"dropping-particle":"","family":"Chen","given":"Hung Chou","non-dropping-particle":"","parse-names":false,"suffix":""},{"dropping-particle":"","family":"Huang","given":"Shih Wei","non-dropping-particle":"","parse-names":false,"suffix":""},{"dropping-particle":"","family":"Liou","given":"Tsan Hon","non-dropping-particle":"","parse-names":false,"suffix":""}],"container-title":"Nutrients","id":"ITEM-2","issue":"8","issued":{"date-parts":[["2019"]]},"publisher":"MDPI AG","title":"The role of muscle mass gain following protein supplementation plus exercise therapy in older adults with sarcopenia and frailty risks: A systematic review and meta-regression analysis of randomized trials","type":"article","volume":"11"},"uris":["http://www.mendeley.com/documents/?uuid=82b083cb-a3e7-3333-b19f-221770e55065"]}],"mendeley":{"formattedCitation":"(137,138)","plainTextFormattedCitation":"(137,138)","previouslyFormattedCitation":"(137,138)"},"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(137,138)</w:t>
      </w:r>
      <w:r w:rsidRPr="00CA4ABC">
        <w:rPr>
          <w:rFonts w:cstheme="minorHAnsi"/>
          <w:color w:val="000000" w:themeColor="text1"/>
        </w:rPr>
        <w:fldChar w:fldCharType="end"/>
      </w:r>
      <w:r w:rsidR="00AF76E8" w:rsidRPr="00CA4ABC">
        <w:rPr>
          <w:rFonts w:cstheme="minorHAnsi"/>
          <w:color w:val="000000" w:themeColor="text1"/>
        </w:rPr>
        <w:t>,</w:t>
      </w:r>
      <w:r w:rsidRPr="00CA4ABC">
        <w:rPr>
          <w:rFonts w:cstheme="minorHAnsi"/>
          <w:color w:val="000000" w:themeColor="text1"/>
        </w:rPr>
        <w:t xml:space="preserve"> </w:t>
      </w:r>
      <w:r w:rsidR="003B15F8" w:rsidRPr="00CA4ABC">
        <w:rPr>
          <w:rFonts w:cstheme="minorHAnsi"/>
          <w:color w:val="000000" w:themeColor="text1"/>
        </w:rPr>
        <w:t>which</w:t>
      </w:r>
      <w:r w:rsidRPr="00CA4ABC">
        <w:rPr>
          <w:rFonts w:cstheme="minorHAnsi"/>
          <w:color w:val="000000" w:themeColor="text1"/>
        </w:rPr>
        <w:t xml:space="preserve"> may be dose-response dependent, based on protein intake</w:t>
      </w:r>
      <w:r w:rsidR="00B36E34" w:rsidRPr="00CA4ABC">
        <w:rPr>
          <w:rFonts w:cstheme="minorHAnsi"/>
          <w:color w:val="000000" w:themeColor="text1"/>
        </w:rPr>
        <w:t>s</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{"citationItems":[{"id":"ITEM-1","itemData":{"DOI":"10.1186/S40798-022-00508-W/TABLES/4","ISSN":"21989761","abstract":"Background: Protein supplementation augments muscle strength gain during resistance training. Although some studies focus on the dose-response relationship of total protein intake to muscle mass or strength, the detailed dose-response relationship between total protein intake and muscle strength increase is yet to be clarified, especially in the absence of resistance training. Objective: We aimed to assess the detailed dose-response relationship between protein supplementation and muscle strength, with and without resistance training. Design: Systematic review with meta-analysis. Data Sources: PubMed and Ichushi-Web (last accessed on March 23, 2022). Eligibility Criteria: Randomized controlled trials investigating the effects of protein intake on muscle strength. Synthesis Methods: A random-effects model and a spline model. Results: A total of 82 articles were obtained for meta-analyses, and data from 69 articles were used to create spline curves. Muscle strength increase was significantly augmented only with resistance training (MD 2.01%, 95% CI 1.09–2.93) and was not augmented if resistance training was absent (MD 0.13%, 95% CI − 1.53 to 1.79). In the dose-response analysis using a spline model, muscle strength increase with resistance training showed a dose-dependent positive association with total protein intake, which is 0.72% (95% CI 0.40–1.04%) increase in muscle strength per 0.1 g/kg body weight [BW]/d increase in total protein intake up to 1.5 g/kg BW/d, but no further gains were observed thereafter. Conclusion: Concurrent use of resistance training is essential for protein supplementation to improve muscle strength. This study indicates that 1.5 g/kg BW/d may be the most appropriate amount of total protein intake for maintaining and augmenting muscle strength along with resistance training.","author":[{"dropping-particle":"","family":"Tagawa","given":"Ryoichi","non-dropping-particle":"","parse-names":false,"suffix":""},{"dropping-particle":"","family":"Watanabe","given":"Daiki","non-dropping-particle":"","parse-names":false,"suffix":""},{"dropping-particle":"","family":"Ito","given":"Kyoko","non-dropping-particle":"","parse-names":false,"suffix":""},{"dropping-particle":"","family":"Otsuyama","given":"Takeru","non-dropping-particle":"","parse-names":false,"suffix":""},{"dropping-particle":"","family":"Nakayama","given":"Kyosuke","non-dropping-particle":"","parse-names":false,"suffix":""},{"dropping-particle":"","family":"Sanbongi","given":"Chiaki","non-dropping-particle":"","parse-names":false,"suffix":""},{"dropping-particle":"","family":"Miyachi","given":"Motohiko","non-dropping-particle":"","parse-names":false,"suffix":""}],"container-title":"Sports Medicine - Open","id":"ITEM-1","issue":"1","issued":{"date-parts":[["2022","12","1"]]},"page":"1-12","publisher":"Springer Science and Business Media Deutschland GmbH","title":"Synergistic Effect of Increased Total Protein Intake and Strength Training on Muscle Strength: A Dose-Response Meta-analysis of Randomized Controlled Trials","type":"article-journal","volume":"8"},"uris":["http://www.mendeley.com/documents/?uuid=b01cdf4a-33b3-3309-8b93-3f1a7f4b7a87"]}],"mendeley":{"formattedCitation":"(330)","plainTextFormattedCitation":"(330)","previouslyFormattedCitation":"(329)"},"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(330)</w:t>
      </w:r>
      <w:r w:rsidRPr="00CA4ABC">
        <w:rPr>
          <w:rFonts w:cstheme="minorHAnsi"/>
          <w:color w:val="000000" w:themeColor="text1"/>
        </w:rPr>
        <w:fldChar w:fldCharType="end"/>
      </w:r>
      <w:r w:rsidRPr="00CA4ABC">
        <w:rPr>
          <w:rFonts w:cstheme="minorHAnsi"/>
          <w:color w:val="000000" w:themeColor="text1"/>
        </w:rPr>
        <w:t xml:space="preserve">. This interactive relationship may be particularly important as we age, as the muscle becomes more resistant to anabolic stimuli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{"citationItems":[{"id":"ITEM-1","itemData":{"DOI":"10.1186/1743-7075-8-68","ISSN":"1743-7075","abstract":"Age-related muscle wasting (sarcopenia) is accompanied by a loss of strength which can compromise the functional abilities of the elderly. Muscle proteins are in a dynamic equilibrium between their respective rates of synthesis and breakdown. It has been suggested that age-related sarcopenia is due to: i) elevated basal-fasted rates of muscle protein breakdown, ii) a reduction in basal muscle protein synthesis (MPS), or iii) a combination of the two factors. However, basal rates of muscle protein synthesis and breakdown are unchanged with advancing healthy age. Instead, it appears that the muscles of the elderly are resistant to normally robust anabolic stimuli such as amino acids and resistance exercise. Ageing muscle is less sensitive to lower doses of amino acids than the young and may require higher quantities of protein to acutely stimulate equivalent muscle protein synthesis above rest and accrue muscle proteins. With regard to dietary protein recommendations, emerging evidence suggests that the elderly may need to distribute protein intake evenly throughout the day, so as to promote an optimal per meal stimulation of MPS. The branched-chain amino acid leucine is thought to play a central role in mediating mRNA translation for MPS, and the elderly should ensure sufficient leucine is provided with dietary protein intake. With regards to physical activity, lower, than previously realized, intensity high-volume resistance exercise can stimulate a robust muscle protein synthetic response similar to traditional high-intensity low volume training, which may be beneficial for older adults. Resistance exercise combined with amino acid ingestion elicits the greatest anabolic response and may assist elderly in producing a 'youthful' muscle protein synthetic response provided sufficient protein is ingested following exercise.","author":[{"dropping-particle":"","family":"Breen","given":"Leigh","non-dropping-particle":"","parse-names":false,"suffix":""},{"dropping-particle":"","family":"Phillips","given":"Stuart M","non-dropping-particle":"","parse-names":false,"suffix":""}],"container-title":"Nutrition &amp; Metabolism","id":"ITEM-1","issue":"1","issued":{"date-parts":[["2011","10","5"]]},"page":"68","publisher":"BioMed Central","title":"Skeletal muscle protein metabolism in the elderly: Interventions to counteract the 'anabolic resistance' of ageing","type":"article-journal","volume":"8"},"uris":["http://www.mendeley.com/documents/?uuid=a35c3bde-8b49-3b9b-9580-8031bc23acea"]}],"mendeley":{"formattedCitation":"(97)","plainTextFormattedCitation":"(97)","previouslyFormattedCitation":"(97)"},"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(97)</w:t>
      </w:r>
      <w:r w:rsidRPr="00CA4ABC">
        <w:rPr>
          <w:rFonts w:cstheme="minorHAnsi"/>
          <w:color w:val="000000" w:themeColor="text1"/>
        </w:rPr>
        <w:fldChar w:fldCharType="end"/>
      </w:r>
      <w:r w:rsidRPr="00CA4ABC">
        <w:rPr>
          <w:rFonts w:cstheme="minorHAnsi"/>
          <w:color w:val="000000" w:themeColor="text1"/>
        </w:rPr>
        <w:t xml:space="preserve">. </w:t>
      </w:r>
      <w:r w:rsidR="00AF76E8" w:rsidRPr="00CA4ABC">
        <w:rPr>
          <w:rFonts w:cstheme="minorHAnsi"/>
          <w:color w:val="000000" w:themeColor="text1"/>
        </w:rPr>
        <w:t xml:space="preserve">Muscle </w:t>
      </w:r>
      <w:r w:rsidRPr="00CA4ABC">
        <w:rPr>
          <w:rFonts w:cstheme="minorHAnsi"/>
          <w:color w:val="000000" w:themeColor="text1"/>
        </w:rPr>
        <w:t xml:space="preserve">losses begin during </w:t>
      </w:r>
      <w:r w:rsidR="00AF76E8" w:rsidRPr="00CA4ABC">
        <w:rPr>
          <w:rFonts w:cstheme="minorHAnsi"/>
          <w:color w:val="000000" w:themeColor="text1"/>
        </w:rPr>
        <w:t>middle age</w:t>
      </w:r>
      <w:r w:rsidRPr="00CA4ABC">
        <w:rPr>
          <w:rFonts w:cstheme="minorHAnsi"/>
          <w:color w:val="000000" w:themeColor="text1"/>
        </w:rPr>
        <w:t xml:space="preserve"> and then accelerate </w:t>
      </w:r>
      <w:r w:rsidR="00AF76E8" w:rsidRPr="00CA4ABC">
        <w:rPr>
          <w:rFonts w:cstheme="minorHAnsi"/>
          <w:color w:val="000000" w:themeColor="text1"/>
        </w:rPr>
        <w:t>faster</w:t>
      </w:r>
      <w:r w:rsidRPr="00CA4ABC">
        <w:rPr>
          <w:rFonts w:cstheme="minorHAnsi"/>
          <w:color w:val="000000" w:themeColor="text1"/>
        </w:rPr>
        <w:t xml:space="preserve"> with advancing age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{"citationItems":[{"id":"ITEM-1","itemData":{"DOI":"10.1007/S00223-017-0277-0","ISSN":"1432-0827","PMID":"28421264","abstract":"Sarcopenia is an age-related syndrome characterised by progressive and generalised loss of skeletal muscle mass and strength; it is a major contributor to the risk of physical frailty, functional impairment in older people, poor health-related quality of life and premature death. Many different definitions have been used to describe sarcopenia and have resulted in varying estimates of prevalence of the condition. The most recent attempts of definitions have tried to integrate information on muscle mass, strength and physical function and provide a definition that is useful in both research and clinical settings. This review focuses on the epidemiology of the three distinct physiological components of sarcopenia, and highlights the similarities and differences between their patterns of variation with age, gender, geography and time and the individual risk factors that cluster selectively with muscle mass, strength and physical function. Methods used to measure muscle mass, strength and physical functioning and how differences in these approaches can contribute to the varying prevalence rates will also be described. The evidence for this review was gathered by undertaking a systematic search of the literature. The descriptive characteristics of muscle mass, strength and function described in this review point to the urgent need for a consensual definition of sarcopenia incorporating these parameters.","author":[{"dropping-particle":"","family":"Shaw","given":"S. C.","non-dropping-particle":"","parse-names":false,"suffix":""},{"dropping-particle":"","family":"Dennison","given":"E. M.","non-dropping-particle":"","parse-names":false,"suffix":""},{"dropping-particle":"","family":"Cooper","given":"C.","non-dropping-particle":"","parse-names":false,"suffix":""}],"container-title":"Calcified tissue international","id":"ITEM-1","issue":"3","issued":{"date-parts":[["2017","9","1"]]},"page":"229-247","publisher":"Calcif Tissue Int","title":"Epidemiology of Sarcopenia: Determinants Throughout the Lifecourse","type":"article-journal","volume":"101"},"uris":["http://www.mendeley.com/documents/?uuid=f8de4482-9aa2-38f5-818f-02bf36dab9ce"]}],"mendeley":{"formattedCitation":"(68)","plainTextFormattedCitation":"(68)","previouslyFormattedCitation":"(68)"},"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(68)</w:t>
      </w:r>
      <w:r w:rsidRPr="00CA4ABC">
        <w:rPr>
          <w:rFonts w:cstheme="minorHAnsi"/>
          <w:color w:val="000000" w:themeColor="text1"/>
        </w:rPr>
        <w:fldChar w:fldCharType="end"/>
      </w:r>
      <w:r w:rsidR="003B15F8" w:rsidRPr="00CA4ABC">
        <w:rPr>
          <w:rFonts w:cstheme="minorHAnsi"/>
          <w:color w:val="000000" w:themeColor="text1"/>
        </w:rPr>
        <w:t xml:space="preserve"> and can eventually lead to the development of sarcopenia (8)</w:t>
      </w:r>
      <w:r w:rsidRPr="00CA4ABC">
        <w:rPr>
          <w:rFonts w:cstheme="minorHAnsi"/>
          <w:color w:val="000000" w:themeColor="text1"/>
        </w:rPr>
        <w:t>. Sarcopenia research is predominantly done in older adults, who may have already entered a frailty progression pathway</w:t>
      </w:r>
      <w:r w:rsidR="00BE531D" w:rsidRPr="00CA4ABC">
        <w:rPr>
          <w:rFonts w:cstheme="minorHAnsi"/>
          <w:color w:val="000000" w:themeColor="text1"/>
        </w:rPr>
        <w:t xml:space="preserve"> </w:t>
      </w:r>
      <w:r w:rsidR="00BE531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{"citationItems":[{"id":"ITEM-1","itemData":{"DOI":"10.1093/AGEING/AFY106","ISSN":"0002-0729","PMID":"30052707","abstract":"Background sarcopenia in ageing is a progressive decrease in muscle mass, strength and/or physical function. This review aims to summarise the definitions of sarcopenia in community-dwelling older adults and explore similarities and differences in prevalence estimates by definition. Methods a systematic review was conducted to identify articles which estimated sarcopenia prevalence in older populations using search terms for sarcopenia and muscle mass. Overall prevalence for each sarcopenia definition was estimated stratified by sex and ethnicity. Secondary analyses explored differences between studies and within definitions, including participant age, muscle mass measurement techniques and thresholds for muscle mass and gait speed. Results in 109 included articles, eight definitions of sarcopenia were identified. The lowest pooled prevalence estimates came from the European Working Group on Sarcopenia/Asian Working Group on Sarcopenia (12.9%, 95% confidence interval: 9.9-15.9%), International Working Group on Sarcopenia (9.9%, 3.2-16.6%) and Foundation for the National Institutes of Health (18.6%, 11.8-25.5%) definitions. The highest prevalence estimates were for the appendicular lean mass (ALM)/weight (40.4%, 19.5-61.2%), ALM/height (30.4%, 20.4-40.3%), ALM regressed on height and weight (30.4%, 20.4-40.3%) and ALM / body mass index (24.2%, 18.3-30.1%) definitions. Within definitions, the age of study participants and the muscle mass cut points used were substantive sources of between-study differences. Conclusion estimates of sarcopenia prevalence vary from 9.9 to 40.4%, depending on the definition used. Significant differences in prevalence exist within definitions across populations. This lack of agreement between definitions needs to be better understood before sarcopenia can be appropriately used in a clinical context.","author":[{"dropping-particle":"","family":"Mayhew","given":"A. J.","non-dropping-particle":"","parse-names":false,"suffix":""},{"dropping-particle":"","family":"Amog","given":"K.","non-dropping-particle":"","parse-names":false,"suffix":""},{"dropping-particle":"","family":"Phillips","given":"S.","non-dropping-particle":"","parse-names":false,"suffix":""},{"dropping-particle":"","family":"Parise","given":"G.","non-dropping-particle":"","parse-names":false,"suffix":""},{"dropping-particle":"","family":"McNicholas","given":"P. D.","non-dropping-particle":"","parse-names":false,"suffix":""},{"dropping-particle":"","family":"Souza","given":"R. J.","non-dropping-particle":"De","parse-names":false,"suffix":""},{"dropping-particle":"","family":"Thabane","given":"L.","non-dropping-particle":"","parse-names":false,"suffix":""},{"dropping-particle":"","family":"Raina","given":"P.","non-dropping-particle":"","parse-names":false,"suffix":""}],"container-title":"Age and Ageing","id":"ITEM-1","issue":"1","issued":{"date-parts":[["2019","1","1"]]},"page":"48-56","publisher":"Oxford Academic","title":"The prevalence of sarcopenia in community-dwelling older adults, an exploration of differences between studies and within definitions: a systematic review and meta-analyses","type":"article-journal","volume":"48"},"uris":["http://www.mendeley.com/documents/?uuid=5919f488-79b7-3bf7-b138-7bcb39d3c6c5"]},{"id":"ITEM-2","itemData":{"DOI":"10.1186/S40200-017-0302-X","ISSN":"22516581","PMID":"28523252","abstract":"Background: Sarcopenia, an age-related decline in muscle mass and function, is one of the most important health problems in elderly with a high rate of adverse outcomes. However, several studies have investigated the prevalence of sarcopenia in the world, the results have been inconsistent. The current systematic review and meta- analysis study was conducted to estimate the overall prevalence of sarcopenia in both genders in different regions of the world. Methods: Electronic databases, including MEDLINE (via PubMed), SCOPUS and Web of Science were searched between January 2009 and December 2016. The population- based studies that reported the prevalence of sarcopenia in healthy adults aged ≥ 60 years using the European Working Group on Sarcopenia in Older People (EWGSOP), the International Working Group on Sarcopenia (IWGS) and Asian Working Group for Sarcopenia (AWGS) definitions, were selected. According to these consensual definitions, sarcopenia was defined by presence of low muscle mass (adjusted appendicular muscle mass for height) and muscle strength (handgrip strength) or physical performance (the usual gait speed). The random effect model was used for estimation the prevalence of sarcopenia. The sex-specific prevalence of sarcopenia and 95% confidence interval (CI) were calculated using the Binomial Exact Method. Heterogeneity was assessed by subgroup analysis. Results: Thirty- five articles met our inclusion criteria, with a total of 58404 individuals. The overall estimates of prevalence was 10% (95% CI: 8-12%) in men and 10% (95% CI: 8-13%) in women, respectively. The prevalence was higher among non- Asian than Asian individuals in both genders especially, when the Bio-electrical Impedance Analysis (BIA) was used to measure muscle mass (19% vs 10% in men; 20% vs 11% in women). Conclusion: Despite the differences encountered between the studies, regarding diagnostic tools used to measure of muscle mass and different regions of the world for estimating parameters of sarcopenia, present systematic review revealed that a substantial proportion of the old people has sarcopenia, even in healthy populations. However, sarcopenia is as a consequence of the aging progress, early diagnosis can prevent some adverse outcomes.","author":[{"dropping-particle":"","family":"Shafiee","given":"Gita","non-dropping-particle":"","parse-names":false,"suffix":""},{"dropping-particle":"","family":"Keshtkar","given":"Abbasali","non-dropping-particle":"","parse-names":false,"suffix":""},{"dropping-particle":"","family":"Soltani","given":"Akbar","non-dropping-particle":"","parse-names":false,"suffix":""},{"dropping-particle":"","family":"Ahadi","given":"Zeinab","non-dropping-particle":"","parse-names":false,"suffix":""},{"dropping-particle":"","family":"Larijani","given":"Bagher","non-dropping-particle":"","parse-names":false,"suffix":""},{"dropping-particle":"","family":"Heshmat","given":"Ramin","non-dropping-particle":"","parse-names":false,"suffix":""}],"container-title":"Journal of Diabetes and Metabolic Disorders","id":"ITEM-2","issue":"1","issued":{"date-parts":[["2017","5","16"]]},"publisher":"Springer","title":"Prevalence of sarcopenia in the world: a systematic review and meta- analysis of general population studies","type":"article-journal","volume":"16"},"uris":["http://www.mendeley.com/documents/?uuid=29879fcb-2b62-3f33-96ad-042357044912"]}],"mendeley":{"formattedCitation":"(11,331)","plainTextFormattedCitation":"(11,331)","previouslyFormattedCitation":"(11,330)"},"properties":{"noteIndex":0},"schema":"https://github.com/citation-style-language/schema/raw/master/csl-citation.json"}</w:instrText>
      </w:r>
      <w:r w:rsidR="00BE531D" w:rsidRPr="00CA4ABC">
        <w:rPr>
          <w:rFonts w:cstheme="minorHAnsi"/>
          <w:color w:val="000000" w:themeColor="text1"/>
        </w:rPr>
        <w:fldChar w:fldCharType="separate"/>
      </w:r>
      <w:r w:rsidR="00821D82" w:rsidRPr="00821D82">
        <w:rPr>
          <w:rFonts w:cstheme="minorHAnsi"/>
          <w:noProof/>
          <w:color w:val="000000" w:themeColor="text1"/>
        </w:rPr>
        <w:t>(11,331)</w:t>
      </w:r>
      <w:r w:rsidR="00BE531D" w:rsidRPr="00CA4ABC">
        <w:rPr>
          <w:rFonts w:cstheme="minorHAnsi"/>
          <w:color w:val="000000" w:themeColor="text1"/>
        </w:rPr>
        <w:fldChar w:fldCharType="end"/>
      </w:r>
      <w:r w:rsidR="00BE531D" w:rsidRPr="00CA4ABC">
        <w:rPr>
          <w:rFonts w:cstheme="minorHAnsi"/>
          <w:color w:val="000000" w:themeColor="text1"/>
        </w:rPr>
        <w:t xml:space="preserve">. </w:t>
      </w:r>
      <w:r w:rsidR="003B15F8" w:rsidRPr="00CA4ABC">
        <w:rPr>
          <w:rFonts w:cstheme="minorHAnsi"/>
          <w:color w:val="000000" w:themeColor="text1"/>
        </w:rPr>
        <w:t>Studies</w:t>
      </w:r>
      <w:r w:rsidRPr="00CA4ABC">
        <w:rPr>
          <w:rFonts w:cstheme="minorHAnsi"/>
          <w:color w:val="000000" w:themeColor="text1"/>
        </w:rPr>
        <w:t xml:space="preserve"> with older adults</w:t>
      </w:r>
      <w:r w:rsidR="003B15F8" w:rsidRPr="00CA4ABC">
        <w:rPr>
          <w:rFonts w:cstheme="minorHAnsi"/>
          <w:color w:val="000000" w:themeColor="text1"/>
        </w:rPr>
        <w:t xml:space="preserve"> </w:t>
      </w:r>
      <w:r w:rsidRPr="00CA4ABC">
        <w:rPr>
          <w:rFonts w:cstheme="minorHAnsi"/>
          <w:color w:val="000000" w:themeColor="text1"/>
        </w:rPr>
        <w:t>ignore the preventative</w:t>
      </w:r>
      <w:r w:rsidR="00593209" w:rsidRPr="00CA4ABC">
        <w:rPr>
          <w:rFonts w:cstheme="minorHAnsi"/>
          <w:color w:val="000000" w:themeColor="text1"/>
        </w:rPr>
        <w:t xml:space="preserve"> health</w:t>
      </w:r>
      <w:r w:rsidRPr="00CA4ABC">
        <w:rPr>
          <w:rFonts w:cstheme="minorHAnsi"/>
          <w:color w:val="000000" w:themeColor="text1"/>
        </w:rPr>
        <w:t xml:space="preserve"> space</w:t>
      </w:r>
      <w:r w:rsidR="003B15F8" w:rsidRPr="00CA4ABC">
        <w:rPr>
          <w:rFonts w:cstheme="minorHAnsi"/>
          <w:color w:val="000000" w:themeColor="text1"/>
        </w:rPr>
        <w:t xml:space="preserve">, and research with </w:t>
      </w:r>
      <w:r w:rsidRPr="00CA4ABC">
        <w:rPr>
          <w:rFonts w:cstheme="minorHAnsi"/>
          <w:color w:val="000000" w:themeColor="text1"/>
        </w:rPr>
        <w:t>middle-age</w:t>
      </w:r>
      <w:r w:rsidR="003205FF" w:rsidRPr="00CA4ABC">
        <w:rPr>
          <w:rFonts w:cstheme="minorHAnsi"/>
          <w:color w:val="000000" w:themeColor="text1"/>
        </w:rPr>
        <w:t>d</w:t>
      </w:r>
      <w:r w:rsidRPr="00CA4ABC">
        <w:rPr>
          <w:rFonts w:cstheme="minorHAnsi"/>
          <w:color w:val="000000" w:themeColor="text1"/>
        </w:rPr>
        <w:t xml:space="preserve"> adults </w:t>
      </w:r>
      <w:r w:rsidR="003B15F8" w:rsidRPr="00CA4ABC">
        <w:rPr>
          <w:rFonts w:cstheme="minorHAnsi"/>
          <w:color w:val="000000" w:themeColor="text1"/>
        </w:rPr>
        <w:t>is</w:t>
      </w:r>
      <w:r w:rsidRPr="00CA4ABC">
        <w:rPr>
          <w:rFonts w:cstheme="minorHAnsi"/>
          <w:color w:val="000000" w:themeColor="text1"/>
        </w:rPr>
        <w:t xml:space="preserve"> sparse </w:t>
      </w:r>
      <w:r w:rsidR="003B15F8" w:rsidRPr="00CA4ABC">
        <w:rPr>
          <w:rFonts w:cstheme="minorHAnsi"/>
          <w:color w:val="000000" w:themeColor="text1"/>
        </w:rPr>
        <w:t>but</w:t>
      </w:r>
      <w:r w:rsidRPr="00CA4ABC">
        <w:rPr>
          <w:rFonts w:cstheme="minorHAnsi"/>
          <w:color w:val="000000" w:themeColor="text1"/>
        </w:rPr>
        <w:t xml:space="preserve"> may be an important cohort to investigate </w:t>
      </w:r>
      <w:r w:rsidR="00964D3D" w:rsidRPr="00CA4ABC">
        <w:rPr>
          <w:rFonts w:cstheme="minorHAnsi"/>
          <w:color w:val="000000" w:themeColor="text1"/>
        </w:rPr>
        <w:t>for</w:t>
      </w:r>
      <w:r w:rsidRPr="00CA4ABC">
        <w:rPr>
          <w:rFonts w:cstheme="minorHAnsi"/>
          <w:color w:val="000000" w:themeColor="text1"/>
        </w:rPr>
        <w:t xml:space="preserve"> muscle loss </w:t>
      </w:r>
      <w:r w:rsidR="00593209" w:rsidRPr="00CA4ABC">
        <w:rPr>
          <w:rFonts w:cstheme="minorHAnsi"/>
          <w:color w:val="000000" w:themeColor="text1"/>
        </w:rPr>
        <w:t xml:space="preserve">prevention opportunities </w:t>
      </w:r>
      <w:r w:rsidR="00593209"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{"citationItems":[{"id":"ITEM-1","itemData":{"DOI":"10.1037/AMP0000591","ISSN":"0003066X","PMID":"32378943","abstract":"Development is a cumulative, lifelong process, but strikingly little is known about development in midlife. As a consequence, many misconceptions exist about the nature of midlife and the developmental milestones and challenges faced by middle-aged adults. We first review dominant views and empirical research that has debunked false narratives. Next, we discuss major opportunities and challenges of midlife. This includes the unique constellation of roles and life transitions that are distinct from earlier and later life phases as well as shifting trends in mental and physical health and in family composition. We additionally highlight the importance of (historical shifts in) intergenerational dynamics of middle-aged adults with their aging parents, adult children, and grandchildren; financial vulnerabilities that emerge and often accrue from economic failures and labor market volatility; the shrinking social and health care safety net; and the rising costs of raising children. In doing so, we discuss issues of diversity and note similarities and differences in midlife experiences across race or ethnicity, sexual orientation, and socioeconomic status. We consider midlife as a pivotal period that includes a focus on balancing gains and losses, linking earlier and later life periods, and bridging generations. Finally, we propose possibilities for promoting reversibility and resilience with interventions and policy changes. The suggested agenda for future research promises to reconceptualize midlife as a key period of life, with a concerted effort to focus on the diversity of midlife experiences in order to meet the unprecedented challenges and opportunities in the 2020s and beyond.","author":[{"dropping-particle":"","family":"Infurna","given":"Frank J.","non-dropping-particle":"","parse-names":false,"suffix":""},{"dropping-particle":"","family":"Gerstorf","given":"Denis","non-dropping-particle":"","parse-names":false,"suffix":""},{"dropping-particle":"","family":"Lachman","given":"Margie E.","non-dropping-particle":"","parse-names":false,"suffix":""}],"container-title":"The American psychologist","id":"ITEM-1","issue":"4","issued":{"date-parts":[["2020","5","1"]]},"page":"470","publisher":"NIH Public Access","title":"Midlife in the 2020s: Opportunities and Challenges","type":"article-journal","volume":"75"},"uris":["http://www.mendeley.com/documents/?uuid=de8e4261-7dff-321a-b780-0044eb172170"]}],"mendeley":{"formattedCitation":"(263)","plainTextFormattedCitation":"(263)","previouslyFormattedCitation":"(263)"},"properties":{"noteIndex":0},"schema":"https://github.com/citation-style-language/schema/raw/master/csl-citation.json"}</w:instrText>
      </w:r>
      <w:r w:rsidR="00593209" w:rsidRPr="00CA4ABC">
        <w:rPr>
          <w:rFonts w:cstheme="minorHAnsi"/>
          <w:color w:val="000000" w:themeColor="text1"/>
        </w:rPr>
        <w:fldChar w:fldCharType="separate"/>
      </w:r>
      <w:r w:rsidR="00FF0BCE" w:rsidRPr="00FF0BCE">
        <w:rPr>
          <w:rFonts w:cstheme="minorHAnsi"/>
          <w:noProof/>
          <w:color w:val="000000" w:themeColor="text1"/>
        </w:rPr>
        <w:t>(263)</w:t>
      </w:r>
      <w:r w:rsidR="00593209" w:rsidRPr="00CA4ABC">
        <w:rPr>
          <w:rFonts w:cstheme="minorHAnsi"/>
          <w:color w:val="000000" w:themeColor="text1"/>
        </w:rPr>
        <w:fldChar w:fldCharType="end"/>
      </w:r>
      <w:r w:rsidR="003205FF" w:rsidRPr="00CA4ABC">
        <w:rPr>
          <w:rFonts w:cstheme="minorHAnsi"/>
          <w:color w:val="000000" w:themeColor="text1"/>
        </w:rPr>
        <w:t>, but strategies must be appropriate for this population.</w:t>
      </w:r>
      <w:r w:rsidRPr="00CA4ABC">
        <w:rPr>
          <w:rFonts w:cstheme="minorHAnsi"/>
          <w:color w:val="000000" w:themeColor="text1"/>
        </w:rPr>
        <w:t xml:space="preserve"> For example</w:t>
      </w:r>
      <w:r w:rsidR="003205FF" w:rsidRPr="00CA4ABC">
        <w:rPr>
          <w:rFonts w:cstheme="minorHAnsi"/>
          <w:color w:val="000000" w:themeColor="text1"/>
        </w:rPr>
        <w:t>,</w:t>
      </w:r>
      <w:r w:rsidRPr="00CA4ABC">
        <w:rPr>
          <w:rFonts w:cstheme="minorHAnsi"/>
          <w:color w:val="000000" w:themeColor="text1"/>
        </w:rPr>
        <w:t xml:space="preserve"> many tests and intervention protocols designed for older adults, such as the short physical performance battery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{"citationItems":[{"id":"ITEM-1","itemData":{"DOI":"10.3390/IJERPH182010612","ISSN":"1660-4601","PMID":"34682359","abstract":"The association between the Short Physical Performance Battery (SPPB) score and several adverse health outcomes, including mortality, has been reported in the scientific literature. We conducted a comprehensive literature review of studies on the relationship between SPPB and mortality. The current paper synthesizes the characteristics and main findings of longitudinal studies available in the literature that investigated the role of the SPPB in predicting mortality in older adults. The studies (n = 40) are from North America, South America, Europe, and Asia; the majority (n = 16) were conducted with community-dwelling older adults and reported an association between lower SPPB scores and a higher risk of mortality, and between higher SPPB scores and higher survival. Nevertheless, few studies have analyzed the accuracy of the instrument to predict mortality. The only study that established cut-off points was conducted with older adults discharged from an acute care hospital. Although an SPPB score lower than 10 seems to predict all-cause mortality, further studies showing cut-off points in specific settings and loco-regional specificities are still necessary.","author":[{"dropping-particle":"","family":"Fátima Ribeiro Silva","given":"Caroline","non-dropping-particle":"de","parse-names":false,"suffix":""},{"dropping-particle":"","family":"Ohara","given":"Daniela Gonçalves","non-dropping-particle":"","parse-names":false,"suffix":""},{"dropping-particle":"","family":"Matos","given":"Areolino Pena","non-dropping-particle":"","parse-names":false,"suffix":""},{"dropping-particle":"","family":"Pinto","given":"Ana Carolina Pereira Nunes","non-dropping-particle":"","parse-names":false,"suffix":""},{"dropping-particle":"","family":"Pegorari","given":"Maycon Sousa","non-dropping-particle":"","parse-names":false,"suffix":""}],"container-title":"International Journal of Environmental Research and Public Health 2021, Vol. 18, Page 10612","id":"ITEM-1","issue":"20","issued":{"date-parts":[["2021","10","10"]]},"page":"10612","publisher":"Multidisciplinary Digital Publishing Institute","title":"Short Physical Performance Battery as a Measure of Physical Performance and Mortality Predictor in Older Adults: A Comprehensive Literature Review","type":"article-journal","volume":"18"},"uris":["http://www.mendeley.com/documents/?uuid=d9ee834c-4615-3e48-a836-cdbab93c7167"]}],"mendeley":{"formattedCitation":"(332)","plainTextFormattedCitation":"(332)","previouslyFormattedCitation":"(331)"},"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(332)</w:t>
      </w:r>
      <w:r w:rsidRPr="00CA4ABC">
        <w:rPr>
          <w:rFonts w:cstheme="minorHAnsi"/>
          <w:color w:val="000000" w:themeColor="text1"/>
        </w:rPr>
        <w:fldChar w:fldCharType="end"/>
      </w:r>
      <w:r w:rsidRPr="00CA4ABC">
        <w:rPr>
          <w:rFonts w:cstheme="minorHAnsi"/>
          <w:color w:val="000000" w:themeColor="text1"/>
        </w:rPr>
        <w:t xml:space="preserve"> and low</w:t>
      </w:r>
      <w:r w:rsidR="003205FF" w:rsidRPr="00CA4ABC">
        <w:rPr>
          <w:rFonts w:cstheme="minorHAnsi"/>
          <w:color w:val="000000" w:themeColor="text1"/>
        </w:rPr>
        <w:t>-</w:t>
      </w:r>
      <w:r w:rsidRPr="00CA4ABC">
        <w:rPr>
          <w:rFonts w:cstheme="minorHAnsi"/>
          <w:color w:val="000000" w:themeColor="text1"/>
        </w:rPr>
        <w:t>intensity training programmes</w:t>
      </w:r>
      <w:r w:rsidR="00BE531D" w:rsidRPr="00CA4ABC">
        <w:rPr>
          <w:rFonts w:cstheme="minorHAnsi"/>
          <w:color w:val="000000" w:themeColor="text1"/>
        </w:rPr>
        <w:t xml:space="preserve"> </w:t>
      </w:r>
      <w:r w:rsidR="00BE531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{"citationItems":[{"id":"ITEM-1","itemData":{"DOI":"10.1891/0198-8794.36.205","ISSN":"19444036","PMID":"27134329","abstract":"For well over 20 centuries, the muscle wasting (sarcopenia) and weakness (dynapenia) that occurs with old age has been a predominant concern for mankind. Exercise has long been suggested as a treatment to combat sarcopenia and dynapenia, as it exerts effects on both the nervous and muscular systems that are critical to positive physiological and functional adaptations (e.g., enhanced muscle strength). For more than two decades, scientists have recognized the profound role that progressive resistance exercise training (RET) can have on increasing muscle strength, muscle size, and functional capacity in older adults. In this review article, we discuss how RET can be used in the management and prevention of sarcopenia and dynapenia. We first provide an overview of the evidence for this notion and highlight certain critical factors-namely, exercise intensity, volume, and progression-that are key to optimizing the resistance exercise prescription. We then highlight how many, if not most, of the commonly prescribed exercise programs for seniors are not the \"best practices\" and subsequently present easy- to-read guidelines for a well-rounded RET program designed for the management and prevention of sarcopenia and dynapenia, including example training programs for the beginner through programs for the advanced senior resistance exerciser. These guidelines have been written for the academician as well as the student and health-care provider across a variety of disciplines, including those in the long-term care industry, such as wellness instructors or activity directors.","author":[{"dropping-particle":"","family":"Law","given":"Timothy D.","non-dropping-particle":"","parse-names":false,"suffix":""},{"dropping-particle":"","family":"Clark","given":"Leatha A.","non-dropping-particle":"","parse-names":false,"suffix":""},{"dropping-particle":"","family":"Clark","given":"Brian C.","non-dropping-particle":"","parse-names":false,"suffix":""}],"container-title":"Annual review of gerontology &amp; geriatrics","id":"ITEM-1","issue":"1","issued":{"date-parts":[["2016"]]},"page":"205","publisher":"NIH Public Access","title":"Resistance Exercise to Prevent and Manage Sarcopenia and Dynapenia","type":"article-journal","volume":"36"},"uris":["http://www.mendeley.com/documents/?uuid=698363d0-de92-308c-8b8c-cbd7212aa7d8"]}],"mendeley":{"formattedCitation":"(333)","plainTextFormattedCitation":"(333)","previouslyFormattedCitation":"(332)"},"properties":{"noteIndex":0},"schema":"https://github.com/citation-style-language/schema/raw/master/csl-citation.json"}</w:instrText>
      </w:r>
      <w:r w:rsidR="00BE531D" w:rsidRPr="00CA4ABC">
        <w:rPr>
          <w:rFonts w:cstheme="minorHAnsi"/>
          <w:color w:val="000000" w:themeColor="text1"/>
        </w:rPr>
        <w:fldChar w:fldCharType="separate"/>
      </w:r>
      <w:r w:rsidR="00821D82" w:rsidRPr="00821D82">
        <w:rPr>
          <w:rFonts w:cstheme="minorHAnsi"/>
          <w:noProof/>
          <w:color w:val="000000" w:themeColor="text1"/>
        </w:rPr>
        <w:t>(333)</w:t>
      </w:r>
      <w:r w:rsidR="00BE531D" w:rsidRPr="00CA4ABC">
        <w:rPr>
          <w:rFonts w:cstheme="minorHAnsi"/>
          <w:color w:val="000000" w:themeColor="text1"/>
        </w:rPr>
        <w:fldChar w:fldCharType="end"/>
      </w:r>
      <w:r w:rsidRPr="00CA4ABC">
        <w:rPr>
          <w:rFonts w:cstheme="minorHAnsi"/>
          <w:color w:val="000000" w:themeColor="text1"/>
        </w:rPr>
        <w:t xml:space="preserve"> may not be useful in mobile</w:t>
      </w:r>
      <w:r w:rsidR="00BE531D" w:rsidRPr="00CA4ABC">
        <w:rPr>
          <w:rFonts w:cstheme="minorHAnsi"/>
          <w:color w:val="000000" w:themeColor="text1"/>
        </w:rPr>
        <w:t>,</w:t>
      </w:r>
      <w:r w:rsidRPr="00CA4ABC">
        <w:rPr>
          <w:rFonts w:cstheme="minorHAnsi"/>
          <w:color w:val="000000" w:themeColor="text1"/>
        </w:rPr>
        <w:t xml:space="preserve"> middle</w:t>
      </w:r>
      <w:r w:rsidR="003205FF" w:rsidRPr="00CA4ABC">
        <w:rPr>
          <w:rFonts w:cstheme="minorHAnsi"/>
          <w:color w:val="000000" w:themeColor="text1"/>
        </w:rPr>
        <w:t>-</w:t>
      </w:r>
      <w:r w:rsidRPr="00CA4ABC">
        <w:rPr>
          <w:rFonts w:cstheme="minorHAnsi"/>
          <w:color w:val="000000" w:themeColor="text1"/>
        </w:rPr>
        <w:t>age</w:t>
      </w:r>
      <w:r w:rsidR="00BE531D" w:rsidRPr="00CA4ABC">
        <w:rPr>
          <w:rFonts w:cstheme="minorHAnsi"/>
          <w:color w:val="000000" w:themeColor="text1"/>
        </w:rPr>
        <w:t>d adults</w:t>
      </w:r>
      <w:r w:rsidRPr="00CA4ABC">
        <w:rPr>
          <w:rFonts w:cstheme="minorHAnsi"/>
          <w:color w:val="000000" w:themeColor="text1"/>
        </w:rPr>
        <w:t xml:space="preserve">. Moreover, there will be different considerations to make for this cohort, including a wealth of other commitments and factors which may prevent them from ordinarily engaging in behaviours known to be advantageous for muscle health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{"citationItems":[{"id":"ITEM-1","itemData":{"DOI":"10.1186/1472-6874-14-49/TABLES/2","ISSN":"14726874","PMID":"24666887","abstract":"Background: About half of women decrease their regular exercise during middle age. Concurrently, they experience a reduction in basal metabolic rate and loss of lean muscle as they transition to menopause. The combined effects place these women at increased risk for body weight gain and associated co-morbidities. Further research is required to better assess their barriers to regular exercise and to develop more applied knowledge aimed to improve the applicability of clinical interventions aimed at this population. The main aim of this study was to identify enablers and barriers influencing adherence to regular exercise in middle-aged women who exercise. Methods: An interpretive description qualitative study was conducted using individual interviews. The two key questions were focused on planning to engage in physical activity and succeeding or planning to engage in physical activity and not succeeding. Inductive content analysis was used. Results: Fifty-three women interviewed were aged 40-62 years and experiencing mild to moderate menopausal symptoms. Six broad themes influencing adhering to regular exercise were: routine, intrinsic motivation, biophysical issues, psychosocial commitments, environmental factors, and resources. Common sub-themes were identified as enabling factors: daily structure that incorporated physical activity (broad theme routine), anticipated positive feelings associated with physical activity (intrinsic), and accountability to others (psychosocial). Other common sub-themes identified as barriers were disruptions in daily structure (routine), competing demands (routine) and self-sacrifice (psychosocial). Conclusions: The most common barrier middle-aged women describe as interfering with adhering to regular exercise was attributable to the demands of this life stage at home and with others. Lack of time and menopausal symptoms were not identified as the common barriers. To support women to adhere to regular exercise, healthcare professionals should consider a narrative approach to assessing barriers and focus on enablers to overcoming identified barriers. © 2014 McArthur et al.; licensee BioMed Central Ltd.","author":[{"dropping-particle":"","family":"McArthur","given":"Deanne","non-dropping-particle":"","parse-names":false,"suffix":""},{"dropping-particle":"","family":"Dumas","given":"Alex","non-dropping-particle":"","parse-names":false,"suffix":""},{"dropping-particle":"","family":"Woodend","given":"Kirsten","non-dropping-particle":"","parse-names":false,"suffix":""},{"dropping-particle":"","family":"Beach","given":"Sarah","non-dropping-particle":"","parse-names":false,"suffix":""},{"dropping-particle":"","family":"Stacey","given":"Dawn","non-dropping-particle":"","parse-names":false,"suffix":""}],"container-title":"BMC Women's Health","id":"ITEM-1","issue":"1","issued":{"date-parts":[["2014","3","26"]]},"page":"1-8","publisher":"BioMed Central Ltd.","title":"Factors influencing adherence to regular exercise in middle-aged women: A qualitative study to inform clinical practice","type":"article-journal","volume":"14"},"uris":["http://www.mendeley.com/documents/?uuid=eec2ccb8-db16-3b09-94fc-5fe1b008652b"]}],"mendeley":{"formattedCitation":"(334)","plainTextFormattedCitation":"(334)","previouslyFormattedCitation":"(333)"},"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(334)</w:t>
      </w:r>
      <w:r w:rsidRPr="00CA4ABC">
        <w:rPr>
          <w:rFonts w:cstheme="minorHAnsi"/>
          <w:color w:val="000000" w:themeColor="text1"/>
        </w:rPr>
        <w:fldChar w:fldCharType="end"/>
      </w:r>
      <w:r w:rsidRPr="00CA4ABC">
        <w:rPr>
          <w:rFonts w:cstheme="minorHAnsi"/>
          <w:color w:val="000000" w:themeColor="text1"/>
        </w:rPr>
        <w:t>. In recent years, as technology has advanced, so has the digital health landscape, particularly following the pandemic, with more people seeking out alternative means to engage in health-based practices away from traditional</w:t>
      </w:r>
      <w:r w:rsidR="0026326B" w:rsidRPr="00CA4ABC">
        <w:rPr>
          <w:rFonts w:cstheme="minorHAnsi"/>
          <w:color w:val="000000" w:themeColor="text1"/>
        </w:rPr>
        <w:t>,</w:t>
      </w:r>
      <w:r w:rsidRPr="00CA4ABC">
        <w:rPr>
          <w:rFonts w:cstheme="minorHAnsi"/>
          <w:color w:val="000000" w:themeColor="text1"/>
        </w:rPr>
        <w:t xml:space="preserve"> gym-based settings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{"citationItems":[{"id":"ITEM-1","itemData":{"DOI":"10.1136/BMJOPEN-2021-053891","ISSN":"2044-6055","PMID":"34635531","abstract":"Objectives To explore if consumer interest in digital health products (DHPs), changed following the COVID-19 pandemic and the lockdown measures that ensued. Design Retrospective time-series analysis of web-based internet searches for DHPs in the UK, split over two periods, pre-COVID-19 lockdown (January 2019-23 March 2020) and post-COVID-19 lockdown (24 March 2020-31 December 2020). Setting The UK. Participants Members of the UK general population using health-app libraries provided by the Organisation for the Review of Care and Health Applications. Primary and secondary outcome measures The primary outcome was volume of searches for DHPs. Secondary outcomes considered search volumes for 25 different therapeutic areas. Outcomes were assessed for significance using a two-stage Poisson test. Results There were 126 640 searches for DHPs over the study period. Searches for DHPs increased by 343% from 2446 per month prior to COVID-19 lockdown measures being introduced to 8996 per month in the period following the first COVID-19 lockdown in the UK. In total, 23/25 (92%) of condition areas experienced a significant increase in searches for DHPs, with the greatest increases occurring in the first 2 months following lockdown. Musculoskeletal conditions (2.036%), allergy (1.253%) and healthy living DHPs (1.051%) experienced the greatest increases in searches compared with pre-lockdown. Increased search volumes for DHPs were sustained in the 9 months following the introduction of lockdown measures, with 21/25 (84%) of condition areas experiencing monthly search volumes at least 50% greater than pre-lockdown levels. Conclusions The COVID-19 pandemic has profoundly disrupted the routine delivery of healthcare, making face-to-face interaction difficult, and contributing to unmet clinical needs. This study has demonstrated significant increases in internet searches for DHPs by members of the UK population since COVID-19, signifying an increased interest in this potential therapeutic medium. Future research should clarify whether this increased interest has resulted in increased acceptance and utilisation of these technologies also.","author":[{"dropping-particle":"","family":"Leigh","given":"Simon","non-dropping-particle":"","parse-names":false,"suffix":""},{"dropping-particle":"","family":"Daly","given":"Rob","non-dropping-particle":"","parse-names":false,"suffix":""},{"dropping-particle":"","family":"Stevens","given":"Sebastian","non-dropping-particle":"","parse-names":false,"suffix":""},{"dropping-particle":"","family":"Lapajne","given":"Luka","non-dropping-particle":"","parse-names":false,"suffix":""},{"dropping-particle":"","family":"Clayton","given":"Charlotte","non-dropping-particle":"","parse-names":false,"suffix":""},{"dropping-particle":"","family":"Andrews","given":"Tim","non-dropping-particle":"","parse-names":false,"suffix":""},{"dropping-particle":"","family":"Ashall-Payne","given":"Liz","non-dropping-particle":"","parse-names":false,"suffix":""}],"container-title":"BMJ open","id":"ITEM-1","issue":"10","issued":{"date-parts":[["2021","10","11"]]},"publisher":"BMJ Open","title":"Web-based internet searches for digital health products in the United Kingdom before and during the COVID-19 pandemic: a time-series analysis using app libraries from the Organisation for the Review of Care and Health Applications (ORCHA)","type":"article-journal","volume":"11"},"uris":["http://www.mendeley.com/documents/?uuid=fbeb7300-4cfe-36ea-bcd6-fb66aaba0370"]}],"mendeley":{"formattedCitation":"(314)","plainTextFormattedCitation":"(314)","previouslyFormattedCitation":"(314)"},"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(314)</w:t>
      </w:r>
      <w:r w:rsidRPr="00CA4ABC">
        <w:rPr>
          <w:rFonts w:cstheme="minorHAnsi"/>
          <w:color w:val="000000" w:themeColor="text1"/>
        </w:rPr>
        <w:fldChar w:fldCharType="end"/>
      </w:r>
      <w:r w:rsidRPr="00CA4ABC">
        <w:rPr>
          <w:rFonts w:cstheme="minorHAnsi"/>
          <w:color w:val="000000" w:themeColor="text1"/>
        </w:rPr>
        <w:t xml:space="preserve">. Digital health can be seen as more practical and affordable, promoting its use, but also comes with potential drawbacks such as access issues and removal of safety checks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10.1001/JAMA.2020.22919","ISSN":"0098-7484","PMID":"33369627","author":[{"dropping-particle":"","family":"Perakslis","given":"Eric","non-dropping-particle":"","parse-names":false,"suffix":""},{"dropping-particle":"","family":"Ginsburg","given":"Geoffrey S.","non-dropping-particle":"","parse-names":false,"suffix":""}],"container-title":"JAMA","id":"ITEM-1","issue":"2","issued":{"date-parts":[["2021","1","12"]]},"page":"127-128","publisher":"American Medical Association","title":"Digital Health—The Need to Assess Benefits, Risks, and Value","type":"article-journal","volume":"325"},"uris":["http://www.mendeley.com/documents/?uuid=fee12ccd-d03a-3000-b153-4fd54223e80b"]}],"mendeley":{"formattedCitation":"(335)","plainTextFormattedCitation":"(335)","previouslyFormattedCitation":"(334)"},"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(335)</w:t>
      </w:r>
      <w:r w:rsidRPr="00CA4ABC">
        <w:rPr>
          <w:rFonts w:cstheme="minorHAnsi"/>
          <w:color w:val="000000" w:themeColor="text1"/>
        </w:rPr>
        <w:fldChar w:fldCharType="end"/>
      </w:r>
      <w:r w:rsidRPr="00CA4ABC">
        <w:rPr>
          <w:rFonts w:cstheme="minorHAnsi"/>
          <w:color w:val="000000" w:themeColor="text1"/>
        </w:rPr>
        <w:t xml:space="preserve">. Feeding into this landscape, with interventions which focus on optimising muscle health and preventing losses, may be beneficial and is worthy of </w:t>
      </w:r>
      <w:r w:rsidR="003B15F8" w:rsidRPr="00CA4ABC">
        <w:rPr>
          <w:rFonts w:cstheme="minorHAnsi"/>
          <w:color w:val="000000" w:themeColor="text1"/>
        </w:rPr>
        <w:t>investigation</w:t>
      </w:r>
      <w:r w:rsidRPr="00CA4ABC">
        <w:rPr>
          <w:rFonts w:cstheme="minorHAnsi"/>
          <w:color w:val="000000" w:themeColor="text1"/>
        </w:rPr>
        <w:t xml:space="preserve">. </w:t>
      </w:r>
      <w:r w:rsidR="00BE531D" w:rsidRPr="00CA4ABC">
        <w:rPr>
          <w:rFonts w:cstheme="minorHAnsi"/>
          <w:color w:val="000000" w:themeColor="text1"/>
        </w:rPr>
        <w:t xml:space="preserve">Evidence to support home-based exercise </w:t>
      </w:r>
      <w:r w:rsidR="003205FF" w:rsidRPr="00CA4ABC">
        <w:rPr>
          <w:rFonts w:cstheme="minorHAnsi"/>
          <w:color w:val="000000" w:themeColor="text1"/>
        </w:rPr>
        <w:t>programmes</w:t>
      </w:r>
      <w:r w:rsidR="00BE531D" w:rsidRPr="00CA4ABC">
        <w:rPr>
          <w:rFonts w:cstheme="minorHAnsi"/>
          <w:color w:val="000000" w:themeColor="text1"/>
        </w:rPr>
        <w:t xml:space="preserve"> </w:t>
      </w:r>
      <w:r w:rsidR="003B15F8" w:rsidRPr="00CA4ABC">
        <w:rPr>
          <w:rFonts w:cstheme="minorHAnsi"/>
          <w:color w:val="000000" w:themeColor="text1"/>
        </w:rPr>
        <w:t>is</w:t>
      </w:r>
      <w:r w:rsidR="00BE531D" w:rsidRPr="00CA4ABC">
        <w:rPr>
          <w:rFonts w:cstheme="minorHAnsi"/>
          <w:color w:val="000000" w:themeColor="text1"/>
        </w:rPr>
        <w:t xml:space="preserve"> available </w:t>
      </w:r>
      <w:r w:rsidR="00BE531D"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{"citationItems":[{"id":"ITEM-1","itemData":{"DOI":"10.1093/AGEING/AFAC243","ISSN":"14682834","PMID":"36346736","abstract":"BACKGROUND: regular physical exercise is essential to maintain or improve functional capacity in older adults. Multimorbidity, functional limitation, social barriers and currently, coronavirus disease of 2019, among others, have increased the need for home-based exercise (HBE) programmes and digital health interventions (DHI). Our objective was to evaluate the effectiveness of HBE programs delivered by DHI on physical function, health-related quality of life (HRQoL) improvement and falls reduction in older adults. DESIGN: systematic review and meta-analysis. PARTICIPANTS: community-dwelling older adults over 65 years. INTERVENTION: exercises at home through DHI. OUTCOMES MEASURES: physical function, HRQoL and falls. RESULTS: twenty-six studies have met the inclusion criteria, including 5,133 participants (range age 69.5 ± 4.0-83.0 ± 6.7). The HBE programmes delivered with DHI improve muscular strength (five times sit-to-stand test, -0.56 s, 95% confidence interval, CI -1.00 to -0.11; P = 0.01), functional capacity (Barthel index, 5.01 points, 95% CI 0.24-9.79; P = 0.04) and HRQoL (SMD 0.18; 95% CI 0.05-0.30; P = 0.004); and reduce events of falls (odds ratio, OR 0.77, 95% CI 0.64-0.93; P = 0.008). In addition, in the subgroup analysis, older adults with diseases improve mobility (SMD -0.23; 95% CI -0.45 to -0.01; P = 0.04), and balance (SMD 0.28; 95% CI 0.09-0.48; P = 0.004). CONCLUSION: the HBE programmes carried out by DHI improve physical function in terms of lower extremity strength and functional capacity. It also significantly reduces the number of falls and improves the HRQoL. In addition, in analysis of only older adults with diseases, it also improves the balance and mobility.","author":[{"dropping-particle":"","family":"Solis-Navarro","given":"Lilian","non-dropping-particle":"","parse-names":false,"suffix":""},{"dropping-particle":"","family":"Gismero","given":"Aina","non-dropping-particle":"","parse-names":false,"suffix":""},{"dropping-particle":"","family":"Fernández-Jané","given":"Carles","non-dropping-particle":"","parse-names":false,"suffix":""},{"dropping-particle":"","family":"Torres-Castro","given":"Rodrigo","non-dropping-particle":"","parse-names":false,"suffix":""},{"dropping-particle":"","family":"Solá-Madurell","given":"Mireia","non-dropping-particle":"","parse-names":false,"suffix":""},{"dropping-particle":"","family":"Bergé","given":"Clara","non-dropping-particle":"","parse-names":false,"suffix":""},{"dropping-particle":"","family":"Pérez","given":"Laura Mónica","non-dropping-particle":"","parse-names":false,"suffix":""},{"dropping-particle":"","family":"Ars","given":"Joan","non-dropping-particle":"","parse-names":false,"suffix":""},{"dropping-particle":"","family":"Martín-Borràs","given":"Carme","non-dropping-particle":"","parse-names":false,"suffix":""},{"dropping-particle":"","family":"Vilaró","given":"Jordi","non-dropping-particle":"","parse-names":false,"suffix":""},{"dropping-particle":"","family":"Sitjà-Rabert","given":"Mercè","non-dropping-particle":"","parse-names":false,"suffix":""}],"container-title":"Age and Ageing","id":"ITEM-1","issue":"11","issued":{"date-parts":[["2022","11","1"]]},"publisher":"Oxford Academic","title":"Effectiveness of home-based exercise delivered by digital health in older adults: a systematic review and meta-analysis","type":"article-journal","volume":"51"},"uris":["http://www.mendeley.com/documents/?uuid=04ab5828-edf4-39de-8621-574238e2e5c0"]}],"mendeley":{"formattedCitation":"(336)","plainTextFormattedCitation":"(336)","previouslyFormattedCitation":"(335)"},"properties":{"noteIndex":0},"schema":"https://github.com/citation-style-language/schema/raw/master/csl-citation.json"}</w:instrText>
      </w:r>
      <w:r w:rsidR="00BE531D" w:rsidRPr="00CA4ABC">
        <w:rPr>
          <w:rFonts w:cstheme="minorHAnsi"/>
          <w:color w:val="000000" w:themeColor="text1"/>
        </w:rPr>
        <w:fldChar w:fldCharType="separate"/>
      </w:r>
      <w:r w:rsidR="00821D82" w:rsidRPr="00821D82">
        <w:rPr>
          <w:rFonts w:cstheme="minorHAnsi"/>
          <w:noProof/>
          <w:color w:val="000000" w:themeColor="text1"/>
        </w:rPr>
        <w:t>(336)</w:t>
      </w:r>
      <w:r w:rsidR="00BE531D" w:rsidRPr="00CA4ABC">
        <w:rPr>
          <w:rFonts w:cstheme="minorHAnsi"/>
          <w:color w:val="000000" w:themeColor="text1"/>
        </w:rPr>
        <w:fldChar w:fldCharType="end"/>
      </w:r>
      <w:r w:rsidR="00BE531D" w:rsidRPr="00CA4ABC">
        <w:rPr>
          <w:rFonts w:cstheme="minorHAnsi"/>
          <w:color w:val="000000" w:themeColor="text1"/>
        </w:rPr>
        <w:t>, but explor</w:t>
      </w:r>
      <w:r w:rsidR="003B15F8" w:rsidRPr="00CA4ABC">
        <w:rPr>
          <w:rFonts w:cstheme="minorHAnsi"/>
          <w:color w:val="000000" w:themeColor="text1"/>
        </w:rPr>
        <w:t>ing</w:t>
      </w:r>
      <w:r w:rsidR="00BE531D" w:rsidRPr="00CA4ABC">
        <w:rPr>
          <w:rFonts w:cstheme="minorHAnsi"/>
          <w:color w:val="000000" w:themeColor="text1"/>
        </w:rPr>
        <w:t xml:space="preserve"> </w:t>
      </w:r>
      <w:r w:rsidRPr="00CA4ABC">
        <w:rPr>
          <w:rFonts w:cstheme="minorHAnsi"/>
          <w:color w:val="000000" w:themeColor="text1"/>
        </w:rPr>
        <w:t xml:space="preserve">if </w:t>
      </w:r>
      <w:r w:rsidR="00BE531D" w:rsidRPr="00CA4ABC">
        <w:rPr>
          <w:rFonts w:cstheme="minorHAnsi"/>
          <w:color w:val="000000" w:themeColor="text1"/>
        </w:rPr>
        <w:t>an appropriate stimulus can</w:t>
      </w:r>
      <w:r w:rsidRPr="00CA4ABC">
        <w:rPr>
          <w:rFonts w:cstheme="minorHAnsi"/>
          <w:color w:val="000000" w:themeColor="text1"/>
        </w:rPr>
        <w:t xml:space="preserve"> </w:t>
      </w:r>
      <w:r w:rsidR="003205FF" w:rsidRPr="00CA4ABC">
        <w:rPr>
          <w:rFonts w:cstheme="minorHAnsi"/>
          <w:color w:val="000000" w:themeColor="text1"/>
        </w:rPr>
        <w:t xml:space="preserve">be </w:t>
      </w:r>
      <w:r w:rsidRPr="00CA4ABC">
        <w:rPr>
          <w:rFonts w:cstheme="minorHAnsi"/>
          <w:color w:val="000000" w:themeColor="text1"/>
        </w:rPr>
        <w:t xml:space="preserve">achieved </w:t>
      </w:r>
      <w:r w:rsidRPr="00CA4ABC">
        <w:rPr>
          <w:rFonts w:cstheme="minorHAnsi"/>
          <w:color w:val="000000" w:themeColor="text1"/>
        </w:rPr>
        <w:lastRenderedPageBreak/>
        <w:t>without the use of conventional gym equipment</w:t>
      </w:r>
      <w:r w:rsidR="00BE531D" w:rsidRPr="00CA4ABC">
        <w:rPr>
          <w:rFonts w:cstheme="minorHAnsi"/>
          <w:color w:val="000000" w:themeColor="text1"/>
        </w:rPr>
        <w:t xml:space="preserve"> for </w:t>
      </w:r>
      <w:r w:rsidR="003205FF" w:rsidRPr="00CA4ABC">
        <w:rPr>
          <w:rFonts w:cstheme="minorHAnsi"/>
          <w:color w:val="000000" w:themeColor="text1"/>
        </w:rPr>
        <w:t>middle-aged</w:t>
      </w:r>
      <w:r w:rsidR="00BE531D" w:rsidRPr="00CA4ABC">
        <w:rPr>
          <w:rFonts w:cstheme="minorHAnsi"/>
          <w:color w:val="000000" w:themeColor="text1"/>
        </w:rPr>
        <w:t xml:space="preserve"> adults</w:t>
      </w:r>
      <w:r w:rsidR="003B15F8" w:rsidRPr="00CA4ABC">
        <w:rPr>
          <w:rFonts w:cstheme="minorHAnsi"/>
          <w:color w:val="000000" w:themeColor="text1"/>
        </w:rPr>
        <w:t xml:space="preserve"> is warranted, particularly to understand if remote intervention</w:t>
      </w:r>
      <w:r w:rsidR="00964D3D" w:rsidRPr="00CA4ABC">
        <w:rPr>
          <w:rFonts w:cstheme="minorHAnsi"/>
          <w:color w:val="000000" w:themeColor="text1"/>
        </w:rPr>
        <w:t>s</w:t>
      </w:r>
      <w:r w:rsidR="003B15F8" w:rsidRPr="00CA4ABC">
        <w:rPr>
          <w:rFonts w:cstheme="minorHAnsi"/>
          <w:color w:val="000000" w:themeColor="text1"/>
        </w:rPr>
        <w:t xml:space="preserve"> are </w:t>
      </w:r>
      <w:r w:rsidRPr="00CA4ABC">
        <w:rPr>
          <w:rFonts w:cstheme="minorHAnsi"/>
          <w:color w:val="000000" w:themeColor="text1"/>
        </w:rPr>
        <w:t>effective</w:t>
      </w:r>
      <w:r w:rsidR="003B15F8" w:rsidRPr="00CA4ABC">
        <w:rPr>
          <w:rFonts w:cstheme="minorHAnsi"/>
          <w:color w:val="000000" w:themeColor="text1"/>
        </w:rPr>
        <w:t xml:space="preserve"> to ultimately</w:t>
      </w:r>
      <w:r w:rsidRPr="00CA4ABC">
        <w:rPr>
          <w:rFonts w:cstheme="minorHAnsi"/>
          <w:color w:val="000000" w:themeColor="text1"/>
        </w:rPr>
        <w:t xml:space="preserve"> </w:t>
      </w:r>
      <w:r w:rsidR="003205FF" w:rsidRPr="00CA4ABC">
        <w:rPr>
          <w:rFonts w:cstheme="minorHAnsi"/>
          <w:color w:val="000000" w:themeColor="text1"/>
        </w:rPr>
        <w:t>contribute</w:t>
      </w:r>
      <w:r w:rsidRPr="00CA4ABC">
        <w:rPr>
          <w:rFonts w:cstheme="minorHAnsi"/>
          <w:color w:val="000000" w:themeColor="text1"/>
        </w:rPr>
        <w:t xml:space="preserve"> to the goal of muscle loss prevention. Previous feasibility work has demonstrated that a remotely delivered exercise intervention was acceptable. </w:t>
      </w:r>
      <w:r w:rsidR="003205FF" w:rsidRPr="00CA4ABC">
        <w:rPr>
          <w:rFonts w:cstheme="minorHAnsi"/>
          <w:color w:val="000000" w:themeColor="text1"/>
        </w:rPr>
        <w:t>This work will be progressed to</w:t>
      </w:r>
      <w:r w:rsidRPr="00CA4ABC">
        <w:rPr>
          <w:rFonts w:cstheme="minorHAnsi"/>
          <w:color w:val="000000" w:themeColor="text1"/>
        </w:rPr>
        <w:t xml:space="preserve"> a 4-armed parallel controlled trial, including both </w:t>
      </w:r>
      <w:r w:rsidR="00721C82" w:rsidRPr="00CA4ABC">
        <w:rPr>
          <w:rFonts w:cstheme="minorHAnsi"/>
          <w:color w:val="000000" w:themeColor="text1"/>
        </w:rPr>
        <w:t xml:space="preserve">an </w:t>
      </w:r>
      <w:r w:rsidRPr="00CA4ABC">
        <w:rPr>
          <w:rFonts w:cstheme="minorHAnsi"/>
          <w:color w:val="000000" w:themeColor="text1"/>
        </w:rPr>
        <w:t>exercise and nutrition intervention.</w:t>
      </w:r>
    </w:p>
    <w:p w14:paraId="5F922955" w14:textId="77777777" w:rsidR="00310C71" w:rsidRPr="00CA4ABC" w:rsidRDefault="00310C71" w:rsidP="00310C71">
      <w:pPr>
        <w:autoSpaceDE w:val="0"/>
        <w:autoSpaceDN w:val="0"/>
        <w:adjustRightInd w:val="0"/>
        <w:spacing w:line="360" w:lineRule="auto"/>
        <w:ind w:firstLine="720"/>
        <w:rPr>
          <w:rFonts w:cstheme="minorHAnsi"/>
          <w:color w:val="000000" w:themeColor="text1"/>
        </w:rPr>
      </w:pPr>
    </w:p>
    <w:p w14:paraId="05488B9B" w14:textId="77777777"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362" w:name="_Toc135384396"/>
      <w:r w:rsidRPr="00CA4ABC">
        <w:rPr>
          <w:rFonts w:asciiTheme="minorHAnsi" w:hAnsiTheme="minorHAnsi" w:cstheme="minorHAnsi"/>
          <w:b/>
          <w:bCs/>
          <w:color w:val="000000" w:themeColor="text1"/>
          <w:sz w:val="24"/>
          <w:szCs w:val="24"/>
        </w:rPr>
        <w:t>6.2: Aim, Objectives and hypothesis:</w:t>
      </w:r>
      <w:bookmarkEnd w:id="362"/>
    </w:p>
    <w:p w14:paraId="4B207819" w14:textId="0D6D7181" w:rsidR="00310C71" w:rsidRPr="00CA4ABC" w:rsidRDefault="00310C71" w:rsidP="00310C71">
      <w:pPr>
        <w:pStyle w:val="Heading3"/>
        <w:spacing w:line="360" w:lineRule="auto"/>
        <w:rPr>
          <w:rFonts w:asciiTheme="minorHAnsi" w:hAnsiTheme="minorHAnsi" w:cstheme="minorHAnsi"/>
          <w:color w:val="000000" w:themeColor="text1"/>
        </w:rPr>
      </w:pPr>
      <w:bookmarkStart w:id="363" w:name="_Toc135384397"/>
      <w:r w:rsidRPr="00CA4ABC">
        <w:rPr>
          <w:rFonts w:asciiTheme="minorHAnsi" w:hAnsiTheme="minorHAnsi" w:cstheme="minorHAnsi"/>
          <w:color w:val="000000" w:themeColor="text1"/>
        </w:rPr>
        <w:t xml:space="preserve">6.2.1 Aim: </w:t>
      </w:r>
      <w:bookmarkStart w:id="364" w:name="_Toc125879993"/>
      <w:r w:rsidRPr="00CA4ABC">
        <w:rPr>
          <w:rFonts w:asciiTheme="minorHAnsi" w:hAnsiTheme="minorHAnsi" w:cstheme="minorHAnsi"/>
          <w:color w:val="000000" w:themeColor="text1"/>
        </w:rPr>
        <w:t>To investigate the impact on muscle strength of a 12</w:t>
      </w:r>
      <w:r w:rsidR="00964D3D"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week exercise and protein intervention </w:t>
      </w:r>
      <w:r w:rsidR="00964D3D" w:rsidRPr="00CA4ABC">
        <w:rPr>
          <w:rFonts w:asciiTheme="minorHAnsi" w:hAnsiTheme="minorHAnsi" w:cstheme="minorHAnsi"/>
          <w:color w:val="000000" w:themeColor="text1"/>
        </w:rPr>
        <w:t>delivered</w:t>
      </w:r>
      <w:r w:rsidRPr="00CA4ABC">
        <w:rPr>
          <w:rFonts w:asciiTheme="minorHAnsi" w:hAnsiTheme="minorHAnsi" w:cstheme="minorHAnsi"/>
          <w:color w:val="000000" w:themeColor="text1"/>
        </w:rPr>
        <w:t xml:space="preserve"> remotely to </w:t>
      </w:r>
      <w:r w:rsidR="00964D3D" w:rsidRPr="00CA4ABC">
        <w:rPr>
          <w:rFonts w:asciiTheme="minorHAnsi" w:hAnsiTheme="minorHAnsi" w:cstheme="minorHAnsi"/>
          <w:color w:val="000000" w:themeColor="text1"/>
        </w:rPr>
        <w:t>middle-aged</w:t>
      </w:r>
      <w:r w:rsidRPr="00CA4ABC">
        <w:rPr>
          <w:rFonts w:asciiTheme="minorHAnsi" w:hAnsiTheme="minorHAnsi" w:cstheme="minorHAnsi"/>
          <w:color w:val="000000" w:themeColor="text1"/>
        </w:rPr>
        <w:t xml:space="preserve"> adults.</w:t>
      </w:r>
      <w:bookmarkEnd w:id="363"/>
      <w:bookmarkEnd w:id="364"/>
      <w:r w:rsidRPr="00CA4ABC">
        <w:rPr>
          <w:rFonts w:asciiTheme="minorHAnsi" w:hAnsiTheme="minorHAnsi" w:cstheme="minorHAnsi"/>
          <w:color w:val="000000" w:themeColor="text1"/>
        </w:rPr>
        <w:t xml:space="preserve"> </w:t>
      </w:r>
    </w:p>
    <w:p w14:paraId="37AC392A" w14:textId="77777777" w:rsidR="00310C71" w:rsidRPr="00CA4ABC" w:rsidRDefault="00310C71" w:rsidP="00310C71">
      <w:pPr>
        <w:rPr>
          <w:rFonts w:cstheme="minorHAnsi"/>
          <w:lang w:eastAsia="en-GB"/>
        </w:rPr>
      </w:pPr>
    </w:p>
    <w:p w14:paraId="6519D12E" w14:textId="77777777" w:rsidR="00310C71" w:rsidRPr="00CA4ABC" w:rsidRDefault="00310C71" w:rsidP="00310C71">
      <w:pPr>
        <w:pStyle w:val="Heading3"/>
        <w:spacing w:line="360" w:lineRule="auto"/>
        <w:rPr>
          <w:rFonts w:asciiTheme="minorHAnsi" w:hAnsiTheme="minorHAnsi" w:cstheme="minorHAnsi"/>
          <w:color w:val="000000" w:themeColor="text1"/>
        </w:rPr>
      </w:pPr>
      <w:bookmarkStart w:id="365" w:name="_Toc135384398"/>
      <w:r w:rsidRPr="00CA4ABC">
        <w:rPr>
          <w:rFonts w:asciiTheme="minorHAnsi" w:hAnsiTheme="minorHAnsi" w:cstheme="minorHAnsi"/>
          <w:color w:val="000000" w:themeColor="text1"/>
        </w:rPr>
        <w:t>6.2.2 Objectives:</w:t>
      </w:r>
      <w:bookmarkEnd w:id="365"/>
    </w:p>
    <w:p w14:paraId="2A7AB225" w14:textId="470EDF2A" w:rsidR="00310C71" w:rsidRPr="00CA4ABC" w:rsidRDefault="00310C71">
      <w:pPr>
        <w:pStyle w:val="ListParagraph"/>
        <w:numPr>
          <w:ilvl w:val="0"/>
          <w:numId w:val="34"/>
        </w:numPr>
        <w:spacing w:line="360" w:lineRule="auto"/>
        <w:rPr>
          <w:rFonts w:cstheme="minorHAnsi"/>
          <w:color w:val="000000" w:themeColor="text1"/>
        </w:rPr>
      </w:pPr>
      <w:r w:rsidRPr="00CA4ABC">
        <w:rPr>
          <w:rFonts w:cstheme="minorHAnsi"/>
          <w:color w:val="000000" w:themeColor="text1"/>
        </w:rPr>
        <w:t>Explore acceptable protein sources which are suitable for vegans</w:t>
      </w:r>
      <w:r w:rsidR="00964D3D" w:rsidRPr="00CA4ABC">
        <w:rPr>
          <w:rFonts w:cstheme="minorHAnsi"/>
          <w:color w:val="000000" w:themeColor="text1"/>
        </w:rPr>
        <w:t xml:space="preserve">, </w:t>
      </w:r>
      <w:r w:rsidRPr="00CA4ABC">
        <w:rPr>
          <w:rFonts w:cstheme="minorHAnsi"/>
          <w:color w:val="000000" w:themeColor="text1"/>
        </w:rPr>
        <w:t>adhered to and do not affect appetite/displace energy intakes.</w:t>
      </w:r>
    </w:p>
    <w:p w14:paraId="40110684" w14:textId="66916771" w:rsidR="00310C71" w:rsidRPr="00CA4ABC" w:rsidRDefault="00310C71">
      <w:pPr>
        <w:pStyle w:val="ListParagraph"/>
        <w:numPr>
          <w:ilvl w:val="0"/>
          <w:numId w:val="34"/>
        </w:numPr>
        <w:spacing w:line="360" w:lineRule="auto"/>
        <w:rPr>
          <w:rFonts w:cstheme="minorHAnsi"/>
          <w:color w:val="000000" w:themeColor="text1"/>
        </w:rPr>
      </w:pPr>
      <w:r w:rsidRPr="00CA4ABC">
        <w:rPr>
          <w:rFonts w:cstheme="minorHAnsi"/>
          <w:color w:val="000000" w:themeColor="text1"/>
        </w:rPr>
        <w:t xml:space="preserve">To conduct a </w:t>
      </w:r>
      <w:r w:rsidR="00721C82" w:rsidRPr="00CA4ABC">
        <w:rPr>
          <w:rFonts w:cstheme="minorHAnsi"/>
          <w:color w:val="000000" w:themeColor="text1"/>
        </w:rPr>
        <w:t>4-armed parallel</w:t>
      </w:r>
      <w:r w:rsidRPr="00CA4ABC">
        <w:rPr>
          <w:rFonts w:cstheme="minorHAnsi"/>
          <w:color w:val="000000" w:themeColor="text1"/>
        </w:rPr>
        <w:t xml:space="preserve"> controlled intervention trial of exercise and protein.   </w:t>
      </w:r>
    </w:p>
    <w:p w14:paraId="6833BDF5" w14:textId="77777777" w:rsidR="00310C71" w:rsidRPr="00CA4ABC" w:rsidRDefault="00310C71">
      <w:pPr>
        <w:pStyle w:val="ListParagraph"/>
        <w:numPr>
          <w:ilvl w:val="0"/>
          <w:numId w:val="34"/>
        </w:numPr>
        <w:spacing w:line="360" w:lineRule="auto"/>
        <w:rPr>
          <w:rFonts w:cstheme="minorHAnsi"/>
          <w:color w:val="000000" w:themeColor="text1"/>
        </w:rPr>
      </w:pPr>
      <w:r w:rsidRPr="00CA4ABC">
        <w:rPr>
          <w:rFonts w:cstheme="minorHAnsi"/>
          <w:color w:val="000000" w:themeColor="text1"/>
        </w:rPr>
        <w:t>To assess skeletal muscle parameters pre and post-intervention.</w:t>
      </w:r>
    </w:p>
    <w:p w14:paraId="240B4F33" w14:textId="6D4F1887" w:rsidR="00310C71" w:rsidRPr="00CA4ABC" w:rsidRDefault="00310C71">
      <w:pPr>
        <w:pStyle w:val="ListParagraph"/>
        <w:numPr>
          <w:ilvl w:val="0"/>
          <w:numId w:val="34"/>
        </w:numPr>
        <w:spacing w:line="360" w:lineRule="auto"/>
        <w:rPr>
          <w:rFonts w:cstheme="minorHAnsi"/>
          <w:color w:val="000000" w:themeColor="text1"/>
        </w:rPr>
      </w:pPr>
      <w:r w:rsidRPr="00CA4ABC">
        <w:rPr>
          <w:rFonts w:cstheme="minorHAnsi"/>
          <w:color w:val="000000" w:themeColor="text1"/>
        </w:rPr>
        <w:t xml:space="preserve">Monitor attendance, engagement, fidelity, adverse events and dropout rates throughout the </w:t>
      </w:r>
      <w:r w:rsidR="00964D3D" w:rsidRPr="00CA4ABC">
        <w:rPr>
          <w:rFonts w:cstheme="minorHAnsi"/>
          <w:color w:val="000000" w:themeColor="text1"/>
        </w:rPr>
        <w:t>12-week</w:t>
      </w:r>
      <w:r w:rsidRPr="00CA4ABC">
        <w:rPr>
          <w:rFonts w:cstheme="minorHAnsi"/>
          <w:color w:val="000000" w:themeColor="text1"/>
        </w:rPr>
        <w:t xml:space="preserve"> intervention trial for both interventions.</w:t>
      </w:r>
    </w:p>
    <w:p w14:paraId="60EA2048" w14:textId="08F6E79B" w:rsidR="00310C71" w:rsidRPr="00CA4ABC" w:rsidRDefault="00310C71">
      <w:pPr>
        <w:pStyle w:val="ListParagraph"/>
        <w:numPr>
          <w:ilvl w:val="0"/>
          <w:numId w:val="34"/>
        </w:numPr>
        <w:spacing w:line="360" w:lineRule="auto"/>
        <w:rPr>
          <w:rFonts w:cstheme="minorHAnsi"/>
          <w:color w:val="000000" w:themeColor="text1"/>
        </w:rPr>
      </w:pPr>
      <w:r w:rsidRPr="00CA4ABC">
        <w:rPr>
          <w:rFonts w:cstheme="minorHAnsi"/>
          <w:color w:val="000000" w:themeColor="text1"/>
        </w:rPr>
        <w:t>To assess quality of life, physical activity</w:t>
      </w:r>
      <w:r w:rsidR="002473D7" w:rsidRPr="00CA4ABC">
        <w:rPr>
          <w:rFonts w:cstheme="minorHAnsi"/>
          <w:color w:val="000000" w:themeColor="text1"/>
        </w:rPr>
        <w:t xml:space="preserve"> levels</w:t>
      </w:r>
      <w:r w:rsidRPr="00CA4ABC">
        <w:rPr>
          <w:rFonts w:cstheme="minorHAnsi"/>
          <w:color w:val="000000" w:themeColor="text1"/>
        </w:rPr>
        <w:t>, appetite and food and energy intakes pre and post-intervention.</w:t>
      </w:r>
    </w:p>
    <w:p w14:paraId="031FCEBF" w14:textId="6F4204F9" w:rsidR="002473D7" w:rsidRPr="00CA4ABC" w:rsidRDefault="002473D7">
      <w:pPr>
        <w:pStyle w:val="ListParagraph"/>
        <w:numPr>
          <w:ilvl w:val="0"/>
          <w:numId w:val="34"/>
        </w:numPr>
        <w:spacing w:line="360" w:lineRule="auto"/>
        <w:rPr>
          <w:rFonts w:cstheme="minorHAnsi"/>
          <w:color w:val="000000" w:themeColor="text1"/>
        </w:rPr>
      </w:pPr>
      <w:r w:rsidRPr="00CA4ABC">
        <w:rPr>
          <w:rFonts w:cstheme="minorHAnsi"/>
          <w:color w:val="000000" w:themeColor="text1"/>
        </w:rPr>
        <w:t>To unders</w:t>
      </w:r>
      <w:r w:rsidR="00217C4B" w:rsidRPr="00CA4ABC">
        <w:rPr>
          <w:rFonts w:cstheme="minorHAnsi"/>
          <w:color w:val="000000" w:themeColor="text1"/>
        </w:rPr>
        <w:t>tand longer-term physical activity engagement</w:t>
      </w:r>
      <w:r w:rsidRPr="00CA4ABC">
        <w:rPr>
          <w:rFonts w:cstheme="minorHAnsi"/>
          <w:color w:val="000000" w:themeColor="text1"/>
        </w:rPr>
        <w:t xml:space="preserve"> </w:t>
      </w:r>
      <w:r w:rsidR="00217C4B" w:rsidRPr="00CA4ABC">
        <w:rPr>
          <w:rFonts w:cstheme="minorHAnsi"/>
          <w:color w:val="000000" w:themeColor="text1"/>
        </w:rPr>
        <w:t>2 months post-intervention trial.</w:t>
      </w:r>
    </w:p>
    <w:p w14:paraId="10E5524F" w14:textId="3EBB0769" w:rsidR="00310C71" w:rsidRPr="00CA4ABC" w:rsidRDefault="00310C71" w:rsidP="00310C71">
      <w:pPr>
        <w:pStyle w:val="Heading3"/>
        <w:spacing w:line="360" w:lineRule="auto"/>
        <w:rPr>
          <w:rFonts w:asciiTheme="minorHAnsi" w:hAnsiTheme="minorHAnsi" w:cstheme="minorHAnsi"/>
          <w:color w:val="000000" w:themeColor="text1"/>
        </w:rPr>
      </w:pPr>
      <w:bookmarkStart w:id="366" w:name="_Toc135384399"/>
      <w:r w:rsidRPr="00CA4ABC">
        <w:rPr>
          <w:rFonts w:asciiTheme="minorHAnsi" w:hAnsiTheme="minorHAnsi" w:cstheme="minorHAnsi"/>
          <w:color w:val="000000" w:themeColor="text1"/>
        </w:rPr>
        <w:t xml:space="preserve">6.2.3 Hypothesis: A remotely delivered exercise and nutrition intervention trial in middle-aged adults will lead to strength changes across a </w:t>
      </w:r>
      <w:r w:rsidR="00964D3D" w:rsidRPr="00CA4ABC">
        <w:rPr>
          <w:rFonts w:asciiTheme="minorHAnsi" w:hAnsiTheme="minorHAnsi" w:cstheme="minorHAnsi"/>
          <w:color w:val="000000" w:themeColor="text1"/>
        </w:rPr>
        <w:t>twelve-week</w:t>
      </w:r>
      <w:r w:rsidRPr="00CA4ABC">
        <w:rPr>
          <w:rFonts w:asciiTheme="minorHAnsi" w:hAnsiTheme="minorHAnsi" w:cstheme="minorHAnsi"/>
          <w:color w:val="000000" w:themeColor="text1"/>
        </w:rPr>
        <w:t xml:space="preserve"> period.</w:t>
      </w:r>
      <w:bookmarkEnd w:id="366"/>
      <w:r w:rsidRPr="00CA4ABC">
        <w:rPr>
          <w:rFonts w:asciiTheme="minorHAnsi" w:hAnsiTheme="minorHAnsi" w:cstheme="minorHAnsi"/>
          <w:color w:val="000000" w:themeColor="text1"/>
        </w:rPr>
        <w:t xml:space="preserve"> </w:t>
      </w:r>
    </w:p>
    <w:p w14:paraId="4893669B" w14:textId="77777777" w:rsidR="00310C71" w:rsidRPr="00CA4ABC" w:rsidRDefault="00310C71" w:rsidP="00310C71">
      <w:pPr>
        <w:spacing w:line="360" w:lineRule="auto"/>
        <w:rPr>
          <w:rFonts w:cstheme="minorHAnsi"/>
          <w:color w:val="000000" w:themeColor="text1"/>
        </w:rPr>
      </w:pPr>
    </w:p>
    <w:p w14:paraId="59D43434" w14:textId="77777777" w:rsidR="00310C71" w:rsidRPr="00CA4ABC" w:rsidRDefault="00310C71" w:rsidP="00310C71">
      <w:pPr>
        <w:spacing w:line="360" w:lineRule="auto"/>
        <w:rPr>
          <w:rFonts w:cstheme="minorHAnsi"/>
          <w:b/>
          <w:bCs/>
          <w:color w:val="000000" w:themeColor="text1"/>
        </w:rPr>
      </w:pPr>
      <w:r w:rsidRPr="00CA4ABC">
        <w:rPr>
          <w:rFonts w:cstheme="minorHAnsi"/>
          <w:b/>
          <w:bCs/>
          <w:color w:val="000000" w:themeColor="text1"/>
        </w:rPr>
        <w:t>6.3 Workstream 1 – Preliminary protein testing:</w:t>
      </w:r>
    </w:p>
    <w:p w14:paraId="3CE39E4F" w14:textId="38901D6F" w:rsidR="00310C71" w:rsidRPr="00CA4ABC" w:rsidRDefault="00310C71" w:rsidP="00310C71">
      <w:pPr>
        <w:spacing w:line="360" w:lineRule="auto"/>
        <w:rPr>
          <w:rFonts w:cstheme="minorHAnsi"/>
          <w:color w:val="000000" w:themeColor="text1"/>
        </w:rPr>
      </w:pPr>
      <w:r w:rsidRPr="00CA4ABC">
        <w:rPr>
          <w:rFonts w:cstheme="minorHAnsi"/>
          <w:color w:val="000000" w:themeColor="text1"/>
        </w:rPr>
        <w:tab/>
        <w:t>As outlined in chapter 5</w:t>
      </w:r>
      <w:r w:rsidR="00964D3D" w:rsidRPr="00CA4ABC">
        <w:rPr>
          <w:rFonts w:cstheme="minorHAnsi"/>
          <w:color w:val="000000" w:themeColor="text1"/>
        </w:rPr>
        <w:t>,</w:t>
      </w:r>
      <w:r w:rsidRPr="00CA4ABC">
        <w:rPr>
          <w:rFonts w:cstheme="minorHAnsi"/>
          <w:color w:val="000000" w:themeColor="text1"/>
        </w:rPr>
        <w:t xml:space="preserve"> a supplement provided by ProSource was disliked mainly because of its sweet</w:t>
      </w:r>
      <w:r w:rsidR="00964D3D" w:rsidRPr="00CA4ABC">
        <w:rPr>
          <w:rFonts w:cstheme="minorHAnsi"/>
          <w:color w:val="000000" w:themeColor="text1"/>
        </w:rPr>
        <w:t>-</w:t>
      </w:r>
      <w:r w:rsidRPr="00CA4ABC">
        <w:rPr>
          <w:rFonts w:cstheme="minorHAnsi"/>
          <w:color w:val="000000" w:themeColor="text1"/>
        </w:rPr>
        <w:t xml:space="preserve">tasting nature. Furthermore, this contained collagen and whey so </w:t>
      </w:r>
      <w:r w:rsidR="00964D3D" w:rsidRPr="00CA4ABC">
        <w:rPr>
          <w:rFonts w:cstheme="minorHAnsi"/>
          <w:color w:val="000000" w:themeColor="text1"/>
        </w:rPr>
        <w:t xml:space="preserve">it </w:t>
      </w:r>
      <w:r w:rsidRPr="00CA4ABC">
        <w:rPr>
          <w:rFonts w:cstheme="minorHAnsi"/>
          <w:color w:val="000000" w:themeColor="text1"/>
        </w:rPr>
        <w:t>was not appropriate for vegetarians/vegans, As previously shown in chapter 4, associations between being a non-meat eater and having low protein intakes were identified. To enhance study eligibility for these individuals, vegan-friendly supplements will be tested. In total, two supplements and one food-based intervention will be t</w:t>
      </w:r>
      <w:r w:rsidR="00721C82" w:rsidRPr="00CA4ABC">
        <w:rPr>
          <w:rFonts w:cstheme="minorHAnsi"/>
          <w:color w:val="000000" w:themeColor="text1"/>
        </w:rPr>
        <w:t>rialled</w:t>
      </w:r>
      <w:r w:rsidRPr="00CA4ABC">
        <w:rPr>
          <w:rFonts w:cstheme="minorHAnsi"/>
          <w:color w:val="000000" w:themeColor="text1"/>
        </w:rPr>
        <w:t xml:space="preserve"> </w:t>
      </w:r>
      <w:r w:rsidR="00964D3D" w:rsidRPr="00CA4ABC">
        <w:rPr>
          <w:rFonts w:cstheme="minorHAnsi"/>
          <w:color w:val="000000" w:themeColor="text1"/>
        </w:rPr>
        <w:t xml:space="preserve">with </w:t>
      </w:r>
      <w:r w:rsidRPr="00CA4ABC">
        <w:rPr>
          <w:rFonts w:cstheme="minorHAnsi"/>
          <w:color w:val="000000" w:themeColor="text1"/>
        </w:rPr>
        <w:t xml:space="preserve">the most appropriate </w:t>
      </w:r>
      <w:r w:rsidR="00964D3D" w:rsidRPr="00CA4ABC">
        <w:rPr>
          <w:rFonts w:cstheme="minorHAnsi"/>
          <w:color w:val="000000" w:themeColor="text1"/>
        </w:rPr>
        <w:t>being</w:t>
      </w:r>
      <w:r w:rsidRPr="00CA4ABC">
        <w:rPr>
          <w:rFonts w:cstheme="minorHAnsi"/>
          <w:color w:val="000000" w:themeColor="text1"/>
        </w:rPr>
        <w:t xml:space="preserve"> carried forward to the final </w:t>
      </w:r>
      <w:r w:rsidR="00721C82" w:rsidRPr="00CA4ABC">
        <w:rPr>
          <w:rFonts w:cstheme="minorHAnsi"/>
          <w:color w:val="000000" w:themeColor="text1"/>
        </w:rPr>
        <w:t xml:space="preserve">study design </w:t>
      </w:r>
      <w:r w:rsidRPr="00CA4ABC">
        <w:rPr>
          <w:rFonts w:cstheme="minorHAnsi"/>
          <w:color w:val="000000" w:themeColor="text1"/>
        </w:rPr>
        <w:t>(</w:t>
      </w:r>
      <w:r w:rsidRPr="00CA4ABC">
        <w:rPr>
          <w:rFonts w:cstheme="minorHAnsi"/>
          <w:color w:val="000000" w:themeColor="text1"/>
        </w:rPr>
        <w:fldChar w:fldCharType="begin"/>
      </w:r>
      <w:r w:rsidRPr="00CA4ABC">
        <w:rPr>
          <w:rFonts w:cstheme="minorHAnsi"/>
          <w:color w:val="000000" w:themeColor="text1"/>
        </w:rPr>
        <w:instrText xml:space="preserve"> REF _Ref125482618 \h </w:instrText>
      </w:r>
      <w:r w:rsidR="00CA4ABC">
        <w:rPr>
          <w:rFonts w:cstheme="minorHAnsi"/>
          <w:color w:val="000000" w:themeColor="text1"/>
        </w:rPr>
        <w:instrText xml:space="preserve"> \* MERGEFORMAT </w:instrText>
      </w:r>
      <w:r w:rsidRPr="00CA4ABC">
        <w:rPr>
          <w:rFonts w:cstheme="minorHAnsi"/>
          <w:color w:val="000000" w:themeColor="text1"/>
        </w:rPr>
      </w:r>
      <w:r w:rsidRPr="00CA4ABC">
        <w:rPr>
          <w:rFonts w:cstheme="minorHAnsi"/>
          <w:color w:val="000000" w:themeColor="text1"/>
        </w:rPr>
        <w:fldChar w:fldCharType="separate"/>
      </w:r>
      <w:r w:rsidRPr="00CA4ABC">
        <w:rPr>
          <w:rFonts w:cstheme="minorHAnsi"/>
          <w:color w:val="000000" w:themeColor="text1"/>
        </w:rPr>
        <w:t xml:space="preserve">Figure </w:t>
      </w:r>
      <w:r w:rsidRPr="00CA4ABC">
        <w:rPr>
          <w:rFonts w:cstheme="minorHAnsi"/>
          <w:noProof/>
          <w:color w:val="000000" w:themeColor="text1"/>
        </w:rPr>
        <w:t>20</w:t>
      </w:r>
      <w:r w:rsidRPr="00CA4ABC">
        <w:rPr>
          <w:rFonts w:cstheme="minorHAnsi"/>
          <w:color w:val="000000" w:themeColor="text1"/>
        </w:rPr>
        <w:fldChar w:fldCharType="end"/>
      </w:r>
      <w:r w:rsidRPr="00CA4ABC">
        <w:rPr>
          <w:rFonts w:cstheme="minorHAnsi"/>
          <w:color w:val="000000" w:themeColor="text1"/>
        </w:rPr>
        <w:t xml:space="preserve">.) These include 1) a </w:t>
      </w:r>
      <w:r w:rsidR="00964D3D" w:rsidRPr="00CA4ABC">
        <w:rPr>
          <w:rFonts w:cstheme="minorHAnsi"/>
          <w:color w:val="000000" w:themeColor="text1"/>
        </w:rPr>
        <w:lastRenderedPageBreak/>
        <w:t>pea-protein-based</w:t>
      </w:r>
      <w:r w:rsidRPr="00CA4ABC">
        <w:rPr>
          <w:rFonts w:cstheme="minorHAnsi"/>
          <w:color w:val="000000" w:themeColor="text1"/>
        </w:rPr>
        <w:t xml:space="preserve"> supplement from a commercial protein company (myprotein) 2) a soy-protein</w:t>
      </w:r>
      <w:r w:rsidR="00964D3D" w:rsidRPr="00CA4ABC">
        <w:rPr>
          <w:rFonts w:cstheme="minorHAnsi"/>
          <w:color w:val="000000" w:themeColor="text1"/>
        </w:rPr>
        <w:t>-</w:t>
      </w:r>
      <w:r w:rsidRPr="00CA4ABC">
        <w:rPr>
          <w:rFonts w:cstheme="minorHAnsi"/>
          <w:color w:val="000000" w:themeColor="text1"/>
        </w:rPr>
        <w:t xml:space="preserve">based protein supplement from a commercial protein company (myprotein)  3) a </w:t>
      </w:r>
      <w:r w:rsidR="00A3620B" w:rsidRPr="00CA4ABC">
        <w:rPr>
          <w:rFonts w:cstheme="minorHAnsi"/>
          <w:color w:val="000000" w:themeColor="text1"/>
        </w:rPr>
        <w:t>food-first</w:t>
      </w:r>
      <w:r w:rsidRPr="00CA4ABC">
        <w:rPr>
          <w:rFonts w:cstheme="minorHAnsi"/>
          <w:color w:val="000000" w:themeColor="text1"/>
        </w:rPr>
        <w:t xml:space="preserve"> approach consisting of 300ml of high protein soya milk which equate</w:t>
      </w:r>
      <w:r w:rsidR="00A3620B" w:rsidRPr="00CA4ABC">
        <w:rPr>
          <w:rFonts w:cstheme="minorHAnsi"/>
          <w:color w:val="000000" w:themeColor="text1"/>
        </w:rPr>
        <w:t>s</w:t>
      </w:r>
      <w:r w:rsidRPr="00CA4ABC">
        <w:rPr>
          <w:rFonts w:cstheme="minorHAnsi"/>
          <w:color w:val="000000" w:themeColor="text1"/>
        </w:rPr>
        <w:t xml:space="preserve"> to 15g of protein. To mitigate the </w:t>
      </w:r>
      <w:r w:rsidR="00964D3D" w:rsidRPr="00CA4ABC">
        <w:rPr>
          <w:rFonts w:cstheme="minorHAnsi"/>
          <w:color w:val="000000" w:themeColor="text1"/>
        </w:rPr>
        <w:t>low-quality</w:t>
      </w:r>
      <w:r w:rsidRPr="00CA4ABC">
        <w:rPr>
          <w:rFonts w:cstheme="minorHAnsi"/>
          <w:color w:val="000000" w:themeColor="text1"/>
        </w:rPr>
        <w:t xml:space="preserve"> nature associated with plant-based proteins</w:t>
      </w:r>
      <w:r w:rsidR="00C71E8E" w:rsidRPr="00CA4ABC">
        <w:rPr>
          <w:rFonts w:cstheme="minorHAnsi"/>
          <w:color w:val="000000" w:themeColor="text1"/>
        </w:rPr>
        <w:t xml:space="preserve"> (244</w:t>
      </w:r>
      <w:r w:rsidRPr="00CA4ABC">
        <w:rPr>
          <w:rFonts w:cstheme="minorHAnsi"/>
          <w:color w:val="000000" w:themeColor="text1"/>
        </w:rPr>
        <w:t xml:space="preserve">), </w:t>
      </w:r>
      <w:r w:rsidR="00721C82" w:rsidRPr="00CA4ABC">
        <w:rPr>
          <w:rFonts w:cstheme="minorHAnsi"/>
          <w:color w:val="000000" w:themeColor="text1"/>
        </w:rPr>
        <w:t xml:space="preserve">the supplement will be </w:t>
      </w:r>
      <w:r w:rsidRPr="00CA4ABC">
        <w:rPr>
          <w:rFonts w:cstheme="minorHAnsi"/>
          <w:color w:val="000000" w:themeColor="text1"/>
        </w:rPr>
        <w:t>enric</w:t>
      </w:r>
      <w:r w:rsidR="00721C82" w:rsidRPr="00CA4ABC">
        <w:rPr>
          <w:rFonts w:cstheme="minorHAnsi"/>
          <w:color w:val="000000" w:themeColor="text1"/>
        </w:rPr>
        <w:t>hed to reach</w:t>
      </w:r>
      <w:r w:rsidRPr="00CA4ABC">
        <w:rPr>
          <w:rFonts w:cstheme="minorHAnsi"/>
          <w:color w:val="000000" w:themeColor="text1"/>
        </w:rPr>
        <w:t xml:space="preserve"> </w:t>
      </w:r>
      <w:r w:rsidR="007A460A" w:rsidRPr="00CA4ABC">
        <w:rPr>
          <w:rFonts w:cstheme="minorHAnsi"/>
          <w:color w:val="000000" w:themeColor="text1"/>
        </w:rPr>
        <w:t>2.5</w:t>
      </w:r>
      <w:r w:rsidR="00D96159" w:rsidRPr="00CA4ABC">
        <w:rPr>
          <w:rFonts w:cstheme="minorHAnsi"/>
          <w:color w:val="000000" w:themeColor="text1"/>
        </w:rPr>
        <w:t>g</w:t>
      </w:r>
      <w:r w:rsidR="00721C82" w:rsidRPr="00CA4ABC">
        <w:rPr>
          <w:rFonts w:cstheme="minorHAnsi"/>
          <w:color w:val="000000" w:themeColor="text1"/>
        </w:rPr>
        <w:t xml:space="preserve"> of leucine</w:t>
      </w:r>
      <w:r w:rsidR="00D96159" w:rsidRPr="00CA4ABC">
        <w:rPr>
          <w:rFonts w:cstheme="minorHAnsi"/>
          <w:color w:val="000000" w:themeColor="text1"/>
        </w:rPr>
        <w:t xml:space="preserve"> (100). </w:t>
      </w:r>
      <w:r w:rsidR="00721C82" w:rsidRPr="00CA4ABC">
        <w:rPr>
          <w:rFonts w:cstheme="minorHAnsi"/>
          <w:color w:val="000000" w:themeColor="text1"/>
        </w:rPr>
        <w:t>T</w:t>
      </w:r>
      <w:r w:rsidR="003205FF" w:rsidRPr="00CA4ABC">
        <w:rPr>
          <w:rFonts w:cstheme="minorHAnsi"/>
          <w:color w:val="000000" w:themeColor="text1"/>
        </w:rPr>
        <w:t>iming</w:t>
      </w:r>
      <w:r w:rsidR="00721C82" w:rsidRPr="00CA4ABC">
        <w:rPr>
          <w:rFonts w:cstheme="minorHAnsi"/>
          <w:color w:val="000000" w:themeColor="text1"/>
        </w:rPr>
        <w:t xml:space="preserve"> delivery</w:t>
      </w:r>
      <w:r w:rsidR="003205FF" w:rsidRPr="00CA4ABC">
        <w:rPr>
          <w:rFonts w:cstheme="minorHAnsi"/>
          <w:color w:val="000000" w:themeColor="text1"/>
        </w:rPr>
        <w:t xml:space="preserve"> of the supplement will be designed to address protein skewing</w:t>
      </w:r>
      <w:r w:rsidR="00D96159" w:rsidRPr="00CA4ABC">
        <w:rPr>
          <w:rFonts w:cstheme="minorHAnsi"/>
          <w:color w:val="000000" w:themeColor="text1"/>
        </w:rPr>
        <w:t xml:space="preserve"> (102)</w:t>
      </w:r>
      <w:r w:rsidR="003205FF" w:rsidRPr="00CA4ABC">
        <w:rPr>
          <w:rFonts w:cstheme="minorHAnsi"/>
          <w:color w:val="000000" w:themeColor="text1"/>
        </w:rPr>
        <w:t xml:space="preserve"> and achieve protein threshold guidelines for MPS activation</w:t>
      </w:r>
      <w:r w:rsidR="00D96159" w:rsidRPr="00CA4ABC">
        <w:rPr>
          <w:rFonts w:cstheme="minorHAnsi"/>
          <w:color w:val="000000" w:themeColor="text1"/>
        </w:rPr>
        <w:t xml:space="preserve"> (51</w:t>
      </w:r>
      <w:r w:rsidR="00A3620B" w:rsidRPr="00CA4ABC">
        <w:rPr>
          <w:rFonts w:cstheme="minorHAnsi"/>
          <w:color w:val="000000" w:themeColor="text1"/>
        </w:rPr>
        <w:t>, 139</w:t>
      </w:r>
      <w:r w:rsidR="00D96159" w:rsidRPr="00CA4ABC">
        <w:rPr>
          <w:rFonts w:cstheme="minorHAnsi"/>
          <w:color w:val="000000" w:themeColor="text1"/>
        </w:rPr>
        <w:t>)</w:t>
      </w:r>
      <w:r w:rsidR="003205FF" w:rsidRPr="00CA4ABC">
        <w:rPr>
          <w:rFonts w:cstheme="minorHAnsi"/>
          <w:color w:val="000000" w:themeColor="text1"/>
        </w:rPr>
        <w:t xml:space="preserve">. </w:t>
      </w:r>
      <w:r w:rsidR="00CE7376" w:rsidRPr="00CA4ABC">
        <w:rPr>
          <w:rFonts w:cstheme="minorHAnsi"/>
          <w:color w:val="000000" w:themeColor="text1"/>
        </w:rPr>
        <w:t>Further rational for protein dosing and timing decision</w:t>
      </w:r>
      <w:r w:rsidR="00721C82" w:rsidRPr="00CA4ABC">
        <w:rPr>
          <w:rFonts w:cstheme="minorHAnsi"/>
          <w:color w:val="000000" w:themeColor="text1"/>
        </w:rPr>
        <w:t>s</w:t>
      </w:r>
      <w:r w:rsidR="00CE7376" w:rsidRPr="00CA4ABC">
        <w:rPr>
          <w:rFonts w:cstheme="minorHAnsi"/>
          <w:color w:val="000000" w:themeColor="text1"/>
        </w:rPr>
        <w:t xml:space="preserve"> have been outlined in section 5.2.5.2.</w:t>
      </w:r>
    </w:p>
    <w:p w14:paraId="033D1A5D" w14:textId="68A98313" w:rsidR="00310C71" w:rsidRPr="00CA4ABC" w:rsidRDefault="00310C71" w:rsidP="00310C71">
      <w:pPr>
        <w:spacing w:line="360" w:lineRule="auto"/>
        <w:rPr>
          <w:rFonts w:cstheme="minorHAnsi"/>
          <w:color w:val="000000" w:themeColor="text1"/>
        </w:rPr>
      </w:pPr>
      <w:r w:rsidRPr="00CA4ABC">
        <w:rPr>
          <w:rFonts w:cstheme="minorHAnsi"/>
          <w:noProof/>
          <w:color w:val="000000" w:themeColor="text1"/>
          <w:lang w:eastAsia="zh-CN"/>
        </w:rPr>
        <w:drawing>
          <wp:inline distT="0" distB="0" distL="0" distR="0" wp14:anchorId="221EA139" wp14:editId="668241E4">
            <wp:extent cx="6107289" cy="3875055"/>
            <wp:effectExtent l="0" t="0" r="1905" b="0"/>
            <wp:docPr id="17" name="Picture 17" descr="Company n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ompany name&#10;&#10;Description automatically generated with medium confidence"/>
                    <pic:cNvPicPr/>
                  </pic:nvPicPr>
                  <pic:blipFill rotWithShape="1">
                    <a:blip r:embed="rId50">
                      <a:extLst>
                        <a:ext uri="{28A0092B-C50C-407E-A947-70E740481C1C}">
                          <a14:useLocalDpi xmlns:a14="http://schemas.microsoft.com/office/drawing/2010/main" val="0"/>
                        </a:ext>
                      </a:extLst>
                    </a:blip>
                    <a:srcRect l="2933" t="3832" r="17733" b="5087"/>
                    <a:stretch/>
                  </pic:blipFill>
                  <pic:spPr bwMode="auto">
                    <a:xfrm>
                      <a:off x="0" y="0"/>
                      <a:ext cx="6226961" cy="3950986"/>
                    </a:xfrm>
                    <a:prstGeom prst="rect">
                      <a:avLst/>
                    </a:prstGeom>
                    <a:ln>
                      <a:noFill/>
                    </a:ln>
                    <a:extLst>
                      <a:ext uri="{53640926-AAD7-44D8-BBD7-CCE9431645EC}">
                        <a14:shadowObscured xmlns:a14="http://schemas.microsoft.com/office/drawing/2010/main"/>
                      </a:ext>
                    </a:extLst>
                  </pic:spPr>
                </pic:pic>
              </a:graphicData>
            </a:graphic>
          </wp:inline>
        </w:drawing>
      </w:r>
    </w:p>
    <w:p w14:paraId="377BC0DE" w14:textId="7C57849E" w:rsidR="001E0D71" w:rsidRPr="00D96BDD" w:rsidRDefault="001E0D71" w:rsidP="001E0D71">
      <w:pPr>
        <w:pStyle w:val="Caption"/>
        <w:rPr>
          <w:rFonts w:cstheme="minorHAnsi"/>
          <w:i w:val="0"/>
          <w:iCs w:val="0"/>
          <w:color w:val="000000" w:themeColor="text1"/>
          <w:sz w:val="24"/>
          <w:szCs w:val="24"/>
        </w:rPr>
      </w:pPr>
      <w:bookmarkStart w:id="367" w:name="_Ref125482618"/>
      <w:bookmarkStart w:id="368" w:name="_Toc127044199"/>
      <w:bookmarkStart w:id="369" w:name="_Toc127978483"/>
      <w:r w:rsidRPr="00D96BDD">
        <w:rPr>
          <w:rFonts w:cstheme="minorHAnsi"/>
          <w:i w:val="0"/>
          <w:iCs w:val="0"/>
          <w:color w:val="000000" w:themeColor="text1"/>
          <w:sz w:val="24"/>
          <w:szCs w:val="24"/>
        </w:rPr>
        <w:t xml:space="preserve">Figure </w:t>
      </w:r>
      <w:r w:rsidRPr="00D96BDD">
        <w:rPr>
          <w:rFonts w:cstheme="minorHAnsi"/>
          <w:i w:val="0"/>
          <w:iCs w:val="0"/>
          <w:color w:val="000000" w:themeColor="text1"/>
          <w:sz w:val="24"/>
          <w:szCs w:val="24"/>
        </w:rPr>
        <w:fldChar w:fldCharType="begin"/>
      </w:r>
      <w:r w:rsidRPr="00D96BDD">
        <w:rPr>
          <w:rFonts w:cstheme="minorHAnsi"/>
          <w:i w:val="0"/>
          <w:iCs w:val="0"/>
          <w:color w:val="000000" w:themeColor="text1"/>
          <w:sz w:val="24"/>
          <w:szCs w:val="24"/>
        </w:rPr>
        <w:instrText xml:space="preserve"> SEQ Figure \* ARABIC </w:instrText>
      </w:r>
      <w:r w:rsidRPr="00D96BDD">
        <w:rPr>
          <w:rFonts w:cstheme="minorHAnsi"/>
          <w:i w:val="0"/>
          <w:iCs w:val="0"/>
          <w:color w:val="000000" w:themeColor="text1"/>
          <w:sz w:val="24"/>
          <w:szCs w:val="24"/>
        </w:rPr>
        <w:fldChar w:fldCharType="separate"/>
      </w:r>
      <w:r w:rsidR="002B439C">
        <w:rPr>
          <w:rFonts w:cstheme="minorHAnsi"/>
          <w:i w:val="0"/>
          <w:iCs w:val="0"/>
          <w:noProof/>
          <w:color w:val="000000" w:themeColor="text1"/>
          <w:sz w:val="24"/>
          <w:szCs w:val="24"/>
        </w:rPr>
        <w:t>23</w:t>
      </w:r>
      <w:r w:rsidRPr="00D96BDD">
        <w:rPr>
          <w:rFonts w:cstheme="minorHAnsi"/>
          <w:i w:val="0"/>
          <w:iCs w:val="0"/>
          <w:color w:val="000000" w:themeColor="text1"/>
          <w:sz w:val="24"/>
          <w:szCs w:val="24"/>
        </w:rPr>
        <w:fldChar w:fldCharType="end"/>
      </w:r>
      <w:bookmarkEnd w:id="367"/>
      <w:r w:rsidR="00D96BDD" w:rsidRPr="00D96BDD">
        <w:rPr>
          <w:rFonts w:cstheme="minorHAnsi"/>
          <w:i w:val="0"/>
          <w:iCs w:val="0"/>
          <w:color w:val="000000" w:themeColor="text1"/>
          <w:sz w:val="24"/>
          <w:szCs w:val="24"/>
        </w:rPr>
        <w:t xml:space="preserve">. </w:t>
      </w:r>
      <w:r w:rsidRPr="00D96BDD">
        <w:rPr>
          <w:rFonts w:cstheme="minorHAnsi"/>
          <w:i w:val="0"/>
          <w:iCs w:val="0"/>
          <w:color w:val="000000" w:themeColor="text1"/>
          <w:sz w:val="24"/>
          <w:szCs w:val="24"/>
        </w:rPr>
        <w:t>Three protein strategies to test in the preliminary trial phase.</w:t>
      </w:r>
      <w:bookmarkEnd w:id="368"/>
      <w:bookmarkEnd w:id="369"/>
    </w:p>
    <w:p w14:paraId="087D00DA" w14:textId="77777777" w:rsidR="001E0D71" w:rsidRPr="00CA4ABC" w:rsidRDefault="001E0D71" w:rsidP="00310C71">
      <w:pPr>
        <w:spacing w:line="360" w:lineRule="auto"/>
        <w:rPr>
          <w:rFonts w:cstheme="minorHAnsi"/>
          <w:color w:val="000000" w:themeColor="text1"/>
        </w:rPr>
      </w:pPr>
    </w:p>
    <w:p w14:paraId="756C39A6" w14:textId="77777777" w:rsidR="00310C71" w:rsidRPr="00CA4ABC" w:rsidRDefault="00310C71" w:rsidP="00310C71">
      <w:pPr>
        <w:pStyle w:val="Heading3"/>
        <w:rPr>
          <w:rFonts w:asciiTheme="minorHAnsi" w:hAnsiTheme="minorHAnsi" w:cstheme="minorHAnsi"/>
          <w:color w:val="000000" w:themeColor="text1"/>
        </w:rPr>
      </w:pPr>
      <w:bookmarkStart w:id="370" w:name="_Toc135384400"/>
      <w:r w:rsidRPr="00CA4ABC">
        <w:rPr>
          <w:rFonts w:asciiTheme="minorHAnsi" w:hAnsiTheme="minorHAnsi" w:cstheme="minorHAnsi"/>
          <w:color w:val="000000" w:themeColor="text1"/>
        </w:rPr>
        <w:lastRenderedPageBreak/>
        <w:t>6.3.1 Preliminary study design</w:t>
      </w:r>
      <w:bookmarkEnd w:id="370"/>
    </w:p>
    <w:p w14:paraId="53EC8DA3" w14:textId="3636465A" w:rsidR="00310C71" w:rsidRPr="00CA4ABC" w:rsidRDefault="00A44198" w:rsidP="00310C71">
      <w:pPr>
        <w:spacing w:line="360" w:lineRule="auto"/>
        <w:ind w:firstLine="720"/>
        <w:rPr>
          <w:rFonts w:cstheme="minorHAnsi"/>
          <w:color w:val="000000" w:themeColor="text1"/>
        </w:rPr>
      </w:pPr>
      <w:r w:rsidRPr="00CA4ABC">
        <w:rPr>
          <w:rFonts w:cstheme="minorHAnsi"/>
          <w:noProof/>
          <w:color w:val="000000" w:themeColor="text1"/>
          <w:lang w:eastAsia="zh-CN"/>
        </w:rPr>
        <w:drawing>
          <wp:anchor distT="0" distB="0" distL="114300" distR="114300" simplePos="0" relativeHeight="251708416" behindDoc="0" locked="0" layoutInCell="1" allowOverlap="1" wp14:anchorId="6816995D" wp14:editId="79221BBD">
            <wp:simplePos x="0" y="0"/>
            <wp:positionH relativeFrom="column">
              <wp:posOffset>-671830</wp:posOffset>
            </wp:positionH>
            <wp:positionV relativeFrom="paragraph">
              <wp:posOffset>3423920</wp:posOffset>
            </wp:positionV>
            <wp:extent cx="7025005" cy="3486150"/>
            <wp:effectExtent l="0" t="0" r="0" b="6350"/>
            <wp:wrapSquare wrapText="bothSides"/>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rotWithShape="1">
                    <a:blip r:embed="rId51">
                      <a:extLst>
                        <a:ext uri="{BEBA8EAE-BF5A-486C-A8C5-ECC9F3942E4B}">
                          <a14:imgProps xmlns:a14="http://schemas.microsoft.com/office/drawing/2010/main">
                            <a14:imgLayer r:embed="rId52">
                              <a14:imgEffect>
                                <a14:backgroundRemoval t="4906" b="93774" l="0" r="97097">
                                  <a14:foregroundMark x1="5712" y1="31887" x2="5712" y2="31887"/>
                                  <a14:foregroundMark x1="2622" y1="27925" x2="2622" y2="27925"/>
                                  <a14:foregroundMark x1="9363" y1="84906" x2="9363" y2="84906"/>
                                  <a14:foregroundMark x1="16667" y1="5660" x2="17322" y2="80000"/>
                                  <a14:foregroundMark x1="17322" y1="80000" x2="8521" y2="86792"/>
                                  <a14:foregroundMark x1="8521" y1="86792" x2="7772" y2="86038"/>
                                  <a14:foregroundMark x1="7116" y1="60566" x2="11891" y2="73208"/>
                                  <a14:foregroundMark x1="11891" y1="73208" x2="25468" y2="76226"/>
                                  <a14:foregroundMark x1="25468" y1="76226" x2="50375" y2="67925"/>
                                  <a14:foregroundMark x1="50375" y1="67925" x2="58895" y2="69245"/>
                                  <a14:foregroundMark x1="58895" y1="69245" x2="67135" y2="68491"/>
                                  <a14:foregroundMark x1="67135" y1="68491" x2="61423" y2="48868"/>
                                  <a14:foregroundMark x1="61423" y1="48868" x2="44288" y2="29811"/>
                                  <a14:foregroundMark x1="44288" y1="29811" x2="33146" y2="30377"/>
                                  <a14:foregroundMark x1="33146" y1="30377" x2="55805" y2="23774"/>
                                  <a14:foregroundMark x1="55805" y1="23774" x2="31648" y2="35094"/>
                                  <a14:foregroundMark x1="31648" y1="35094" x2="49532" y2="31132"/>
                                  <a14:foregroundMark x1="49532" y1="31132" x2="24625" y2="28302"/>
                                  <a14:foregroundMark x1="24625" y1="28302" x2="25655" y2="33585"/>
                                  <a14:foregroundMark x1="6086" y1="7358" x2="5899" y2="58679"/>
                                  <a14:foregroundMark x1="14419" y1="12642" x2="17322" y2="89434"/>
                                  <a14:foregroundMark x1="1873" y1="80377" x2="28933" y2="82830"/>
                                  <a14:foregroundMark x1="28933" y1="82830" x2="64794" y2="74717"/>
                                  <a14:foregroundMark x1="64794" y1="74717" x2="82022" y2="82075"/>
                                  <a14:foregroundMark x1="82022" y1="82075" x2="89232" y2="79623"/>
                                  <a14:foregroundMark x1="89232" y1="79623" x2="95506" y2="67736"/>
                                  <a14:foregroundMark x1="95506" y1="67736" x2="95599" y2="35660"/>
                                  <a14:foregroundMark x1="95599" y1="35660" x2="93727" y2="22075"/>
                                  <a14:foregroundMark x1="93727" y1="22075" x2="85581" y2="12830"/>
                                  <a14:foregroundMark x1="85581" y1="12830" x2="78745" y2="29434"/>
                                  <a14:foregroundMark x1="78745" y1="29434" x2="77715" y2="38491"/>
                                  <a14:foregroundMark x1="89700" y1="23396" x2="89700" y2="52453"/>
                                  <a14:foregroundMark x1="58146" y1="17170" x2="58146" y2="38491"/>
                                  <a14:foregroundMark x1="5899" y1="8113" x2="5899" y2="45283"/>
                                  <a14:foregroundMark x1="5899" y1="45283" x2="2715" y2="27925"/>
                                  <a14:foregroundMark x1="2715" y1="27925" x2="2715" y2="48113"/>
                                  <a14:foregroundMark x1="2715" y1="48113" x2="6929" y2="34906"/>
                                  <a14:foregroundMark x1="6742" y1="62264" x2="6742" y2="76226"/>
                                  <a14:foregroundMark x1="6742" y1="76226" x2="10861" y2="88113"/>
                                  <a14:foregroundMark x1="10861" y1="88113" x2="17978" y2="86226"/>
                                  <a14:foregroundMark x1="17978" y1="86226" x2="25187" y2="86415"/>
                                  <a14:foregroundMark x1="25655" y1="92264" x2="3839" y2="86792"/>
                                  <a14:foregroundMark x1="4026" y1="71698" x2="4401" y2="86792"/>
                                  <a14:foregroundMark x1="4401" y1="86792" x2="14419" y2="91509"/>
                                  <a14:foregroundMark x1="14419" y1="91509" x2="11517" y2="76038"/>
                                  <a14:foregroundMark x1="11517" y1="76038" x2="4682" y2="81509"/>
                                  <a14:foregroundMark x1="4682" y1="81509" x2="12172" y2="85849"/>
                                  <a14:foregroundMark x1="12172" y1="85849" x2="12172" y2="84906"/>
                                  <a14:foregroundMark x1="2434" y1="90566" x2="2434" y2="75283"/>
                                  <a14:foregroundMark x1="2434" y1="75283" x2="9925" y2="74528"/>
                                  <a14:foregroundMark x1="9925" y1="74528" x2="13390" y2="86415"/>
                                  <a14:foregroundMark x1="13390" y1="86415" x2="7772" y2="94340"/>
                                  <a14:foregroundMark x1="7772" y1="94340" x2="843" y2="93774"/>
                                  <a14:foregroundMark x1="843" y1="93774" x2="0" y2="80189"/>
                                  <a14:foregroundMark x1="0" y1="80189" x2="9551" y2="74528"/>
                                  <a14:foregroundMark x1="1217" y1="80377" x2="4026" y2="75472"/>
                                  <a14:foregroundMark x1="1873" y1="74906" x2="1873" y2="74906"/>
                                  <a14:foregroundMark x1="1873" y1="74906" x2="1873" y2="74906"/>
                                  <a14:foregroundMark x1="1030" y1="73019" x2="1030" y2="73019"/>
                                  <a14:foregroundMark x1="1030" y1="73396" x2="1030" y2="73396"/>
                                  <a14:foregroundMark x1="1030" y1="72453" x2="1030" y2="72453"/>
                                  <a14:foregroundMark x1="5243" y1="60189" x2="7116" y2="68113"/>
                                  <a14:foregroundMark x1="6929" y1="47925" x2="6929" y2="33962"/>
                                  <a14:foregroundMark x1="6929" y1="33962" x2="6929" y2="33962"/>
                                  <a14:foregroundMark x1="5243" y1="26981" x2="5243" y2="31509"/>
                                  <a14:foregroundMark x1="22753" y1="19623" x2="16199" y2="16038"/>
                                  <a14:foregroundMark x1="16199" y1="16038" x2="12172" y2="17170"/>
                                  <a14:foregroundMark x1="22191" y1="60189" x2="22191" y2="66038"/>
                                  <a14:foregroundMark x1="22566" y1="71698" x2="19007" y2="45283"/>
                                  <a14:foregroundMark x1="19007" y1="45283" x2="19195" y2="28679"/>
                                  <a14:foregroundMark x1="19195" y1="28679" x2="19944" y2="46226"/>
                                  <a14:foregroundMark x1="19944" y1="46226" x2="19757" y2="48302"/>
                                  <a14:foregroundMark x1="12172" y1="21321" x2="12172" y2="55283"/>
                                  <a14:foregroundMark x1="10393" y1="29057" x2="10674" y2="10566"/>
                                  <a14:foregroundMark x1="10674" y1="10566" x2="17228" y2="6604"/>
                                  <a14:foregroundMark x1="17228" y1="6604" x2="26404" y2="6604"/>
                                  <a14:foregroundMark x1="26404" y1="6604" x2="33333" y2="5660"/>
                                  <a14:foregroundMark x1="33333" y1="5660" x2="33333" y2="5660"/>
                                  <a14:foregroundMark x1="35019" y1="10566" x2="22940" y2="9434"/>
                                  <a14:foregroundMark x1="12828" y1="4906" x2="35581" y2="6226"/>
                                  <a14:foregroundMark x1="32303" y1="7358" x2="11236" y2="4906"/>
                                  <a14:foregroundMark x1="11236" y1="4906" x2="14045" y2="7358"/>
                                  <a14:foregroundMark x1="32959" y1="23019" x2="32959" y2="53208"/>
                                  <a14:foregroundMark x1="30337" y1="52453" x2="30337" y2="52453"/>
                                  <a14:foregroundMark x1="27434" y1="56604" x2="27434" y2="56604"/>
                                  <a14:foregroundMark x1="30524" y1="53774" x2="30524" y2="30755"/>
                                  <a14:foregroundMark x1="30524" y1="30755" x2="29869" y2="54151"/>
                                  <a14:foregroundMark x1="26404" y1="38113" x2="26966" y2="24340"/>
                                  <a14:foregroundMark x1="26966" y1="24340" x2="25468" y2="55283"/>
                                  <a14:foregroundMark x1="15824" y1="24906" x2="22191" y2="32830"/>
                                  <a14:foregroundMark x1="22191" y1="32830" x2="22004" y2="58113"/>
                                  <a14:foregroundMark x1="21161" y1="33208" x2="20131" y2="19434"/>
                                  <a14:foregroundMark x1="20131" y1="19434" x2="23596" y2="31321"/>
                                  <a14:foregroundMark x1="23596" y1="31321" x2="22004" y2="36038"/>
                                  <a14:foregroundMark x1="22191" y1="19623" x2="24157" y2="23019"/>
                                  <a14:foregroundMark x1="29869" y1="6226" x2="30056" y2="21698"/>
                                  <a14:foregroundMark x1="30056" y1="21698" x2="30899" y2="7358"/>
                                  <a14:foregroundMark x1="30899" y1="7358" x2="27622" y2="20189"/>
                                  <a14:foregroundMark x1="27622" y1="20189" x2="31648" y2="8679"/>
                                  <a14:foregroundMark x1="31648" y1="8679" x2="35393" y2="21321"/>
                                  <a14:foregroundMark x1="35393" y1="21321" x2="32584" y2="7170"/>
                                  <a14:foregroundMark x1="32584" y1="7170" x2="32303" y2="20943"/>
                                  <a14:foregroundMark x1="32303" y1="20943" x2="31086" y2="23396"/>
                                  <a14:foregroundMark x1="45318" y1="5660" x2="42041" y2="18113"/>
                                  <a14:foregroundMark x1="42041" y1="18113" x2="53090" y2="17170"/>
                                  <a14:foregroundMark x1="53090" y1="17170" x2="44382" y2="17547"/>
                                  <a14:foregroundMark x1="41292" y1="18113" x2="40543" y2="53208"/>
                                  <a14:foregroundMark x1="40543" y1="53208" x2="39419" y2="13019"/>
                                  <a14:foregroundMark x1="39419" y1="13019" x2="37734" y2="57547"/>
                                  <a14:foregroundMark x1="37734" y1="57547" x2="37453" y2="33585"/>
                                  <a14:foregroundMark x1="37453" y1="33585" x2="35393" y2="53774"/>
                                  <a14:foregroundMark x1="35393" y1="53774" x2="33989" y2="35472"/>
                                  <a14:foregroundMark x1="33989" y1="35472" x2="34457" y2="51321"/>
                                  <a14:foregroundMark x1="34457" y1="51321" x2="35019" y2="28679"/>
                                  <a14:foregroundMark x1="35019" y1="28679" x2="38015" y2="51132"/>
                                  <a14:foregroundMark x1="38015" y1="51132" x2="38202" y2="30755"/>
                                  <a14:foregroundMark x1="38202" y1="30755" x2="38670" y2="53962"/>
                                  <a14:foregroundMark x1="38670" y1="53962" x2="39888" y2="44340"/>
                                  <a14:foregroundMark x1="42322" y1="42264" x2="52154" y2="42642"/>
                                  <a14:foregroundMark x1="52154" y1="42642" x2="44757" y2="42830"/>
                                  <a14:foregroundMark x1="44757" y1="42830" x2="53090" y2="41132"/>
                                  <a14:foregroundMark x1="53090" y1="41132" x2="45974" y2="35472"/>
                                  <a14:foregroundMark x1="45974" y1="35472" x2="50468" y2="35283"/>
                                  <a14:foregroundMark x1="45318" y1="51698" x2="52528" y2="57547"/>
                                  <a14:foregroundMark x1="52528" y1="57547" x2="47004" y2="51698"/>
                                  <a14:foregroundMark x1="42322" y1="47547" x2="42790" y2="61698"/>
                                  <a14:foregroundMark x1="42790" y1="61698" x2="51498" y2="53774"/>
                                  <a14:foregroundMark x1="51498" y1="53774" x2="41854" y2="55660"/>
                                  <a14:foregroundMark x1="41854" y1="55660" x2="51498" y2="60566"/>
                                  <a14:foregroundMark x1="51498" y1="60566" x2="45225" y2="51321"/>
                                  <a14:foregroundMark x1="45225" y1="51321" x2="54307" y2="50755"/>
                                  <a14:foregroundMark x1="54307" y1="50755" x2="42884" y2="54151"/>
                                  <a14:foregroundMark x1="40262" y1="52453" x2="38202" y2="61132"/>
                                  <a14:foregroundMark x1="57397" y1="43019" x2="56929" y2="56981"/>
                                  <a14:foregroundMark x1="63483" y1="26226" x2="63483" y2="40943"/>
                                  <a14:foregroundMark x1="62453" y1="8113" x2="61798" y2="10566"/>
                                  <a14:foregroundMark x1="63670" y1="14340" x2="63015" y2="12264"/>
                                  <a14:foregroundMark x1="60768" y1="18491" x2="46067" y2="6792"/>
                                  <a14:foregroundMark x1="46067" y1="6792" x2="55337" y2="7358"/>
                                  <a14:foregroundMark x1="55337" y1="7358" x2="53558" y2="21887"/>
                                  <a14:foregroundMark x1="53558" y1="21887" x2="48408" y2="9811"/>
                                  <a14:foregroundMark x1="48408" y1="9811" x2="47191" y2="9434"/>
                                  <a14:foregroundMark x1="94569" y1="22453" x2="96442" y2="53962"/>
                                  <a14:foregroundMark x1="96442" y1="53962" x2="97191" y2="23019"/>
                                  <a14:foregroundMark x1="97191" y1="23019" x2="94757" y2="22453"/>
                                  <a14:foregroundMark x1="58989" y1="83208" x2="50375" y2="90943"/>
                                  <a14:foregroundMark x1="50375" y1="90943" x2="57303" y2="90943"/>
                                  <a14:foregroundMark x1="57303" y1="90943" x2="49813" y2="89245"/>
                                  <a14:foregroundMark x1="49813" y1="89245" x2="46816" y2="90189"/>
                                  <a14:foregroundMark x1="48034" y1="90943" x2="56367" y2="91321"/>
                                  <a14:foregroundMark x1="56367" y1="91321" x2="43352" y2="89434"/>
                                  <a14:foregroundMark x1="49438" y1="91321" x2="84551" y2="85660"/>
                                  <a14:foregroundMark x1="84551" y1="85660" x2="87453" y2="86792"/>
                                  <a14:foregroundMark x1="89700" y1="90943" x2="44382" y2="93774"/>
                                </a14:backgroundRemoval>
                              </a14:imgEffect>
                            </a14:imgLayer>
                          </a14:imgProps>
                        </a:ext>
                        <a:ext uri="{28A0092B-C50C-407E-A947-70E740481C1C}">
                          <a14:useLocalDpi xmlns:a14="http://schemas.microsoft.com/office/drawing/2010/main" val="0"/>
                        </a:ext>
                      </a:extLst>
                    </a:blip>
                    <a:srcRect/>
                    <a:stretch/>
                  </pic:blipFill>
                  <pic:spPr bwMode="auto">
                    <a:xfrm>
                      <a:off x="0" y="0"/>
                      <a:ext cx="7025005" cy="348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0C71" w:rsidRPr="00CA4ABC">
        <w:rPr>
          <w:rFonts w:cstheme="minorHAnsi"/>
          <w:color w:val="000000" w:themeColor="text1"/>
        </w:rPr>
        <w:t>This is a cross-over design, with each participant taking the supplement for two weeks before having a one-week washout period and changing supplements (</w:t>
      </w:r>
      <w:r w:rsidR="00310C71" w:rsidRPr="00CA4ABC">
        <w:rPr>
          <w:rFonts w:cstheme="minorHAnsi"/>
          <w:color w:val="000000" w:themeColor="text1"/>
        </w:rPr>
        <w:fldChar w:fldCharType="begin"/>
      </w:r>
      <w:r w:rsidR="00310C71" w:rsidRPr="00CA4ABC">
        <w:rPr>
          <w:rFonts w:cstheme="minorHAnsi"/>
          <w:color w:val="000000" w:themeColor="text1"/>
        </w:rPr>
        <w:instrText xml:space="preserve"> REF _Ref125482660 \h </w:instrText>
      </w:r>
      <w:r w:rsidR="00CA4ABC">
        <w:rPr>
          <w:rFonts w:cstheme="minorHAnsi"/>
          <w:color w:val="000000" w:themeColor="text1"/>
        </w:rPr>
        <w:instrText xml:space="preserve"> \* MERGEFORMAT </w:instrText>
      </w:r>
      <w:r w:rsidR="00310C71" w:rsidRPr="00CA4ABC">
        <w:rPr>
          <w:rFonts w:cstheme="minorHAnsi"/>
          <w:color w:val="000000" w:themeColor="text1"/>
        </w:rPr>
      </w:r>
      <w:r w:rsidR="00310C71" w:rsidRPr="00CA4ABC">
        <w:rPr>
          <w:rFonts w:cstheme="minorHAnsi"/>
          <w:color w:val="000000" w:themeColor="text1"/>
        </w:rPr>
        <w:fldChar w:fldCharType="separate"/>
      </w:r>
      <w:r w:rsidR="00310C71" w:rsidRPr="00CA4ABC">
        <w:rPr>
          <w:rFonts w:cstheme="minorHAnsi"/>
          <w:color w:val="000000" w:themeColor="text1"/>
        </w:rPr>
        <w:t xml:space="preserve">Figure </w:t>
      </w:r>
      <w:r w:rsidR="00310C71" w:rsidRPr="00CA4ABC">
        <w:rPr>
          <w:rFonts w:cstheme="minorHAnsi"/>
          <w:noProof/>
          <w:color w:val="000000" w:themeColor="text1"/>
        </w:rPr>
        <w:t>21</w:t>
      </w:r>
      <w:r w:rsidR="00310C71" w:rsidRPr="00CA4ABC">
        <w:rPr>
          <w:rFonts w:cstheme="minorHAnsi"/>
          <w:color w:val="000000" w:themeColor="text1"/>
        </w:rPr>
        <w:fldChar w:fldCharType="end"/>
      </w:r>
      <w:r w:rsidR="00310C71" w:rsidRPr="00CA4ABC">
        <w:rPr>
          <w:rFonts w:cstheme="minorHAnsi"/>
          <w:color w:val="000000" w:themeColor="text1"/>
        </w:rPr>
        <w:t xml:space="preserve">.) Five participants will swap to each supplement so there is a mixture of orders in which participants </w:t>
      </w:r>
      <w:r w:rsidR="0095450B" w:rsidRPr="00CA4ABC">
        <w:rPr>
          <w:rFonts w:cstheme="minorHAnsi"/>
          <w:color w:val="000000" w:themeColor="text1"/>
        </w:rPr>
        <w:t>take</w:t>
      </w:r>
      <w:r w:rsidR="00310C71" w:rsidRPr="00CA4ABC">
        <w:rPr>
          <w:rFonts w:cstheme="minorHAnsi"/>
          <w:color w:val="000000" w:themeColor="text1"/>
        </w:rPr>
        <w:t xml:space="preserve"> the supplements. </w:t>
      </w:r>
      <w:r w:rsidR="0095450B" w:rsidRPr="00CA4ABC">
        <w:rPr>
          <w:rFonts w:cstheme="minorHAnsi"/>
          <w:color w:val="000000" w:themeColor="text1"/>
        </w:rPr>
        <w:t>Before</w:t>
      </w:r>
      <w:r w:rsidR="000E426B" w:rsidRPr="00CA4ABC">
        <w:rPr>
          <w:rFonts w:cstheme="minorHAnsi"/>
          <w:color w:val="000000" w:themeColor="text1"/>
        </w:rPr>
        <w:t xml:space="preserve"> taking the supplement and o</w:t>
      </w:r>
      <w:r w:rsidR="00310C71" w:rsidRPr="00CA4ABC">
        <w:rPr>
          <w:rFonts w:cstheme="minorHAnsi"/>
          <w:color w:val="000000" w:themeColor="text1"/>
        </w:rPr>
        <w:t xml:space="preserve">n the last 3 days of the </w:t>
      </w:r>
      <w:r w:rsidR="0095450B" w:rsidRPr="00CA4ABC">
        <w:rPr>
          <w:rFonts w:cstheme="minorHAnsi"/>
          <w:color w:val="000000" w:themeColor="text1"/>
        </w:rPr>
        <w:t>two-week</w:t>
      </w:r>
      <w:r w:rsidR="00310C71" w:rsidRPr="00CA4ABC">
        <w:rPr>
          <w:rFonts w:cstheme="minorHAnsi"/>
          <w:color w:val="000000" w:themeColor="text1"/>
        </w:rPr>
        <w:t xml:space="preserve"> supplement</w:t>
      </w:r>
      <w:r w:rsidR="0095450B" w:rsidRPr="00CA4ABC">
        <w:rPr>
          <w:rFonts w:cstheme="minorHAnsi"/>
          <w:color w:val="000000" w:themeColor="text1"/>
        </w:rPr>
        <w:t>ation</w:t>
      </w:r>
      <w:r w:rsidR="00310C71" w:rsidRPr="00CA4ABC">
        <w:rPr>
          <w:rFonts w:cstheme="minorHAnsi"/>
          <w:color w:val="000000" w:themeColor="text1"/>
        </w:rPr>
        <w:t xml:space="preserve"> period, participants will be asked to collect three 24-hour pass</w:t>
      </w:r>
      <w:r w:rsidR="000E426B" w:rsidRPr="00CA4ABC">
        <w:rPr>
          <w:rFonts w:cstheme="minorHAnsi"/>
          <w:color w:val="000000" w:themeColor="text1"/>
        </w:rPr>
        <w:t xml:space="preserve"> dietary</w:t>
      </w:r>
      <w:r w:rsidR="00310C71" w:rsidRPr="00CA4ABC">
        <w:rPr>
          <w:rFonts w:cstheme="minorHAnsi"/>
          <w:color w:val="000000" w:themeColor="text1"/>
        </w:rPr>
        <w:t xml:space="preserve"> recalls</w:t>
      </w:r>
      <w:r w:rsidR="000E426B" w:rsidRPr="00CA4ABC">
        <w:rPr>
          <w:rFonts w:cstheme="minorHAnsi"/>
          <w:color w:val="000000" w:themeColor="text1"/>
        </w:rPr>
        <w:t xml:space="preserve"> (https://intake24.co.uk/)</w:t>
      </w:r>
      <w:r w:rsidR="00310C71" w:rsidRPr="00CA4ABC">
        <w:rPr>
          <w:rFonts w:cstheme="minorHAnsi"/>
          <w:color w:val="000000" w:themeColor="text1"/>
        </w:rPr>
        <w:t xml:space="preserve"> and</w:t>
      </w:r>
      <w:r w:rsidR="000E426B" w:rsidRPr="00CA4ABC">
        <w:rPr>
          <w:rFonts w:cstheme="minorHAnsi"/>
          <w:color w:val="000000" w:themeColor="text1"/>
        </w:rPr>
        <w:t xml:space="preserve"> complete</w:t>
      </w:r>
      <w:r w:rsidR="00310C71" w:rsidRPr="00CA4ABC">
        <w:rPr>
          <w:rFonts w:cstheme="minorHAnsi"/>
          <w:color w:val="000000" w:themeColor="text1"/>
        </w:rPr>
        <w:t xml:space="preserve"> </w:t>
      </w:r>
      <w:r w:rsidR="000E426B" w:rsidRPr="00CA4ABC">
        <w:rPr>
          <w:rFonts w:cstheme="minorHAnsi"/>
          <w:color w:val="000000" w:themeColor="text1"/>
        </w:rPr>
        <w:t>a visual</w:t>
      </w:r>
      <w:r w:rsidR="00310C71" w:rsidRPr="00CA4ABC">
        <w:rPr>
          <w:rFonts w:cstheme="minorHAnsi"/>
          <w:color w:val="000000" w:themeColor="text1"/>
        </w:rPr>
        <w:t xml:space="preserve"> </w:t>
      </w:r>
      <w:r w:rsidR="000E426B" w:rsidRPr="00CA4ABC">
        <w:rPr>
          <w:rFonts w:cstheme="minorHAnsi"/>
          <w:color w:val="000000" w:themeColor="text1"/>
        </w:rPr>
        <w:t xml:space="preserve">analogue scale </w:t>
      </w:r>
      <w:r w:rsidR="00310C71" w:rsidRPr="00CA4ABC">
        <w:rPr>
          <w:rFonts w:cstheme="minorHAnsi"/>
          <w:color w:val="000000" w:themeColor="text1"/>
        </w:rPr>
        <w:t>appetite questionnaire</w:t>
      </w:r>
      <w:r w:rsidR="000E426B" w:rsidRPr="00CA4ABC">
        <w:rPr>
          <w:rFonts w:cstheme="minorHAnsi"/>
          <w:color w:val="000000" w:themeColor="text1"/>
        </w:rPr>
        <w:t xml:space="preserve"> </w:t>
      </w:r>
      <w:r w:rsidR="000E426B"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{"citationItems":[{"id":"ITEM-1","itemData":{"DOI":"10.1038/sj.ijo.0801083","ISSN":"03070565","PMID":"10702749","abstract":"OBJECTIVE: To examine reproducibility and validity of visual analogue scales (VAS) for measurement of appetite sensations, with and without a diet standardization prior to the test days. DESIGN: On two different test days the subjects recorded their appetite sensations before breakfast and every 30 min during the 4.5 h postprandial period under exactly the same conditions. SUBJECTS: 55 healthy men (age 25.6 ± 0.6 y, BMI 22.6 ± 0.3 kg/m2). MEASUREMENTS: VAS were used to record hunger, satiety, fullness, prospective food consumption, desire to eat something fatty, salty, sweet or savoury, and palatability of the meals. Subsequently an ad libitum lunch was served and energy intake was recorded. Reproducibility was assessed by the coefficient of repeatability (CR) of fasting, mean 4.5 h and peak/nadir values. RESULTS: CRs (range 20-61 mm) were larger for fasting and peak/nadir values compared with mean 4.5 h values. No parameter seemed to be improved by diet standardization. Using a paired design and a study power of 0.8, a difference of 10 mm on fasting and 5 mm on mean 4.5 h ratings can be detected with 18 subjects. When using desires to eat specific types of food or an unpaired design, more subjects are needed due to considerable variation. The best correlations of validity were found between 4.5 h mean VAS of the appetite parameters and subsequent energy intake (r = ± 0.50-0.53, P &lt; 0.001). CONCLUSION: VAS scores are reliable for appetite research and do not seem to be influenced by prior diet standardization. However, consideration should be given to the specific parameters being measured, their sensitivity and study power.","author":[{"dropping-particle":"","family":"Flint","given":"A.","non-dropping-particle":"","parse-names":false,"suffix":""},{"dropping-particle":"","family":"Raben","given":"A.","non-dropping-particle":"","parse-names":false,"suffix":""},{"dropping-particle":"","family":"Blundell","given":"J. E.","non-dropping-particle":"","parse-names":false,"suffix":""},{"dropping-particle":"","family":"Astrup","given":"A.","non-dropping-particle":"","parse-names":false,"suffix":""}],"container-title":"International Journal of Obesity","id":"ITEM-1","issue":"1","issued":{"date-parts":[["2000"]]},"page":"38-48","title":"Reproducibility, power and validity of visual analogue scales in assessment of appetite sensations in single test meal studies","type":"article-journal","volume":"24"},"uris":["http://www.mendeley.com/documents/?uuid=785aa410-57e2-3a70-930c-8c1b9cc453d4"]}],"mendeley":{"formattedCitation":"(279)","plainTextFormattedCitation":"(279)","previouslyFormattedCitation":"(279)"},"properties":{"noteIndex":0},"schema":"https://github.com/citation-style-language/schema/raw/master/csl-citation.json"}</w:instrText>
      </w:r>
      <w:r w:rsidR="000E426B" w:rsidRPr="00CA4ABC">
        <w:rPr>
          <w:rFonts w:cstheme="minorHAnsi"/>
          <w:color w:val="000000" w:themeColor="text1"/>
        </w:rPr>
        <w:fldChar w:fldCharType="separate"/>
      </w:r>
      <w:r w:rsidR="00FF0BCE" w:rsidRPr="00FF0BCE">
        <w:rPr>
          <w:rFonts w:cstheme="minorHAnsi"/>
          <w:noProof/>
          <w:color w:val="000000" w:themeColor="text1"/>
        </w:rPr>
        <w:t>(279)</w:t>
      </w:r>
      <w:r w:rsidR="000E426B" w:rsidRPr="00CA4ABC">
        <w:rPr>
          <w:rFonts w:cstheme="minorHAnsi"/>
          <w:color w:val="000000" w:themeColor="text1"/>
        </w:rPr>
        <w:fldChar w:fldCharType="end"/>
      </w:r>
      <w:r w:rsidR="000E426B" w:rsidRPr="00CA4ABC">
        <w:rPr>
          <w:rFonts w:cstheme="minorHAnsi"/>
          <w:color w:val="000000" w:themeColor="text1"/>
        </w:rPr>
        <w:t>.</w:t>
      </w:r>
      <w:r w:rsidR="00310C71" w:rsidRPr="00CA4ABC">
        <w:rPr>
          <w:rFonts w:cstheme="minorHAnsi"/>
          <w:color w:val="000000" w:themeColor="text1"/>
        </w:rPr>
        <w:t xml:space="preserve"> They will </w:t>
      </w:r>
      <w:r w:rsidR="000E426B" w:rsidRPr="00CA4ABC">
        <w:rPr>
          <w:rFonts w:cstheme="minorHAnsi"/>
          <w:color w:val="000000" w:themeColor="text1"/>
        </w:rPr>
        <w:t>also be</w:t>
      </w:r>
      <w:r w:rsidR="00310C71" w:rsidRPr="00CA4ABC">
        <w:rPr>
          <w:rFonts w:cstheme="minorHAnsi"/>
          <w:color w:val="000000" w:themeColor="text1"/>
        </w:rPr>
        <w:t xml:space="preserve"> asked to provide feedback and answer </w:t>
      </w:r>
      <w:r w:rsidR="000E426B" w:rsidRPr="00CA4ABC">
        <w:rPr>
          <w:rFonts w:cstheme="minorHAnsi"/>
          <w:color w:val="000000" w:themeColor="text1"/>
        </w:rPr>
        <w:t xml:space="preserve">a 9-question </w:t>
      </w:r>
      <w:r w:rsidR="00310C71" w:rsidRPr="00CA4ABC">
        <w:rPr>
          <w:rFonts w:cstheme="minorHAnsi"/>
          <w:color w:val="000000" w:themeColor="text1"/>
        </w:rPr>
        <w:t>questionnaire about the supplement they ha</w:t>
      </w:r>
      <w:r w:rsidR="000E426B" w:rsidRPr="00CA4ABC">
        <w:rPr>
          <w:rFonts w:cstheme="minorHAnsi"/>
          <w:color w:val="000000" w:themeColor="text1"/>
        </w:rPr>
        <w:t>ve</w:t>
      </w:r>
      <w:r w:rsidR="00310C71" w:rsidRPr="00CA4ABC">
        <w:rPr>
          <w:rFonts w:cstheme="minorHAnsi"/>
          <w:color w:val="000000" w:themeColor="text1"/>
        </w:rPr>
        <w:t xml:space="preserve"> just taken. The questionnaire </w:t>
      </w:r>
      <w:r w:rsidR="000E426B" w:rsidRPr="00CA4ABC">
        <w:rPr>
          <w:rFonts w:cstheme="minorHAnsi"/>
          <w:color w:val="000000" w:themeColor="text1"/>
        </w:rPr>
        <w:t xml:space="preserve">has been </w:t>
      </w:r>
      <w:r w:rsidR="00310C71" w:rsidRPr="00CA4ABC">
        <w:rPr>
          <w:rFonts w:cstheme="minorHAnsi"/>
          <w:color w:val="000000" w:themeColor="text1"/>
        </w:rPr>
        <w:t xml:space="preserve">designed to </w:t>
      </w:r>
      <w:r w:rsidR="000E426B" w:rsidRPr="00CA4ABC">
        <w:rPr>
          <w:rFonts w:cstheme="minorHAnsi"/>
          <w:color w:val="000000" w:themeColor="text1"/>
        </w:rPr>
        <w:t>explore the participant’s views on the</w:t>
      </w:r>
      <w:r w:rsidR="00310C71" w:rsidRPr="00CA4ABC">
        <w:rPr>
          <w:rFonts w:cstheme="minorHAnsi"/>
          <w:color w:val="000000" w:themeColor="text1"/>
        </w:rPr>
        <w:t xml:space="preserve"> supplement</w:t>
      </w:r>
      <w:r w:rsidR="000E426B" w:rsidRPr="00CA4ABC">
        <w:rPr>
          <w:rFonts w:cstheme="minorHAnsi"/>
          <w:color w:val="000000" w:themeColor="text1"/>
        </w:rPr>
        <w:t>’</w:t>
      </w:r>
      <w:r w:rsidR="00310C71" w:rsidRPr="00CA4ABC">
        <w:rPr>
          <w:rFonts w:cstheme="minorHAnsi"/>
          <w:color w:val="000000" w:themeColor="text1"/>
        </w:rPr>
        <w:t>s taste, texture and acceptability</w:t>
      </w:r>
      <w:r w:rsidR="000E426B" w:rsidRPr="00CA4ABC">
        <w:rPr>
          <w:rFonts w:cstheme="minorHAnsi"/>
          <w:color w:val="000000" w:themeColor="text1"/>
        </w:rPr>
        <w:t xml:space="preserve"> </w:t>
      </w:r>
      <w:r w:rsidR="00310C71" w:rsidRPr="00CA4ABC">
        <w:rPr>
          <w:rFonts w:cstheme="minorHAnsi"/>
          <w:color w:val="000000" w:themeColor="text1"/>
        </w:rPr>
        <w:t>and contain</w:t>
      </w:r>
      <w:r w:rsidR="000E426B" w:rsidRPr="00CA4ABC">
        <w:rPr>
          <w:rFonts w:cstheme="minorHAnsi"/>
          <w:color w:val="000000" w:themeColor="text1"/>
        </w:rPr>
        <w:t>s</w:t>
      </w:r>
      <w:r w:rsidR="00310C71" w:rsidRPr="00CA4ABC">
        <w:rPr>
          <w:rFonts w:cstheme="minorHAnsi"/>
          <w:color w:val="000000" w:themeColor="text1"/>
        </w:rPr>
        <w:t xml:space="preserve"> a series on </w:t>
      </w:r>
      <w:r w:rsidR="003205FF" w:rsidRPr="00CA4ABC">
        <w:rPr>
          <w:rFonts w:cstheme="minorHAnsi"/>
          <w:color w:val="000000" w:themeColor="text1"/>
        </w:rPr>
        <w:t>Likert</w:t>
      </w:r>
      <w:r w:rsidR="00310C71" w:rsidRPr="00CA4ABC">
        <w:rPr>
          <w:rFonts w:cstheme="minorHAnsi"/>
          <w:color w:val="000000" w:themeColor="text1"/>
        </w:rPr>
        <w:t xml:space="preserve"> scale</w:t>
      </w:r>
      <w:r w:rsidR="0095450B" w:rsidRPr="00CA4ABC">
        <w:rPr>
          <w:rFonts w:cstheme="minorHAnsi"/>
          <w:color w:val="000000" w:themeColor="text1"/>
        </w:rPr>
        <w:t>s</w:t>
      </w:r>
      <w:r w:rsidR="00310C71" w:rsidRPr="00CA4ABC">
        <w:rPr>
          <w:rFonts w:cstheme="minorHAnsi"/>
          <w:color w:val="000000" w:themeColor="text1"/>
        </w:rPr>
        <w:t xml:space="preserve">, tick </w:t>
      </w:r>
      <w:r w:rsidR="00721C82" w:rsidRPr="00CA4ABC">
        <w:rPr>
          <w:rFonts w:cstheme="minorHAnsi"/>
          <w:color w:val="000000" w:themeColor="text1"/>
        </w:rPr>
        <w:t>answers</w:t>
      </w:r>
      <w:r w:rsidR="00310C71" w:rsidRPr="00CA4ABC">
        <w:rPr>
          <w:rFonts w:cstheme="minorHAnsi"/>
          <w:color w:val="000000" w:themeColor="text1"/>
        </w:rPr>
        <w:t xml:space="preserve"> to describe the supplement</w:t>
      </w:r>
      <w:r w:rsidR="00721C82" w:rsidRPr="00CA4ABC">
        <w:rPr>
          <w:rFonts w:cstheme="minorHAnsi"/>
          <w:color w:val="000000" w:themeColor="text1"/>
        </w:rPr>
        <w:t xml:space="preserve"> and </w:t>
      </w:r>
      <w:r w:rsidR="000E426B" w:rsidRPr="00CA4ABC">
        <w:rPr>
          <w:rFonts w:cstheme="minorHAnsi"/>
          <w:color w:val="000000" w:themeColor="text1"/>
        </w:rPr>
        <w:t>some</w:t>
      </w:r>
      <w:r w:rsidR="00310C71" w:rsidRPr="00CA4ABC">
        <w:rPr>
          <w:rFonts w:cstheme="minorHAnsi"/>
          <w:color w:val="000000" w:themeColor="text1"/>
        </w:rPr>
        <w:t xml:space="preserve"> longer written answer options (appendix 17). </w:t>
      </w:r>
      <w:r w:rsidR="000E426B" w:rsidRPr="00CA4ABC">
        <w:rPr>
          <w:rFonts w:cstheme="minorHAnsi"/>
          <w:color w:val="000000"/>
          <w:sz w:val="26"/>
          <w:szCs w:val="26"/>
        </w:rPr>
        <w:t xml:space="preserve"> </w:t>
      </w:r>
      <w:r w:rsidR="000E426B" w:rsidRPr="00CA4ABC">
        <w:rPr>
          <w:rFonts w:cstheme="minorHAnsi"/>
          <w:color w:val="000000"/>
        </w:rPr>
        <w:t>Focus groups will also be held at the end of the trial to determine overall preferences.</w:t>
      </w:r>
      <w:r w:rsidR="000E426B" w:rsidRPr="00CA4ABC">
        <w:rPr>
          <w:rFonts w:cstheme="minorHAnsi"/>
          <w:color w:val="000000"/>
          <w:sz w:val="26"/>
          <w:szCs w:val="26"/>
        </w:rPr>
        <w:t xml:space="preserve"> </w:t>
      </w:r>
    </w:p>
    <w:p w14:paraId="128492FB" w14:textId="09B9CE21" w:rsidR="001E0D71" w:rsidRPr="00CA4ABC" w:rsidRDefault="001E0D71" w:rsidP="001E0D71">
      <w:pPr>
        <w:spacing w:line="360" w:lineRule="auto"/>
        <w:rPr>
          <w:rFonts w:cstheme="minorHAnsi"/>
          <w:color w:val="000000" w:themeColor="text1"/>
        </w:rPr>
        <w:sectPr w:rsidR="001E0D71" w:rsidRPr="00CA4ABC" w:rsidSect="00D45D0F">
          <w:pgSz w:w="11900" w:h="16840"/>
          <w:pgMar w:top="1440" w:right="1440" w:bottom="1440" w:left="1440" w:header="708" w:footer="708" w:gutter="0"/>
          <w:cols w:space="708"/>
          <w:docGrid w:linePitch="360"/>
        </w:sectPr>
      </w:pPr>
      <w:bookmarkStart w:id="371" w:name="_Ref125482660"/>
      <w:bookmarkStart w:id="372" w:name="_Toc127044200"/>
      <w:bookmarkStart w:id="373" w:name="_Toc127978484"/>
      <w:r w:rsidRPr="00CA4ABC">
        <w:rPr>
          <w:rFonts w:cstheme="minorHAnsi"/>
          <w:color w:val="000000" w:themeColor="text1"/>
        </w:rPr>
        <w:t xml:space="preserve">Figure </w:t>
      </w:r>
      <w:r w:rsidRPr="00CA4ABC">
        <w:rPr>
          <w:rFonts w:cstheme="minorHAnsi"/>
          <w:color w:val="000000" w:themeColor="text1"/>
        </w:rPr>
        <w:fldChar w:fldCharType="begin"/>
      </w:r>
      <w:r w:rsidRPr="00CA4ABC">
        <w:rPr>
          <w:rFonts w:cstheme="minorHAnsi"/>
          <w:color w:val="000000" w:themeColor="text1"/>
        </w:rPr>
        <w:instrText xml:space="preserve"> SEQ Figure \* ARABIC </w:instrText>
      </w:r>
      <w:r w:rsidRPr="00CA4ABC">
        <w:rPr>
          <w:rFonts w:cstheme="minorHAnsi"/>
          <w:color w:val="000000" w:themeColor="text1"/>
        </w:rPr>
        <w:fldChar w:fldCharType="separate"/>
      </w:r>
      <w:r w:rsidR="002B439C">
        <w:rPr>
          <w:rFonts w:cstheme="minorHAnsi"/>
          <w:noProof/>
          <w:color w:val="000000" w:themeColor="text1"/>
        </w:rPr>
        <w:t>24</w:t>
      </w:r>
      <w:r w:rsidRPr="00CA4ABC">
        <w:rPr>
          <w:rFonts w:cstheme="minorHAnsi"/>
          <w:color w:val="000000" w:themeColor="text1"/>
        </w:rPr>
        <w:fldChar w:fldCharType="end"/>
      </w:r>
      <w:bookmarkEnd w:id="371"/>
      <w:r w:rsidR="00D96BDD">
        <w:rPr>
          <w:rFonts w:cstheme="minorHAnsi"/>
          <w:color w:val="000000" w:themeColor="text1"/>
        </w:rPr>
        <w:t xml:space="preserve">. </w:t>
      </w:r>
      <w:r w:rsidR="00BA31B6" w:rsidRPr="00CA4ABC">
        <w:rPr>
          <w:rFonts w:cstheme="minorHAnsi"/>
          <w:color w:val="000000" w:themeColor="text1"/>
        </w:rPr>
        <w:t>The</w:t>
      </w:r>
      <w:r w:rsidRPr="00CA4ABC">
        <w:rPr>
          <w:rFonts w:cstheme="minorHAnsi"/>
          <w:color w:val="000000" w:themeColor="text1"/>
        </w:rPr>
        <w:t xml:space="preserve"> preliminary cross-over trial design to test three different protein strategies.</w:t>
      </w:r>
      <w:bookmarkEnd w:id="372"/>
      <w:bookmarkEnd w:id="373"/>
    </w:p>
    <w:p w14:paraId="35029BA1" w14:textId="3BC3BC51" w:rsidR="00310C71" w:rsidRPr="00CA4ABC" w:rsidRDefault="00310C71" w:rsidP="00310C71">
      <w:pPr>
        <w:spacing w:line="360" w:lineRule="auto"/>
        <w:ind w:firstLine="720"/>
        <w:rPr>
          <w:rFonts w:cstheme="minorHAnsi"/>
          <w:color w:val="000000" w:themeColor="text1"/>
        </w:rPr>
      </w:pPr>
    </w:p>
    <w:p w14:paraId="40193B2B" w14:textId="557C7E57"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374" w:name="_Toc135384401"/>
      <w:r w:rsidRPr="00CA4ABC">
        <w:rPr>
          <w:rFonts w:asciiTheme="minorHAnsi" w:hAnsiTheme="minorHAnsi" w:cstheme="minorHAnsi"/>
          <w:b/>
          <w:bCs/>
          <w:color w:val="000000" w:themeColor="text1"/>
          <w:sz w:val="24"/>
          <w:szCs w:val="24"/>
        </w:rPr>
        <w:t>6.4 Final Trial design</w:t>
      </w:r>
      <w:bookmarkEnd w:id="374"/>
    </w:p>
    <w:p w14:paraId="22FFA5A2" w14:textId="20A3095B" w:rsidR="00310C71" w:rsidRPr="00CA4ABC" w:rsidRDefault="00310C71" w:rsidP="009B5B1E">
      <w:pPr>
        <w:spacing w:line="360" w:lineRule="auto"/>
        <w:ind w:firstLine="720"/>
        <w:rPr>
          <w:rFonts w:cstheme="minorHAnsi"/>
          <w:color w:val="000000" w:themeColor="text1"/>
        </w:rPr>
      </w:pPr>
      <w:r w:rsidRPr="00CA4ABC">
        <w:rPr>
          <w:rFonts w:cstheme="minorHAnsi"/>
          <w:color w:val="000000" w:themeColor="text1"/>
        </w:rPr>
        <w:t>This is</w:t>
      </w:r>
      <w:r w:rsidR="00F4529E" w:rsidRPr="00CA4ABC">
        <w:rPr>
          <w:rFonts w:cstheme="minorHAnsi"/>
          <w:color w:val="000000" w:themeColor="text1"/>
        </w:rPr>
        <w:t xml:space="preserve"> a</w:t>
      </w:r>
      <w:r w:rsidRPr="00CA4ABC">
        <w:rPr>
          <w:rFonts w:cstheme="minorHAnsi"/>
          <w:color w:val="000000" w:themeColor="text1"/>
        </w:rPr>
        <w:t xml:space="preserve"> 2-centre, 4-armed randomised, parallel multi-component intervention trial to compare the impact </w:t>
      </w:r>
      <w:r w:rsidR="00721C82" w:rsidRPr="00CA4ABC">
        <w:rPr>
          <w:rFonts w:cstheme="minorHAnsi"/>
          <w:color w:val="000000" w:themeColor="text1"/>
        </w:rPr>
        <w:t xml:space="preserve">of a resistance exercise and protein intervention </w:t>
      </w:r>
      <w:r w:rsidRPr="00CA4ABC">
        <w:rPr>
          <w:rFonts w:cstheme="minorHAnsi"/>
          <w:color w:val="000000" w:themeColor="text1"/>
        </w:rPr>
        <w:t>on muscle strength in middle</w:t>
      </w:r>
      <w:r w:rsidR="00F4529E" w:rsidRPr="00CA4ABC">
        <w:rPr>
          <w:rFonts w:cstheme="minorHAnsi"/>
          <w:color w:val="000000" w:themeColor="text1"/>
        </w:rPr>
        <w:t>-</w:t>
      </w:r>
      <w:r w:rsidRPr="00CA4ABC">
        <w:rPr>
          <w:rFonts w:cstheme="minorHAnsi"/>
          <w:color w:val="000000" w:themeColor="text1"/>
        </w:rPr>
        <w:t>aged adults against a control approach in which participants are given NHS exercise advice</w:t>
      </w:r>
      <w:r w:rsidR="009B5B1E" w:rsidRPr="00CA4ABC">
        <w:rPr>
          <w:rFonts w:cstheme="minorHAnsi"/>
          <w:color w:val="000000" w:themeColor="text1"/>
        </w:rPr>
        <w:t>.</w:t>
      </w:r>
    </w:p>
    <w:p w14:paraId="4481F67E" w14:textId="77777777" w:rsidR="00310C71" w:rsidRPr="00CA4ABC" w:rsidRDefault="00310C71">
      <w:pPr>
        <w:pStyle w:val="ListParagraph"/>
        <w:numPr>
          <w:ilvl w:val="0"/>
          <w:numId w:val="35"/>
        </w:numPr>
        <w:spacing w:line="360" w:lineRule="auto"/>
        <w:rPr>
          <w:rFonts w:cstheme="minorHAnsi"/>
          <w:color w:val="000000" w:themeColor="text1"/>
        </w:rPr>
      </w:pPr>
      <w:r w:rsidRPr="00CA4ABC">
        <w:rPr>
          <w:rFonts w:cstheme="minorHAnsi"/>
          <w:color w:val="000000" w:themeColor="text1"/>
        </w:rPr>
        <w:t xml:space="preserve">Arm 1: Control – participant provided with NHS resources to increase activity and encouraged to do something twice a week. (https://www.nhs.uk/better-health/get-active/) </w:t>
      </w:r>
    </w:p>
    <w:p w14:paraId="48DA13EB" w14:textId="77777777" w:rsidR="00310C71" w:rsidRPr="00CA4ABC" w:rsidRDefault="00310C71">
      <w:pPr>
        <w:pStyle w:val="ListParagraph"/>
        <w:numPr>
          <w:ilvl w:val="0"/>
          <w:numId w:val="35"/>
        </w:numPr>
        <w:spacing w:line="360" w:lineRule="auto"/>
        <w:rPr>
          <w:rFonts w:cstheme="minorHAnsi"/>
          <w:color w:val="000000" w:themeColor="text1"/>
        </w:rPr>
      </w:pPr>
      <w:r w:rsidRPr="00CA4ABC">
        <w:rPr>
          <w:rFonts w:cstheme="minorHAnsi"/>
          <w:color w:val="000000" w:themeColor="text1"/>
        </w:rPr>
        <w:t>Arm 2: Remote resistance exercise programme.</w:t>
      </w:r>
    </w:p>
    <w:p w14:paraId="713AF788" w14:textId="77777777" w:rsidR="00310C71" w:rsidRPr="00CA4ABC" w:rsidRDefault="00310C71">
      <w:pPr>
        <w:pStyle w:val="ListParagraph"/>
        <w:numPr>
          <w:ilvl w:val="0"/>
          <w:numId w:val="35"/>
        </w:numPr>
        <w:spacing w:line="360" w:lineRule="auto"/>
        <w:rPr>
          <w:rFonts w:cstheme="minorHAnsi"/>
          <w:color w:val="000000" w:themeColor="text1"/>
        </w:rPr>
      </w:pPr>
      <w:r w:rsidRPr="00CA4ABC">
        <w:rPr>
          <w:rFonts w:cstheme="minorHAnsi"/>
          <w:color w:val="000000" w:themeColor="text1"/>
        </w:rPr>
        <w:t>Arm 3: Remote resistance exercise programme and lower protein dose (15g).</w:t>
      </w:r>
    </w:p>
    <w:p w14:paraId="2FB8643A" w14:textId="503CABA0" w:rsidR="00310C71" w:rsidRPr="00CA4ABC" w:rsidRDefault="00310C71">
      <w:pPr>
        <w:pStyle w:val="ListParagraph"/>
        <w:numPr>
          <w:ilvl w:val="0"/>
          <w:numId w:val="35"/>
        </w:numPr>
        <w:spacing w:line="360" w:lineRule="auto"/>
        <w:rPr>
          <w:rFonts w:cstheme="minorHAnsi"/>
          <w:color w:val="000000" w:themeColor="text1"/>
        </w:rPr>
      </w:pPr>
      <w:r w:rsidRPr="00CA4ABC">
        <w:rPr>
          <w:rFonts w:cstheme="minorHAnsi"/>
          <w:color w:val="000000" w:themeColor="text1"/>
        </w:rPr>
        <w:t>Arm 4: Remote resistance exercise programme and higher protein dose (30g).</w:t>
      </w:r>
      <w:bookmarkStart w:id="375" w:name="_Ref125398379"/>
    </w:p>
    <w:p w14:paraId="4FE9C6EE" w14:textId="0233E107" w:rsidR="00310C71" w:rsidRPr="00CA4ABC" w:rsidRDefault="009B5B1E" w:rsidP="001E0D71">
      <w:pPr>
        <w:spacing w:line="360" w:lineRule="auto"/>
        <w:rPr>
          <w:rFonts w:cstheme="minorHAnsi"/>
          <w:color w:val="000000" w:themeColor="text1"/>
        </w:rPr>
      </w:pPr>
      <w:r w:rsidRPr="00CA4ABC">
        <w:rPr>
          <w:rFonts w:cstheme="minorHAnsi"/>
          <w:color w:val="000000" w:themeColor="text1"/>
        </w:rPr>
        <w:t>Randomisation will be determined using an online randomisation generator: </w:t>
      </w:r>
      <w:hyperlink r:id="rId53" w:history="1">
        <w:r w:rsidRPr="00CA4ABC">
          <w:rPr>
            <w:rStyle w:val="Hyperlink"/>
            <w:rFonts w:cstheme="minorHAnsi"/>
            <w:color w:val="000000" w:themeColor="text1"/>
          </w:rPr>
          <w:t>www.randomization.com</w:t>
        </w:r>
      </w:hyperlink>
      <w:r w:rsidRPr="00CA4ABC">
        <w:rPr>
          <w:rFonts w:cstheme="minorHAnsi"/>
          <w:color w:val="000000" w:themeColor="text1"/>
        </w:rPr>
        <w:t xml:space="preserve"> using block sizes of 8. </w:t>
      </w:r>
      <w:r w:rsidR="001E0D71" w:rsidRPr="00CA4ABC">
        <w:rPr>
          <w:rFonts w:cstheme="minorHAnsi"/>
          <w:color w:val="000000" w:themeColor="text1"/>
        </w:rPr>
        <w:t>The final trial design will be registered on the ISRCTN registry (</w:t>
      </w:r>
      <w:hyperlink r:id="rId54" w:history="1">
        <w:r w:rsidR="001E0D71" w:rsidRPr="00CA4ABC">
          <w:rPr>
            <w:rStyle w:val="Hyperlink"/>
            <w:rFonts w:cstheme="minorHAnsi"/>
          </w:rPr>
          <w:t>https://www.isrctn.com/</w:t>
        </w:r>
      </w:hyperlink>
      <w:r w:rsidR="001E0D71" w:rsidRPr="00CA4ABC">
        <w:rPr>
          <w:rFonts w:cstheme="minorHAnsi"/>
          <w:color w:val="000000" w:themeColor="text1"/>
        </w:rPr>
        <w:t>)</w:t>
      </w:r>
    </w:p>
    <w:p w14:paraId="1C8C8FE6" w14:textId="77777777" w:rsidR="001E0D71" w:rsidRPr="00CA4ABC" w:rsidRDefault="001E0D71" w:rsidP="001E0D71">
      <w:pPr>
        <w:spacing w:line="360" w:lineRule="auto"/>
        <w:rPr>
          <w:rFonts w:cstheme="minorHAnsi"/>
          <w:color w:val="000000" w:themeColor="text1"/>
        </w:rPr>
      </w:pPr>
    </w:p>
    <w:p w14:paraId="05D13621" w14:textId="77777777"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376" w:name="_Toc135384402"/>
      <w:bookmarkEnd w:id="375"/>
      <w:r w:rsidRPr="00CA4ABC">
        <w:rPr>
          <w:rFonts w:asciiTheme="minorHAnsi" w:hAnsiTheme="minorHAnsi" w:cstheme="minorHAnsi"/>
          <w:b/>
          <w:bCs/>
          <w:color w:val="000000" w:themeColor="text1"/>
          <w:sz w:val="24"/>
          <w:szCs w:val="24"/>
        </w:rPr>
        <w:t>6.5  Methods</w:t>
      </w:r>
      <w:bookmarkEnd w:id="376"/>
      <w:r w:rsidRPr="00CA4ABC">
        <w:rPr>
          <w:rFonts w:asciiTheme="minorHAnsi" w:hAnsiTheme="minorHAnsi" w:cstheme="minorHAnsi"/>
          <w:b/>
          <w:bCs/>
          <w:color w:val="000000" w:themeColor="text1"/>
          <w:sz w:val="24"/>
          <w:szCs w:val="24"/>
        </w:rPr>
        <w:t xml:space="preserve"> </w:t>
      </w:r>
    </w:p>
    <w:p w14:paraId="46164DA7" w14:textId="77777777" w:rsidR="00310C71" w:rsidRPr="00CA4ABC" w:rsidRDefault="00310C71" w:rsidP="00310C71">
      <w:pPr>
        <w:pStyle w:val="Heading3"/>
        <w:spacing w:line="360" w:lineRule="auto"/>
        <w:rPr>
          <w:rFonts w:asciiTheme="minorHAnsi" w:hAnsiTheme="minorHAnsi" w:cstheme="minorHAnsi"/>
          <w:color w:val="000000" w:themeColor="text1"/>
        </w:rPr>
      </w:pPr>
      <w:bookmarkStart w:id="377" w:name="_Toc135384403"/>
      <w:r w:rsidRPr="00CA4ABC">
        <w:rPr>
          <w:rFonts w:asciiTheme="minorHAnsi" w:hAnsiTheme="minorHAnsi" w:cstheme="minorHAnsi"/>
          <w:color w:val="000000" w:themeColor="text1"/>
        </w:rPr>
        <w:t>6.5.1 Participants, interventions and outcomes</w:t>
      </w:r>
      <w:bookmarkEnd w:id="377"/>
    </w:p>
    <w:p w14:paraId="60ADEC50" w14:textId="77777777" w:rsidR="00310C71" w:rsidRPr="00CA4ABC" w:rsidRDefault="00310C71" w:rsidP="00310C71">
      <w:pPr>
        <w:pStyle w:val="Heading3"/>
        <w:spacing w:line="360" w:lineRule="auto"/>
        <w:rPr>
          <w:rFonts w:asciiTheme="minorHAnsi" w:hAnsiTheme="minorHAnsi" w:cstheme="minorHAnsi"/>
          <w:color w:val="000000" w:themeColor="text1"/>
        </w:rPr>
      </w:pPr>
      <w:bookmarkStart w:id="378" w:name="_Toc135384404"/>
      <w:r w:rsidRPr="00CA4ABC">
        <w:rPr>
          <w:rFonts w:asciiTheme="minorHAnsi" w:hAnsiTheme="minorHAnsi" w:cstheme="minorHAnsi"/>
          <w:color w:val="000000" w:themeColor="text1"/>
        </w:rPr>
        <w:t>6.5.1.1 Study Setting</w:t>
      </w:r>
      <w:bookmarkEnd w:id="378"/>
    </w:p>
    <w:p w14:paraId="0B4FA171" w14:textId="64A7F61C"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The interventions are designed to be conducted remotely so they can be done in the participant’s own homes or equivalent appropriate settings, requiring little space. To collect informed consent, baseline measurements and follow</w:t>
      </w:r>
      <w:r w:rsidR="00F4529E" w:rsidRPr="00CA4ABC">
        <w:rPr>
          <w:rFonts w:cstheme="minorHAnsi"/>
          <w:color w:val="000000" w:themeColor="text1"/>
        </w:rPr>
        <w:t>-</w:t>
      </w:r>
      <w:r w:rsidRPr="00CA4ABC">
        <w:rPr>
          <w:rFonts w:cstheme="minorHAnsi"/>
          <w:color w:val="000000" w:themeColor="text1"/>
        </w:rPr>
        <w:t>up measurements</w:t>
      </w:r>
      <w:r w:rsidR="00F4529E" w:rsidRPr="00CA4ABC">
        <w:rPr>
          <w:rFonts w:cstheme="minorHAnsi"/>
          <w:color w:val="000000" w:themeColor="text1"/>
        </w:rPr>
        <w:t>,</w:t>
      </w:r>
      <w:r w:rsidRPr="00CA4ABC">
        <w:rPr>
          <w:rFonts w:cstheme="minorHAnsi"/>
          <w:color w:val="000000" w:themeColor="text1"/>
        </w:rPr>
        <w:t xml:space="preserve"> participants will be invited to attend a face</w:t>
      </w:r>
      <w:r w:rsidR="00F4529E" w:rsidRPr="00CA4ABC">
        <w:rPr>
          <w:rFonts w:cstheme="minorHAnsi"/>
          <w:color w:val="000000" w:themeColor="text1"/>
        </w:rPr>
        <w:t>-</w:t>
      </w:r>
      <w:r w:rsidRPr="00CA4ABC">
        <w:rPr>
          <w:rFonts w:cstheme="minorHAnsi"/>
          <w:color w:val="000000" w:themeColor="text1"/>
        </w:rPr>
        <w:t>to</w:t>
      </w:r>
      <w:r w:rsidR="00F4529E" w:rsidRPr="00CA4ABC">
        <w:rPr>
          <w:rFonts w:cstheme="minorHAnsi"/>
          <w:color w:val="000000" w:themeColor="text1"/>
        </w:rPr>
        <w:t>-</w:t>
      </w:r>
      <w:r w:rsidRPr="00CA4ABC">
        <w:rPr>
          <w:rFonts w:cstheme="minorHAnsi"/>
          <w:color w:val="000000" w:themeColor="text1"/>
        </w:rPr>
        <w:t xml:space="preserve">face session with a member of the research team within the sports facilities of </w:t>
      </w:r>
      <w:r w:rsidR="00F4529E" w:rsidRPr="00CA4ABC">
        <w:rPr>
          <w:rFonts w:cstheme="minorHAnsi"/>
          <w:color w:val="000000" w:themeColor="text1"/>
        </w:rPr>
        <w:t xml:space="preserve">the </w:t>
      </w:r>
      <w:r w:rsidRPr="00CA4ABC">
        <w:rPr>
          <w:rFonts w:cstheme="minorHAnsi"/>
          <w:color w:val="000000" w:themeColor="text1"/>
        </w:rPr>
        <w:t xml:space="preserve">University of Sheffield Goodwin Sports Centre, Northumberland Road, S102TY, or Newcastle University Sports, Richardson Road, NE17RU. </w:t>
      </w:r>
      <w:r w:rsidR="00592DE6" w:rsidRPr="00CA4ABC">
        <w:rPr>
          <w:rFonts w:cstheme="minorHAnsi"/>
          <w:color w:val="000000" w:themeColor="text1"/>
        </w:rPr>
        <w:t>T</w:t>
      </w:r>
      <w:r w:rsidR="00592DE6" w:rsidRPr="00CA4ABC">
        <w:rPr>
          <w:rFonts w:cstheme="minorHAnsi"/>
          <w:color w:val="000000"/>
        </w:rPr>
        <w:t>he research team at each site will include a postdoctoral researcher, a level 3 exercise trainer and a research nurse to assist with</w:t>
      </w:r>
      <w:r w:rsidRPr="00CA4ABC">
        <w:rPr>
          <w:rFonts w:cstheme="minorHAnsi"/>
          <w:color w:val="000000" w:themeColor="text1"/>
        </w:rPr>
        <w:t xml:space="preserve"> NHS recruitment.</w:t>
      </w:r>
      <w:r w:rsidR="00592DE6" w:rsidRPr="00CA4ABC">
        <w:rPr>
          <w:rFonts w:cstheme="minorHAnsi"/>
          <w:color w:val="000000" w:themeColor="text1"/>
        </w:rPr>
        <w:t xml:space="preserve"> Collectively the team will manage project coordination, participant interactions, intervention delivery, data collection and analysis and post-trial care.</w:t>
      </w:r>
    </w:p>
    <w:p w14:paraId="08F12081" w14:textId="77777777" w:rsidR="00310C71" w:rsidRPr="00CA4ABC" w:rsidRDefault="00310C71" w:rsidP="00310C71">
      <w:pPr>
        <w:spacing w:line="360" w:lineRule="auto"/>
        <w:rPr>
          <w:rFonts w:cstheme="minorHAnsi"/>
          <w:color w:val="000000" w:themeColor="text1"/>
        </w:rPr>
      </w:pPr>
    </w:p>
    <w:p w14:paraId="2578AE09" w14:textId="77777777" w:rsidR="00310C71" w:rsidRPr="00CA4ABC" w:rsidRDefault="00310C71" w:rsidP="00310C71">
      <w:pPr>
        <w:pStyle w:val="Heading3"/>
        <w:spacing w:line="360" w:lineRule="auto"/>
        <w:rPr>
          <w:rFonts w:asciiTheme="minorHAnsi" w:hAnsiTheme="minorHAnsi" w:cstheme="minorHAnsi"/>
          <w:color w:val="000000" w:themeColor="text1"/>
        </w:rPr>
      </w:pPr>
      <w:bookmarkStart w:id="379" w:name="_Toc135384405"/>
      <w:r w:rsidRPr="00CA4ABC">
        <w:rPr>
          <w:rFonts w:asciiTheme="minorHAnsi" w:hAnsiTheme="minorHAnsi" w:cstheme="minorHAnsi"/>
          <w:color w:val="000000" w:themeColor="text1"/>
        </w:rPr>
        <w:lastRenderedPageBreak/>
        <w:t>6.5.1.2 Eligibility criteria:</w:t>
      </w:r>
      <w:bookmarkEnd w:id="379"/>
    </w:p>
    <w:p w14:paraId="21B95973" w14:textId="77777777" w:rsidR="00310C71" w:rsidRPr="00CA4ABC" w:rsidRDefault="00310C71" w:rsidP="00310C71">
      <w:pPr>
        <w:spacing w:line="360" w:lineRule="auto"/>
        <w:rPr>
          <w:rFonts w:cstheme="minorHAnsi"/>
          <w:color w:val="000000" w:themeColor="text1"/>
        </w:rPr>
      </w:pPr>
      <w:r w:rsidRPr="00CA4ABC">
        <w:rPr>
          <w:rFonts w:cstheme="minorHAnsi"/>
          <w:color w:val="000000" w:themeColor="text1"/>
        </w:rPr>
        <w:t>Inclusion:</w:t>
      </w:r>
    </w:p>
    <w:p w14:paraId="5EA963DF" w14:textId="77777777" w:rsidR="00310C71" w:rsidRPr="00CA4ABC" w:rsidRDefault="00310C71">
      <w:pPr>
        <w:pStyle w:val="ListParagraph"/>
        <w:numPr>
          <w:ilvl w:val="0"/>
          <w:numId w:val="26"/>
        </w:numPr>
        <w:spacing w:line="360" w:lineRule="auto"/>
        <w:rPr>
          <w:rFonts w:cstheme="minorHAnsi"/>
          <w:color w:val="000000" w:themeColor="text1"/>
        </w:rPr>
      </w:pPr>
      <w:r w:rsidRPr="00CA4ABC">
        <w:rPr>
          <w:rFonts w:cstheme="minorHAnsi"/>
          <w:color w:val="000000" w:themeColor="text1"/>
        </w:rPr>
        <w:t>Aged between 40-65 years old</w:t>
      </w:r>
    </w:p>
    <w:p w14:paraId="23694CB6" w14:textId="660D3CB1" w:rsidR="00310C71" w:rsidRPr="00CA4ABC" w:rsidRDefault="00310C71">
      <w:pPr>
        <w:pStyle w:val="ListParagraph"/>
        <w:numPr>
          <w:ilvl w:val="0"/>
          <w:numId w:val="26"/>
        </w:numPr>
        <w:spacing w:line="360" w:lineRule="auto"/>
        <w:rPr>
          <w:rFonts w:cstheme="minorHAnsi"/>
          <w:color w:val="000000" w:themeColor="text1"/>
        </w:rPr>
      </w:pPr>
      <w:r w:rsidRPr="00CA4ABC">
        <w:rPr>
          <w:rFonts w:cstheme="minorHAnsi"/>
          <w:color w:val="000000" w:themeColor="text1"/>
        </w:rPr>
        <w:t xml:space="preserve">Habitually consuming a low-protein diet, as assessed by a protein screener tool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{"citationItems":[{"id":"ITEM-1","itemData":{"DOI":"10.1017/JNS.2022.96","ISSN":"2048-6790","abstract":"Adequate dietary protein intake is important in human subjects for maintaining muscle turnover, determining the protein content of tissues and thus the preservation of muscle mass and function as we age. A screening tool to assess if an older individual is likely to have a lower dietary protein intake (predicted probability of protein intake ≤1</w:instrText>
      </w:r>
      <w:r w:rsidR="00E86F8C">
        <w:rPr>
          <w:rFonts w:ascii="Cambria Math" w:hAnsi="Cambria Math" w:cs="Cambria Math"/>
          <w:color w:val="000000" w:themeColor="text1"/>
        </w:rPr>
        <w:instrText>⋅</w:instrText>
      </w:r>
      <w:r w:rsidR="00E86F8C">
        <w:rPr>
          <w:rFonts w:cstheme="minorHAnsi"/>
          <w:color w:val="000000" w:themeColor="text1"/>
        </w:rPr>
        <w:instrText>0 g/kg per d), has been developed for a Netherlands dietary profile, but this has not been validated in a UK population. This study aimed to adapt and then validate the protein screening tool for use in a UK population. Amendment of the tool was undertaken using data from UK BioBank and the UK National Diet and Nutrition Survey to reflect protein sources in the UK diet. Validation of the amended version of the protein screener screening tool was conducted using protein intake derived from a food frequency questionnaire (FFQ) in a sample of UK adults (n = 184) (age range 18–91 years) as the reference standard. Using the FFQ, 40 % of respondents (n = 74) reported a protein intake of ≤1</w:instrText>
      </w:r>
      <w:r w:rsidR="00E86F8C">
        <w:rPr>
          <w:rFonts w:ascii="Cambria Math" w:hAnsi="Cambria Math" w:cs="Cambria Math"/>
          <w:color w:val="000000" w:themeColor="text1"/>
        </w:rPr>
        <w:instrText>⋅</w:instrText>
      </w:r>
      <w:r w:rsidR="00E86F8C">
        <w:rPr>
          <w:rFonts w:cstheme="minorHAnsi"/>
          <w:color w:val="000000" w:themeColor="text1"/>
        </w:rPr>
        <w:instrText>0 g per kg body mass. The discriminative accuracy of the amended screener was tested using receiver operating characteristic (ROC) curves. The area under the curve for the ROC was 0</w:instrText>
      </w:r>
      <w:r w:rsidR="00E86F8C">
        <w:rPr>
          <w:rFonts w:ascii="Cambria Math" w:hAnsi="Cambria Math" w:cs="Cambria Math"/>
          <w:color w:val="000000" w:themeColor="text1"/>
        </w:rPr>
        <w:instrText>⋅</w:instrText>
      </w:r>
      <w:r w:rsidR="00E86F8C">
        <w:rPr>
          <w:rFonts w:cstheme="minorHAnsi"/>
          <w:color w:val="000000" w:themeColor="text1"/>
        </w:rPr>
        <w:instrText>731 (95 % CI 0</w:instrText>
      </w:r>
      <w:r w:rsidR="00E86F8C">
        <w:rPr>
          <w:rFonts w:ascii="Cambria Math" w:hAnsi="Cambria Math" w:cs="Cambria Math"/>
          <w:color w:val="000000" w:themeColor="text1"/>
        </w:rPr>
        <w:instrText>⋅</w:instrText>
      </w:r>
      <w:r w:rsidR="00E86F8C">
        <w:rPr>
          <w:rFonts w:cstheme="minorHAnsi"/>
          <w:color w:val="000000" w:themeColor="text1"/>
        </w:rPr>
        <w:instrText>657, 0</w:instrText>
      </w:r>
      <w:r w:rsidR="00E86F8C">
        <w:rPr>
          <w:rFonts w:ascii="Cambria Math" w:hAnsi="Cambria Math" w:cs="Cambria Math"/>
          <w:color w:val="000000" w:themeColor="text1"/>
        </w:rPr>
        <w:instrText>⋅</w:instrText>
      </w:r>
      <w:r w:rsidR="00E86F8C">
        <w:rPr>
          <w:rFonts w:cstheme="minorHAnsi"/>
          <w:color w:val="000000" w:themeColor="text1"/>
        </w:rPr>
        <w:instrText>805), indicating that the amended screener may be a valid tool to screen for individuals consuming ≤1</w:instrText>
      </w:r>
      <w:r w:rsidR="00E86F8C">
        <w:rPr>
          <w:rFonts w:ascii="Cambria Math" w:hAnsi="Cambria Math" w:cs="Cambria Math"/>
          <w:color w:val="000000" w:themeColor="text1"/>
        </w:rPr>
        <w:instrText>⋅</w:instrText>
      </w:r>
      <w:r w:rsidR="00E86F8C">
        <w:rPr>
          <w:rFonts w:cstheme="minorHAnsi"/>
          <w:color w:val="000000" w:themeColor="text1"/>
        </w:rPr>
        <w:instrText>0 g/kg adjusted BM/d in an adult UK population. This protein screener tool is a potential method to screen individuals with a likelihood of habitually consuming protein intakes of ≤1</w:instrText>
      </w:r>
      <w:r w:rsidR="00E86F8C">
        <w:rPr>
          <w:rFonts w:ascii="Cambria Math" w:hAnsi="Cambria Math" w:cs="Cambria Math"/>
          <w:color w:val="000000" w:themeColor="text1"/>
        </w:rPr>
        <w:instrText>⋅</w:instrText>
      </w:r>
      <w:r w:rsidR="00E86F8C">
        <w:rPr>
          <w:rFonts w:cstheme="minorHAnsi"/>
          <w:color w:val="000000" w:themeColor="text1"/>
        </w:rPr>
        <w:instrText>0 g/kg per d. Further validation is needed using a more robust dietary intake methodology and for specific groups, such as older adults. The screener may be applicable across healthcare, clinical and research applications.","author":[{"dropping-particle":"","family":"Tuttiett","given":"Esme R.","non-dropping-particle":"","parse-names":false,"suffix":""},{"dropping-particle":"","family":"Ioannou","given":"Elysa","non-dropping-particle":"","parse-names":false,"suffix":""},{"dropping-particle":"","family":"Wijnhoven","given":"Hanneke A.H.","non-dropping-particle":"","parse-names":false,"suffix":""},{"dropping-particle":"","family":"Corfe","given":"Bernard M.","non-dropping-particle":"","parse-names":false,"suffix":""},{"dropping-particle":"","family":"Williams","given":"Elizabeth A.","non-dropping-particle":"","parse-names":false,"suffix":""}],"container-title":"Journal of Nutritional Science","id":"ITEM-1","issued":{"date-parts":[["2022","11","10"]]},"page":"e100","publisher":"Cambridge University Press","title":"Adaptation and validation of a protein intake screening tool for a UK adult population","type":"article-journal","volume":"11"},"uris":["http://www.mendeley.com/documents/?uuid=4bfe53ae-fadc-3848-9ff7-d590a95deef3"]}],"mendeley":{"formattedCitation":"(194)","plainTextFormattedCitation":"(194)","previouslyFormattedCitation":"(194)"},"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(194)</w:t>
      </w:r>
      <w:r w:rsidRPr="00CA4ABC">
        <w:rPr>
          <w:rFonts w:cstheme="minorHAnsi"/>
          <w:color w:val="000000" w:themeColor="text1"/>
        </w:rPr>
        <w:fldChar w:fldCharType="end"/>
      </w:r>
    </w:p>
    <w:p w14:paraId="19B0AEC6" w14:textId="77777777" w:rsidR="00310C71" w:rsidRPr="00CA4ABC" w:rsidRDefault="00310C71">
      <w:pPr>
        <w:pStyle w:val="ListParagraph"/>
        <w:numPr>
          <w:ilvl w:val="0"/>
          <w:numId w:val="26"/>
        </w:numPr>
        <w:spacing w:line="360" w:lineRule="auto"/>
        <w:rPr>
          <w:rFonts w:cstheme="minorHAnsi"/>
          <w:color w:val="000000" w:themeColor="text1"/>
        </w:rPr>
      </w:pPr>
      <w:r w:rsidRPr="00CA4ABC">
        <w:rPr>
          <w:rFonts w:cstheme="minorHAnsi"/>
          <w:color w:val="000000" w:themeColor="text1"/>
        </w:rPr>
        <w:t>Not currently engaging in resistance training</w:t>
      </w:r>
    </w:p>
    <w:p w14:paraId="2A2D8E70" w14:textId="77777777" w:rsidR="00310C71" w:rsidRPr="00CA4ABC" w:rsidRDefault="00310C71">
      <w:pPr>
        <w:pStyle w:val="ListParagraph"/>
        <w:numPr>
          <w:ilvl w:val="0"/>
          <w:numId w:val="26"/>
        </w:numPr>
        <w:spacing w:line="360" w:lineRule="auto"/>
        <w:rPr>
          <w:rFonts w:cstheme="minorHAnsi"/>
          <w:color w:val="000000" w:themeColor="text1"/>
        </w:rPr>
      </w:pPr>
      <w:r w:rsidRPr="00CA4ABC">
        <w:rPr>
          <w:rFonts w:cstheme="minorHAnsi"/>
          <w:color w:val="000000" w:themeColor="text1"/>
        </w:rPr>
        <w:t>Internet access</w:t>
      </w:r>
    </w:p>
    <w:p w14:paraId="30BE347B" w14:textId="77777777" w:rsidR="00310C71" w:rsidRPr="00CA4ABC" w:rsidRDefault="00310C71" w:rsidP="00310C71">
      <w:pPr>
        <w:spacing w:line="360" w:lineRule="auto"/>
        <w:rPr>
          <w:rFonts w:cstheme="minorHAnsi"/>
          <w:color w:val="000000" w:themeColor="text1"/>
        </w:rPr>
      </w:pPr>
      <w:r w:rsidRPr="00CA4ABC">
        <w:rPr>
          <w:rFonts w:cstheme="minorHAnsi"/>
          <w:color w:val="000000" w:themeColor="text1"/>
        </w:rPr>
        <w:t>Exclusion:</w:t>
      </w:r>
    </w:p>
    <w:p w14:paraId="0BF02BB4" w14:textId="334E7AC3"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 xml:space="preserve">Any form </w:t>
      </w:r>
      <w:r w:rsidR="00F4529E" w:rsidRPr="00CA4ABC">
        <w:rPr>
          <w:rFonts w:cstheme="minorHAnsi"/>
          <w:color w:val="000000" w:themeColor="text1"/>
        </w:rPr>
        <w:t>of</w:t>
      </w:r>
      <w:r w:rsidRPr="00CA4ABC">
        <w:rPr>
          <w:rFonts w:cstheme="minorHAnsi"/>
          <w:color w:val="000000" w:themeColor="text1"/>
        </w:rPr>
        <w:t xml:space="preserve"> cardiovascular, respiratory, metabolic (i.e. diabetes) or kidney issues</w:t>
      </w:r>
    </w:p>
    <w:p w14:paraId="17C943C7" w14:textId="4615E12B"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Have</w:t>
      </w:r>
      <w:r w:rsidR="00C324DE" w:rsidRPr="00CA4ABC">
        <w:rPr>
          <w:rFonts w:cstheme="minorHAnsi"/>
          <w:color w:val="000000" w:themeColor="text1"/>
        </w:rPr>
        <w:t xml:space="preserve"> a condition which would be worsened by exercising or it is identified on the</w:t>
      </w:r>
      <w:r w:rsidRPr="00CA4ABC">
        <w:rPr>
          <w:rFonts w:cstheme="minorHAnsi"/>
          <w:color w:val="000000" w:themeColor="text1"/>
        </w:rPr>
        <w:t xml:space="preserve"> PAR-Q questionnaire that exercise is not appropriate.</w:t>
      </w:r>
    </w:p>
    <w:p w14:paraId="1F39E34A" w14:textId="77777777"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Currently taking anti-clotting medication</w:t>
      </w:r>
    </w:p>
    <w:p w14:paraId="0AD157FE" w14:textId="77777777"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Planned pregnancy during the study</w:t>
      </w:r>
    </w:p>
    <w:p w14:paraId="1C29510A" w14:textId="77777777"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Pacemaker</w:t>
      </w:r>
    </w:p>
    <w:p w14:paraId="7816B516" w14:textId="77777777"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Experience of significant weight loss of &gt;10% of body weight in the past 6 months</w:t>
      </w:r>
    </w:p>
    <w:p w14:paraId="1A2DFFA3" w14:textId="77777777" w:rsidR="00310C71" w:rsidRPr="00CA4ABC" w:rsidRDefault="00310C71">
      <w:pPr>
        <w:pStyle w:val="ListParagraph"/>
        <w:numPr>
          <w:ilvl w:val="0"/>
          <w:numId w:val="25"/>
        </w:numPr>
        <w:spacing w:line="360" w:lineRule="auto"/>
        <w:rPr>
          <w:rFonts w:cstheme="minorHAnsi"/>
          <w:color w:val="000000" w:themeColor="text1"/>
        </w:rPr>
      </w:pPr>
      <w:r w:rsidRPr="00CA4ABC">
        <w:rPr>
          <w:rFonts w:cstheme="minorHAnsi"/>
          <w:color w:val="000000" w:themeColor="text1"/>
        </w:rPr>
        <w:t>Current or history of disordered eating</w:t>
      </w:r>
    </w:p>
    <w:p w14:paraId="71B4C064" w14:textId="77777777" w:rsidR="00310C71" w:rsidRPr="00CA4ABC" w:rsidRDefault="00310C71" w:rsidP="00310C71">
      <w:pPr>
        <w:spacing w:line="360" w:lineRule="auto"/>
        <w:ind w:left="360"/>
        <w:rPr>
          <w:rFonts w:cstheme="minorHAnsi"/>
          <w:color w:val="000000" w:themeColor="text1"/>
        </w:rPr>
      </w:pPr>
    </w:p>
    <w:p w14:paraId="3E45B4AA" w14:textId="4F744E7B" w:rsidR="00310C71" w:rsidRPr="00CA4ABC" w:rsidRDefault="00310C71" w:rsidP="00310C71">
      <w:pPr>
        <w:pStyle w:val="Heading3"/>
        <w:spacing w:line="360" w:lineRule="auto"/>
        <w:rPr>
          <w:rFonts w:asciiTheme="minorHAnsi" w:hAnsiTheme="minorHAnsi" w:cstheme="minorHAnsi"/>
          <w:color w:val="000000" w:themeColor="text1"/>
        </w:rPr>
      </w:pPr>
      <w:bookmarkStart w:id="380" w:name="_Toc135384406"/>
      <w:r w:rsidRPr="00CA4ABC">
        <w:rPr>
          <w:rFonts w:asciiTheme="minorHAnsi" w:hAnsiTheme="minorHAnsi" w:cstheme="minorHAnsi"/>
          <w:color w:val="000000" w:themeColor="text1"/>
        </w:rPr>
        <w:t>6.5.1.3 Interventions:</w:t>
      </w:r>
      <w:bookmarkEnd w:id="380"/>
    </w:p>
    <w:p w14:paraId="1330ACCF" w14:textId="77777777" w:rsidR="00310C71" w:rsidRPr="00CA4ABC" w:rsidRDefault="00310C71" w:rsidP="00310C71">
      <w:pPr>
        <w:spacing w:line="360" w:lineRule="auto"/>
        <w:rPr>
          <w:rFonts w:cstheme="minorHAnsi"/>
          <w:color w:val="000000" w:themeColor="text1"/>
        </w:rPr>
      </w:pPr>
      <w:r w:rsidRPr="00CA4ABC">
        <w:rPr>
          <w:rFonts w:cstheme="minorHAnsi"/>
          <w:color w:val="000000" w:themeColor="text1"/>
        </w:rPr>
        <w:t>Exercise intervention:</w:t>
      </w:r>
    </w:p>
    <w:p w14:paraId="4D624CE0" w14:textId="73358A3A"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The exercise component will be resistance training, undertaken remotely using resistance bands. </w:t>
      </w:r>
      <w:r w:rsidR="00F4529E" w:rsidRPr="00CA4ABC">
        <w:rPr>
          <w:rFonts w:cstheme="minorHAnsi"/>
          <w:color w:val="000000"/>
          <w:shd w:val="clear" w:color="auto" w:fill="FFFFFF"/>
        </w:rPr>
        <w:t xml:space="preserve">The exercise programme will be designed by a level 3 qualified personal trainer and will align with the principles of progression and guidelines for carrying out resistance training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{"citationItems":[{"id":"ITEM-1","itemData":{"DOI":"10.1249/MSS.0B013E3181915670","ISSN":"1530-0315","PMID":"19204579","abstract":"In order to stimulate further adaptation toward specific training goals, progressive resistance training (RT) protocols are necessary. The optimal characteristics of strength-specific programs include the use of concentric (CON), eccentric (ECC), and isometric muscle actions and the performance of bilateral and unilateral single- and multiple-joint exercises. In addition, it is recommended that strength programs sequence exercises to optimize the preservation of exercise intensity (large before small muscle group exercises, multiple-joint exercises before single-joint exercises, and higher-intensity before lower-intensity exercises). For novice (untrained individuals with no RT experience or who have not trained for several years) training, it is recommended that loads correspond to a repetition range of an 8-12 repetition maximum (RM). For intermediate (individuals with approximately 6 months of consistent RT experience) to advanced (individuals with years of RT experience) training, it is recommended that individuals use a wider loading range from 1 to 12 RM in a periodized fashion with eventual emphasis on heavy loading (1-6 RM) using 3- to 5-min rest periods between sets performed at a moderate contraction velocity (1-2 s CON; 1-2 s ECC). When training at a specific RM load, it is recommended that 2-10% increase in load be applied when the individual can perform the current workload for one to two repetitions over the desired number. The recommendation for training frequency is 2-3 d·wk-1 for novice training, 3-4 d·wk-1 for intermediate training, and 4-5 d·wk-1 for advanced training. Similar program designs are recommended for hypertrophy training with respect to exercise selection and frequency. For loading, it is recommended that loads corresponding to 1-12 RM be used in periodized fashion with emphasis on the 6-12 RM zone using 1- to 2-min rest periods between sets at a moderate velocity. Higher volume, multiple-set programs are recommended for maximizing hypertrophy. Progression in power training entails two general loading strategies: 1) strength training and 2) use of light loads (0-60% of 1 RM for lower body exercises; 30-60% of 1 RM for upper body exercises) performed at a fast contraction velocity with 3-5 min of rest between sets for multiple sets per exercise (three to five sets). It is also recommended that emphasis be placed on multiple-joint exercises especially those involving the total body. For local muscular endurance training, it …","container-title":"Medicine and science in sports and exercise","id":"ITEM-1","issue":"3","issued":{"date-parts":[["2009","3"]]},"page":"687-708","publisher":"Med Sci Sports Exerc","title":"American College of Sports Medicine position stand. Progression models in resistance training for healthy adults","type":"article-journal","volume":"41"},"uris":["http://www.mendeley.com/documents/?uuid=00fd1457-9b88-3c05-96da-f619168f3bed"]}],"mendeley":{"formattedCitation":"(240)","plainTextFormattedCitation":"(240)","previouslyFormattedCitation":"(240)"},"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(240)</w:t>
      </w:r>
      <w:r w:rsidRPr="00CA4ABC">
        <w:rPr>
          <w:rFonts w:cstheme="minorHAnsi"/>
          <w:color w:val="000000" w:themeColor="text1"/>
        </w:rPr>
        <w:fldChar w:fldCharType="end"/>
      </w:r>
      <w:r w:rsidRPr="00CA4ABC">
        <w:rPr>
          <w:rFonts w:cstheme="minorHAnsi"/>
          <w:color w:val="000000" w:themeColor="text1"/>
        </w:rPr>
        <w:t xml:space="preserve">. Moreover, it will also adhere to the consensus on exercise reporting (CERT) framework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{"citationItems":[{"id":"ITEM-1","itemData":{"DOI":"10.1136/BJSPORTS-2016-096651","ISSN":"0306-3674","PMID":"27707738","abstract":"Exercise is effective for prevention and management of acute and chronic health conditions. However, trial descriptions of exercise interventions are often suboptimal, leaving readers unclear about the content of effective programmes. To address this, the 16-item internationally endorsed Consensus on Exercise Reporting Template (CERT) was developed. The aim is to present the final template and provide an Explanation and Elaboration Statement to operationalise the CERT. Development of the CERT was based on the EQUATOR Network methodological framework for developing reporting guidelines. We used a modified Delphi technique to gain consensus of international exercise experts and conducted 3 sequential rounds of anonymous online questionnaires and a Delphi workshop. The 16-item CERT is the minimum data set considered necessary to report exercise interventions. The contents may be included in online supplementary material, published as a protocol or located on websites and other electronic repositories. The Explanation and Elaboration Statement is intended to enhance the use, understanding and dissemination of the CERT and presents the meaning and rationale for each item, together with examples of good reporting. The CERT is designed specifically for the reporting of exercise programmes across all evaluative study designs for exercise research. The CERT can be used by authors to structure intervention reports, by reviewers and editors to assess completeness of exercise descriptions and by readers to facilitate the use of the published information. The CERT has the potential to increase clinical uptake of effective exercise programmes, enable research replication, reduce research waste and improve patient outcomes.","author":[{"dropping-particle":"","family":"Slade","given":"Susan C.","non-dropping-particle":"","parse-names":false,"suffix":""},{"dropping-particle":"","family":"Dionne","given":"Clermont E.","non-dropping-particle":"","parse-names":false,"suffix":""},{"dropping-particle":"","family":"Underwood","given":"Martin","non-dropping-particle":"","parse-names":false,"suffix":""},{"dropping-particle":"","family":"Buchbinder","given":"Rachelle","non-dropping-particle":"","parse-names":false,"suffix":""}],"container-title":"British Journal of Sports Medicine","id":"ITEM-1","issue":"23","issued":{"date-parts":[["2016","12","1"]]},"page":"1428-1437","publisher":"BMJ Publishing Group Ltd and British Association of Sport and Exercise Medicine","title":"Consensus on Exercise Reporting Template (CERT): Explanation and Elaboration Statement","type":"article-journal","volume":"50"},"uris":["http://www.mendeley.com/documents/?uuid=69d4e8f0-3475-38f4-a64d-c0b8f115d32e"]}],"mendeley":{"formattedCitation":"(337)","plainTextFormattedCitation":"(337)","previouslyFormattedCitation":"(336)"},"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(337)</w:t>
      </w:r>
      <w:r w:rsidRPr="00CA4ABC">
        <w:rPr>
          <w:rFonts w:cstheme="minorHAnsi"/>
          <w:color w:val="000000" w:themeColor="text1"/>
        </w:rPr>
        <w:fldChar w:fldCharType="end"/>
      </w:r>
      <w:r w:rsidRPr="00CA4ABC">
        <w:rPr>
          <w:rFonts w:cstheme="minorHAnsi"/>
          <w:color w:val="000000" w:themeColor="text1"/>
        </w:rPr>
        <w:t xml:space="preserve"> and each section of this has been addressed in </w:t>
      </w:r>
      <w:r w:rsidR="006E2608" w:rsidRPr="00CA4ABC">
        <w:rPr>
          <w:rFonts w:cstheme="minorHAnsi"/>
          <w:color w:val="000000" w:themeColor="text1"/>
        </w:rPr>
        <w:fldChar w:fldCharType="begin"/>
      </w:r>
      <w:r w:rsidR="006E2608" w:rsidRPr="00CA4ABC">
        <w:rPr>
          <w:rFonts w:cstheme="minorHAnsi"/>
          <w:color w:val="000000" w:themeColor="text1"/>
        </w:rPr>
        <w:instrText xml:space="preserve"> REF _Ref122623458 \h </w:instrText>
      </w:r>
      <w:r w:rsidR="00CA4ABC">
        <w:rPr>
          <w:rFonts w:cstheme="minorHAnsi"/>
          <w:color w:val="000000" w:themeColor="text1"/>
        </w:rPr>
        <w:instrText xml:space="preserve"> \* MERGEFORMAT </w:instrText>
      </w:r>
      <w:r w:rsidR="006E2608" w:rsidRPr="00CA4ABC">
        <w:rPr>
          <w:rFonts w:cstheme="minorHAnsi"/>
          <w:color w:val="000000" w:themeColor="text1"/>
        </w:rPr>
      </w:r>
      <w:r w:rsidR="006E2608" w:rsidRPr="00CA4ABC">
        <w:rPr>
          <w:rFonts w:cstheme="minorHAnsi"/>
          <w:color w:val="000000" w:themeColor="text1"/>
        </w:rPr>
        <w:fldChar w:fldCharType="separate"/>
      </w:r>
      <w:r w:rsidR="006E2608" w:rsidRPr="00CA4ABC">
        <w:rPr>
          <w:rFonts w:cstheme="minorHAnsi"/>
          <w:color w:val="000000" w:themeColor="text1"/>
        </w:rPr>
        <w:t xml:space="preserve">Table </w:t>
      </w:r>
      <w:r w:rsidR="006E2608" w:rsidRPr="00CA4ABC">
        <w:rPr>
          <w:rFonts w:cstheme="minorHAnsi"/>
          <w:noProof/>
          <w:color w:val="000000" w:themeColor="text1"/>
        </w:rPr>
        <w:t>31</w:t>
      </w:r>
      <w:r w:rsidR="006E2608" w:rsidRPr="00CA4ABC">
        <w:rPr>
          <w:rFonts w:cstheme="minorHAnsi"/>
          <w:color w:val="000000" w:themeColor="text1"/>
        </w:rPr>
        <w:fldChar w:fldCharType="end"/>
      </w:r>
      <w:r w:rsidR="006E2608" w:rsidRPr="00CA4ABC">
        <w:rPr>
          <w:rFonts w:cstheme="minorHAnsi"/>
          <w:color w:val="000000" w:themeColor="text1"/>
        </w:rPr>
        <w:t>.</w:t>
      </w:r>
    </w:p>
    <w:p w14:paraId="4F2C18BF" w14:textId="409ACD92" w:rsidR="00310C71" w:rsidRPr="00CA4ABC" w:rsidRDefault="00310C71" w:rsidP="00310C71">
      <w:pPr>
        <w:spacing w:line="360" w:lineRule="auto"/>
        <w:rPr>
          <w:rFonts w:cstheme="minorHAnsi"/>
          <w:color w:val="000000" w:themeColor="text1"/>
        </w:rPr>
      </w:pPr>
      <w:r w:rsidRPr="00CA4ABC">
        <w:rPr>
          <w:rFonts w:cstheme="minorHAnsi"/>
          <w:color w:val="000000" w:themeColor="text1"/>
        </w:rPr>
        <w:t>Each participant will be provided with a set of</w:t>
      </w:r>
      <w:r w:rsidR="00592DE6" w:rsidRPr="00CA4ABC">
        <w:rPr>
          <w:rFonts w:cstheme="minorHAnsi"/>
          <w:color w:val="000000" w:themeColor="text1"/>
        </w:rPr>
        <w:t xml:space="preserve"> industry</w:t>
      </w:r>
      <w:r w:rsidR="00F4529E" w:rsidRPr="00CA4ABC">
        <w:rPr>
          <w:rFonts w:cstheme="minorHAnsi"/>
          <w:color w:val="000000" w:themeColor="text1"/>
        </w:rPr>
        <w:t>-</w:t>
      </w:r>
      <w:r w:rsidR="00592DE6" w:rsidRPr="00CA4ABC">
        <w:rPr>
          <w:rFonts w:cstheme="minorHAnsi"/>
          <w:color w:val="000000" w:themeColor="text1"/>
        </w:rPr>
        <w:t xml:space="preserve">standard resistance bands (lifeline ltd) and available to purchase from: </w:t>
      </w:r>
      <w:hyperlink r:id="rId55" w:history="1">
        <w:r w:rsidR="00592DE6" w:rsidRPr="00CA4ABC">
          <w:rPr>
            <w:rStyle w:val="Hyperlink"/>
            <w:rFonts w:cstheme="minorHAnsi"/>
          </w:rPr>
          <w:t>https://www.jordanfitness.com/pages/brochure</w:t>
        </w:r>
      </w:hyperlink>
      <w:r w:rsidR="00592DE6" w:rsidRPr="00CA4ABC">
        <w:rPr>
          <w:rFonts w:cstheme="minorHAnsi"/>
          <w:color w:val="000000" w:themeColor="text1"/>
        </w:rPr>
        <w:t xml:space="preserve">. All participants will be provided with a light resistance and heavy resistance set of bands, </w:t>
      </w:r>
      <w:r w:rsidRPr="00CA4ABC">
        <w:rPr>
          <w:rFonts w:cstheme="minorHAnsi"/>
          <w:color w:val="000000" w:themeColor="text1"/>
        </w:rPr>
        <w:t>handle</w:t>
      </w:r>
      <w:r w:rsidR="00592DE6" w:rsidRPr="00CA4ABC">
        <w:rPr>
          <w:rFonts w:cstheme="minorHAnsi"/>
          <w:color w:val="000000" w:themeColor="text1"/>
        </w:rPr>
        <w:t>s and a</w:t>
      </w:r>
      <w:r w:rsidRPr="00CA4ABC">
        <w:rPr>
          <w:rFonts w:cstheme="minorHAnsi"/>
          <w:color w:val="000000" w:themeColor="text1"/>
        </w:rPr>
        <w:t xml:space="preserve"> door </w:t>
      </w:r>
      <w:r w:rsidR="00592DE6" w:rsidRPr="00CA4ABC">
        <w:rPr>
          <w:rFonts w:cstheme="minorHAnsi"/>
          <w:color w:val="000000" w:themeColor="text1"/>
        </w:rPr>
        <w:t>anchor. If deemed appropriate, based on monitoring, RPE ratings and feedback during the trial, additional levels of resistance bands (extending up to 100lbs) can</w:t>
      </w:r>
      <w:r w:rsidR="00F4529E" w:rsidRPr="00CA4ABC">
        <w:rPr>
          <w:rFonts w:cstheme="minorHAnsi"/>
          <w:color w:val="000000" w:themeColor="text1"/>
        </w:rPr>
        <w:t xml:space="preserve"> be</w:t>
      </w:r>
      <w:r w:rsidR="00592DE6" w:rsidRPr="00CA4ABC">
        <w:rPr>
          <w:rFonts w:cstheme="minorHAnsi"/>
          <w:color w:val="000000" w:themeColor="text1"/>
        </w:rPr>
        <w:t xml:space="preserve"> provided to the participants in relation to their strength levels. </w:t>
      </w:r>
      <w:r w:rsidRPr="00CA4ABC">
        <w:rPr>
          <w:rFonts w:cstheme="minorHAnsi"/>
          <w:color w:val="000000" w:themeColor="text1"/>
        </w:rPr>
        <w:t xml:space="preserve">Guidance and instructions for their use will be provided to all participants at their baseline </w:t>
      </w:r>
      <w:r w:rsidR="00F4529E" w:rsidRPr="00CA4ABC">
        <w:rPr>
          <w:rFonts w:cstheme="minorHAnsi"/>
          <w:color w:val="000000" w:themeColor="text1"/>
        </w:rPr>
        <w:t>face-to-face</w:t>
      </w:r>
      <w:r w:rsidRPr="00CA4ABC">
        <w:rPr>
          <w:rFonts w:cstheme="minorHAnsi"/>
          <w:color w:val="000000" w:themeColor="text1"/>
        </w:rPr>
        <w:t xml:space="preserve"> meeting. During weeks 1-12, participants will be invited to join live exercise classes provided at </w:t>
      </w:r>
      <w:r w:rsidR="00DF41F3" w:rsidRPr="00CA4ABC">
        <w:rPr>
          <w:rFonts w:cstheme="minorHAnsi"/>
          <w:color w:val="000000" w:themeColor="text1"/>
        </w:rPr>
        <w:lastRenderedPageBreak/>
        <w:t xml:space="preserve">various </w:t>
      </w:r>
      <w:r w:rsidRPr="00CA4ABC">
        <w:rPr>
          <w:rFonts w:cstheme="minorHAnsi"/>
          <w:color w:val="000000" w:themeColor="text1"/>
        </w:rPr>
        <w:t>time</w:t>
      </w:r>
      <w:r w:rsidR="00C324DE" w:rsidRPr="00CA4ABC">
        <w:rPr>
          <w:rFonts w:cstheme="minorHAnsi"/>
          <w:color w:val="000000" w:themeColor="text1"/>
        </w:rPr>
        <w:t xml:space="preserve"> slots</w:t>
      </w:r>
      <w:r w:rsidRPr="00CA4ABC">
        <w:rPr>
          <w:rFonts w:cstheme="minorHAnsi"/>
          <w:color w:val="000000" w:themeColor="text1"/>
        </w:rPr>
        <w:t xml:space="preserve"> throughout </w:t>
      </w:r>
      <w:r w:rsidR="00F4529E" w:rsidRPr="00CA4ABC">
        <w:rPr>
          <w:rFonts w:cstheme="minorHAnsi"/>
          <w:color w:val="000000" w:themeColor="text1"/>
        </w:rPr>
        <w:t>the</w:t>
      </w:r>
      <w:r w:rsidRPr="00CA4ABC">
        <w:rPr>
          <w:rFonts w:cstheme="minorHAnsi"/>
          <w:color w:val="000000" w:themeColor="text1"/>
        </w:rPr>
        <w:t xml:space="preserve"> week</w:t>
      </w:r>
      <w:r w:rsidR="00F4529E" w:rsidRPr="00CA4ABC">
        <w:rPr>
          <w:rFonts w:cstheme="minorHAnsi"/>
          <w:color w:val="000000" w:themeColor="text1"/>
        </w:rPr>
        <w:t>, including morning and evening slots</w:t>
      </w:r>
      <w:r w:rsidR="00DF41F3" w:rsidRPr="00CA4ABC">
        <w:rPr>
          <w:rFonts w:cstheme="minorHAnsi"/>
          <w:color w:val="000000" w:themeColor="text1"/>
        </w:rPr>
        <w:t xml:space="preserve"> and </w:t>
      </w:r>
      <w:r w:rsidR="00C324DE" w:rsidRPr="00CA4ABC">
        <w:rPr>
          <w:rFonts w:cstheme="minorHAnsi"/>
          <w:color w:val="000000" w:themeColor="text1"/>
        </w:rPr>
        <w:t>two</w:t>
      </w:r>
      <w:r w:rsidR="00DF41F3" w:rsidRPr="00CA4ABC">
        <w:rPr>
          <w:rFonts w:cstheme="minorHAnsi"/>
          <w:color w:val="000000" w:themeColor="text1"/>
        </w:rPr>
        <w:t xml:space="preserve"> weekend option</w:t>
      </w:r>
      <w:r w:rsidR="00C324DE" w:rsidRPr="00CA4ABC">
        <w:rPr>
          <w:rFonts w:cstheme="minorHAnsi"/>
          <w:color w:val="000000" w:themeColor="text1"/>
        </w:rPr>
        <w:t>s</w:t>
      </w:r>
      <w:r w:rsidRPr="00CA4ABC">
        <w:rPr>
          <w:rFonts w:cstheme="minorHAnsi"/>
          <w:color w:val="000000" w:themeColor="text1"/>
        </w:rPr>
        <w:t xml:space="preserve">. </w:t>
      </w:r>
      <w:r w:rsidR="00F4529E" w:rsidRPr="00CA4ABC">
        <w:rPr>
          <w:rFonts w:cstheme="minorHAnsi"/>
          <w:color w:val="000000" w:themeColor="text1"/>
        </w:rPr>
        <w:t xml:space="preserve">In </w:t>
      </w:r>
      <w:r w:rsidR="00DF41F3" w:rsidRPr="00CA4ABC">
        <w:rPr>
          <w:rFonts w:cstheme="minorHAnsi"/>
          <w:color w:val="000000" w:themeColor="text1"/>
        </w:rPr>
        <w:t xml:space="preserve">total, </w:t>
      </w:r>
      <w:r w:rsidR="00C324DE" w:rsidRPr="00CA4ABC">
        <w:rPr>
          <w:rFonts w:cstheme="minorHAnsi"/>
          <w:color w:val="000000" w:themeColor="text1"/>
        </w:rPr>
        <w:t>twelve</w:t>
      </w:r>
      <w:r w:rsidR="00DF41F3" w:rsidRPr="00CA4ABC">
        <w:rPr>
          <w:rFonts w:cstheme="minorHAnsi"/>
          <w:color w:val="000000" w:themeColor="text1"/>
        </w:rPr>
        <w:t xml:space="preserve"> live classes will be delivered</w:t>
      </w:r>
      <w:r w:rsidR="00CE7376" w:rsidRPr="00CA4ABC">
        <w:rPr>
          <w:rFonts w:cstheme="minorHAnsi"/>
          <w:color w:val="000000" w:themeColor="text1"/>
        </w:rPr>
        <w:t>, across the four instructors</w:t>
      </w:r>
      <w:r w:rsidR="00DF41F3" w:rsidRPr="00CA4ABC">
        <w:rPr>
          <w:rFonts w:cstheme="minorHAnsi"/>
          <w:color w:val="000000" w:themeColor="text1"/>
        </w:rPr>
        <w:t xml:space="preserve">. </w:t>
      </w:r>
      <w:r w:rsidRPr="00CA4ABC">
        <w:rPr>
          <w:rFonts w:cstheme="minorHAnsi"/>
          <w:color w:val="000000" w:themeColor="text1"/>
        </w:rPr>
        <w:t xml:space="preserve">Participants will be provided with a brief class synopsis, including required equipment, </w:t>
      </w:r>
      <w:r w:rsidR="00404143" w:rsidRPr="00CA4ABC">
        <w:rPr>
          <w:rFonts w:cstheme="minorHAnsi"/>
          <w:color w:val="000000" w:themeColor="text1"/>
        </w:rPr>
        <w:t xml:space="preserve">an outline of </w:t>
      </w:r>
      <w:r w:rsidRPr="00CA4ABC">
        <w:rPr>
          <w:rFonts w:cstheme="minorHAnsi"/>
          <w:color w:val="000000" w:themeColor="text1"/>
        </w:rPr>
        <w:t>exercises and</w:t>
      </w:r>
      <w:r w:rsidR="00404143" w:rsidRPr="00CA4ABC">
        <w:rPr>
          <w:rFonts w:cstheme="minorHAnsi"/>
          <w:color w:val="000000" w:themeColor="text1"/>
        </w:rPr>
        <w:t xml:space="preserve"> details about the</w:t>
      </w:r>
      <w:r w:rsidRPr="00CA4ABC">
        <w:rPr>
          <w:rFonts w:cstheme="minorHAnsi"/>
          <w:color w:val="000000" w:themeColor="text1"/>
        </w:rPr>
        <w:t xml:space="preserve"> muscle group that will be worked. At these sessions</w:t>
      </w:r>
      <w:r w:rsidR="00DF41F3" w:rsidRPr="00CA4ABC">
        <w:rPr>
          <w:rFonts w:cstheme="minorHAnsi"/>
          <w:color w:val="000000" w:themeColor="text1"/>
        </w:rPr>
        <w:t>,</w:t>
      </w:r>
      <w:r w:rsidRPr="00CA4ABC">
        <w:rPr>
          <w:rFonts w:cstheme="minorHAnsi"/>
          <w:color w:val="000000" w:themeColor="text1"/>
        </w:rPr>
        <w:t xml:space="preserve"> a pre-recorded video will be played out </w:t>
      </w:r>
      <w:r w:rsidR="00DF41F3" w:rsidRPr="00CA4ABC">
        <w:rPr>
          <w:rFonts w:cstheme="minorHAnsi"/>
          <w:color w:val="000000" w:themeColor="text1"/>
        </w:rPr>
        <w:t>showing</w:t>
      </w:r>
      <w:r w:rsidRPr="00CA4ABC">
        <w:rPr>
          <w:rFonts w:cstheme="minorHAnsi"/>
          <w:color w:val="000000" w:themeColor="text1"/>
        </w:rPr>
        <w:t xml:space="preserve"> an instructor demonstrating the exercises. Also present will be an instructor to narrate the session and provide further guidance and technique monitoring. Subtitle captions will be available using the video platform. Within 24</w:t>
      </w:r>
      <w:r w:rsidR="00404143" w:rsidRPr="00CA4ABC">
        <w:rPr>
          <w:rFonts w:cstheme="minorHAnsi"/>
          <w:color w:val="000000" w:themeColor="text1"/>
        </w:rPr>
        <w:t xml:space="preserve"> </w:t>
      </w:r>
      <w:r w:rsidRPr="00CA4ABC">
        <w:rPr>
          <w:rFonts w:cstheme="minorHAnsi"/>
          <w:color w:val="000000" w:themeColor="text1"/>
        </w:rPr>
        <w:t>h</w:t>
      </w:r>
      <w:r w:rsidR="00404143" w:rsidRPr="00CA4ABC">
        <w:rPr>
          <w:rFonts w:cstheme="minorHAnsi"/>
          <w:color w:val="000000" w:themeColor="text1"/>
        </w:rPr>
        <w:t>ou</w:t>
      </w:r>
      <w:r w:rsidRPr="00CA4ABC">
        <w:rPr>
          <w:rFonts w:cstheme="minorHAnsi"/>
          <w:color w:val="000000" w:themeColor="text1"/>
        </w:rPr>
        <w:t>r</w:t>
      </w:r>
      <w:r w:rsidR="00404143" w:rsidRPr="00CA4ABC">
        <w:rPr>
          <w:rFonts w:cstheme="minorHAnsi"/>
          <w:color w:val="000000" w:themeColor="text1"/>
        </w:rPr>
        <w:t>s</w:t>
      </w:r>
      <w:r w:rsidRPr="00CA4ABC">
        <w:rPr>
          <w:rFonts w:cstheme="minorHAnsi"/>
          <w:color w:val="000000" w:themeColor="text1"/>
        </w:rPr>
        <w:t xml:space="preserve"> of each session</w:t>
      </w:r>
      <w:r w:rsidR="00DF41F3" w:rsidRPr="00CA4ABC">
        <w:rPr>
          <w:rFonts w:cstheme="minorHAnsi"/>
          <w:color w:val="000000" w:themeColor="text1"/>
        </w:rPr>
        <w:t>,</w:t>
      </w:r>
      <w:r w:rsidRPr="00CA4ABC">
        <w:rPr>
          <w:rFonts w:cstheme="minorHAnsi"/>
          <w:color w:val="000000" w:themeColor="text1"/>
        </w:rPr>
        <w:t xml:space="preserve"> participants will be sent the videos, the session synopsis and an audio narration of the session. All sessions will last 1 hour, with 5 minutes being set aside for optional socialising at the start and end of the class and the working block component being 50</w:t>
      </w:r>
      <w:r w:rsidR="00DF41F3" w:rsidRPr="00CA4ABC">
        <w:rPr>
          <w:rFonts w:cstheme="minorHAnsi"/>
          <w:color w:val="000000" w:themeColor="text1"/>
        </w:rPr>
        <w:t xml:space="preserve"> </w:t>
      </w:r>
      <w:r w:rsidRPr="00CA4ABC">
        <w:rPr>
          <w:rFonts w:cstheme="minorHAnsi"/>
          <w:color w:val="000000" w:themeColor="text1"/>
        </w:rPr>
        <w:t xml:space="preserve">minutes </w:t>
      </w:r>
      <w:r w:rsidR="00053D98" w:rsidRPr="00CA4ABC">
        <w:rPr>
          <w:rFonts w:cstheme="minorHAnsi"/>
          <w:color w:val="000000" w:themeColor="text1"/>
        </w:rPr>
        <w:t>long</w:t>
      </w:r>
      <w:r w:rsidRPr="00CA4ABC">
        <w:rPr>
          <w:rFonts w:cstheme="minorHAnsi"/>
          <w:color w:val="000000" w:themeColor="text1"/>
        </w:rPr>
        <w:t>. This will feature a 5</w:t>
      </w:r>
      <w:r w:rsidR="00DF41F3" w:rsidRPr="00CA4ABC">
        <w:rPr>
          <w:rFonts w:cstheme="minorHAnsi"/>
          <w:color w:val="000000" w:themeColor="text1"/>
        </w:rPr>
        <w:t>-</w:t>
      </w:r>
      <w:r w:rsidRPr="00CA4ABC">
        <w:rPr>
          <w:rFonts w:cstheme="minorHAnsi"/>
          <w:color w:val="000000" w:themeColor="text1"/>
        </w:rPr>
        <w:t>minute warm</w:t>
      </w:r>
      <w:r w:rsidR="00DF41F3" w:rsidRPr="00CA4ABC">
        <w:rPr>
          <w:rFonts w:cstheme="minorHAnsi"/>
          <w:color w:val="000000" w:themeColor="text1"/>
        </w:rPr>
        <w:t>-</w:t>
      </w:r>
      <w:r w:rsidRPr="00CA4ABC">
        <w:rPr>
          <w:rFonts w:cstheme="minorHAnsi"/>
          <w:color w:val="000000" w:themeColor="text1"/>
        </w:rPr>
        <w:t xml:space="preserve">up, including an aerobic component, followed by a </w:t>
      </w:r>
      <w:r w:rsidR="00DF41F3" w:rsidRPr="00CA4ABC">
        <w:rPr>
          <w:rFonts w:cstheme="minorHAnsi"/>
          <w:color w:val="000000" w:themeColor="text1"/>
        </w:rPr>
        <w:t>30-minute</w:t>
      </w:r>
      <w:r w:rsidRPr="00CA4ABC">
        <w:rPr>
          <w:rFonts w:cstheme="minorHAnsi"/>
          <w:color w:val="000000" w:themeColor="text1"/>
        </w:rPr>
        <w:t xml:space="preserve"> resistance training working block, </w:t>
      </w:r>
      <w:r w:rsidR="00053D98" w:rsidRPr="00CA4ABC">
        <w:rPr>
          <w:rFonts w:cstheme="minorHAnsi"/>
          <w:color w:val="000000" w:themeColor="text1"/>
        </w:rPr>
        <w:t>predominantly using</w:t>
      </w:r>
      <w:r w:rsidRPr="00CA4ABC">
        <w:rPr>
          <w:rFonts w:cstheme="minorHAnsi"/>
          <w:color w:val="000000" w:themeColor="text1"/>
        </w:rPr>
        <w:t xml:space="preserve"> the resistance bands. After this, a 10</w:t>
      </w:r>
      <w:r w:rsidR="00DF41F3" w:rsidRPr="00CA4ABC">
        <w:rPr>
          <w:rFonts w:cstheme="minorHAnsi"/>
          <w:color w:val="000000" w:themeColor="text1"/>
        </w:rPr>
        <w:t>-</w:t>
      </w:r>
      <w:r w:rsidRPr="00CA4ABC">
        <w:rPr>
          <w:rFonts w:cstheme="minorHAnsi"/>
          <w:color w:val="000000" w:themeColor="text1"/>
        </w:rPr>
        <w:t xml:space="preserve">minute block will be dedicated to balance and flexibility exercises before a 5-minute </w:t>
      </w:r>
      <w:r w:rsidR="00DF41F3" w:rsidRPr="00CA4ABC">
        <w:rPr>
          <w:rFonts w:cstheme="minorHAnsi"/>
          <w:color w:val="000000" w:themeColor="text1"/>
        </w:rPr>
        <w:t>cooldown</w:t>
      </w:r>
      <w:r w:rsidRPr="00CA4ABC">
        <w:rPr>
          <w:rFonts w:cstheme="minorHAnsi"/>
          <w:color w:val="000000" w:themeColor="text1"/>
        </w:rPr>
        <w:t xml:space="preserve"> is held. </w:t>
      </w:r>
      <w:r w:rsidR="00404143" w:rsidRPr="00CA4ABC">
        <w:rPr>
          <w:rFonts w:cstheme="minorHAnsi"/>
          <w:color w:val="000000" w:themeColor="text1"/>
        </w:rPr>
        <w:t>Using an OMNI-RISE scale, participants will be asked to report their RPE of the session</w:t>
      </w:r>
      <w:r w:rsidRPr="00CA4ABC">
        <w:rPr>
          <w:rFonts w:cstheme="minorHAnsi"/>
          <w:color w:val="000000" w:themeColor="text1"/>
        </w:rPr>
        <w:t xml:space="preserve"> immediately post-session via a feedback form</w:t>
      </w:r>
      <w:r w:rsidR="00DF41F3" w:rsidRPr="00CA4ABC">
        <w:rPr>
          <w:rFonts w:cstheme="minorHAnsi"/>
          <w:color w:val="000000" w:themeColor="text1"/>
        </w:rPr>
        <w:t>. If</w:t>
      </w:r>
      <w:r w:rsidRPr="00CA4ABC">
        <w:rPr>
          <w:rFonts w:cstheme="minorHAnsi"/>
          <w:color w:val="000000" w:themeColor="text1"/>
        </w:rPr>
        <w:t xml:space="preserve"> these are below 7 for </w:t>
      </w:r>
      <w:r w:rsidR="00DF41F3" w:rsidRPr="00CA4ABC">
        <w:rPr>
          <w:rFonts w:cstheme="minorHAnsi"/>
          <w:color w:val="000000" w:themeColor="text1"/>
        </w:rPr>
        <w:t>two</w:t>
      </w:r>
      <w:r w:rsidRPr="00CA4ABC">
        <w:rPr>
          <w:rFonts w:cstheme="minorHAnsi"/>
          <w:color w:val="000000" w:themeColor="text1"/>
        </w:rPr>
        <w:t xml:space="preserve"> sessions in a row, they will be encouraged to increase their band resistance. </w:t>
      </w:r>
      <w:r w:rsidR="00404143" w:rsidRPr="00CA4ABC">
        <w:rPr>
          <w:rFonts w:cstheme="minorHAnsi"/>
          <w:color w:val="000000" w:themeColor="text1"/>
        </w:rPr>
        <w:t>Participants</w:t>
      </w:r>
      <w:r w:rsidRPr="00CA4ABC">
        <w:rPr>
          <w:rFonts w:cstheme="minorHAnsi"/>
          <w:color w:val="000000" w:themeColor="text1"/>
        </w:rPr>
        <w:t xml:space="preserve"> not undertaking the session live will be asked to provide this </w:t>
      </w:r>
      <w:r w:rsidR="00404143" w:rsidRPr="00CA4ABC">
        <w:rPr>
          <w:rFonts w:cstheme="minorHAnsi"/>
          <w:color w:val="000000" w:themeColor="text1"/>
        </w:rPr>
        <w:t xml:space="preserve">information </w:t>
      </w:r>
      <w:r w:rsidRPr="00CA4ABC">
        <w:rPr>
          <w:rFonts w:cstheme="minorHAnsi"/>
          <w:color w:val="000000" w:themeColor="text1"/>
        </w:rPr>
        <w:t>at the end of each week</w:t>
      </w:r>
      <w:r w:rsidR="00053D98" w:rsidRPr="00CA4ABC">
        <w:rPr>
          <w:rFonts w:cstheme="minorHAnsi"/>
          <w:color w:val="000000" w:themeColor="text1"/>
        </w:rPr>
        <w:t>,</w:t>
      </w:r>
      <w:r w:rsidR="00404143" w:rsidRPr="00CA4ABC">
        <w:rPr>
          <w:rFonts w:cstheme="minorHAnsi"/>
          <w:color w:val="000000" w:themeColor="text1"/>
        </w:rPr>
        <w:t xml:space="preserve"> and email reminders will be sent</w:t>
      </w:r>
      <w:r w:rsidRPr="00CA4ABC">
        <w:rPr>
          <w:rFonts w:cstheme="minorHAnsi"/>
          <w:color w:val="000000" w:themeColor="text1"/>
        </w:rPr>
        <w:t>. This data will also be collected for analysis and aid with fidelity measures. Participants will be encouraged to document further feedback o</w:t>
      </w:r>
      <w:r w:rsidR="00404143" w:rsidRPr="00CA4ABC">
        <w:rPr>
          <w:rFonts w:cstheme="minorHAnsi"/>
          <w:color w:val="000000" w:themeColor="text1"/>
        </w:rPr>
        <w:t>n</w:t>
      </w:r>
      <w:r w:rsidRPr="00CA4ABC">
        <w:rPr>
          <w:rFonts w:cstheme="minorHAnsi"/>
          <w:color w:val="000000" w:themeColor="text1"/>
        </w:rPr>
        <w:t xml:space="preserve"> the exercise session in their study logbook documentation. </w:t>
      </w:r>
    </w:p>
    <w:p w14:paraId="69BE3C63" w14:textId="77777777" w:rsidR="00310C71" w:rsidRPr="00CA4ABC" w:rsidRDefault="00310C71" w:rsidP="00310C71">
      <w:pPr>
        <w:spacing w:line="360" w:lineRule="auto"/>
        <w:rPr>
          <w:rFonts w:cstheme="minorHAnsi"/>
          <w:color w:val="000000" w:themeColor="text1"/>
        </w:rPr>
      </w:pPr>
    </w:p>
    <w:p w14:paraId="421F9C79" w14:textId="77777777" w:rsidR="00310C71" w:rsidRPr="00CA4ABC" w:rsidRDefault="00310C71" w:rsidP="00310C71">
      <w:pPr>
        <w:spacing w:line="360" w:lineRule="auto"/>
        <w:rPr>
          <w:rFonts w:cstheme="minorHAnsi"/>
          <w:color w:val="000000" w:themeColor="text1"/>
        </w:rPr>
      </w:pPr>
      <w:r w:rsidRPr="00CA4ABC">
        <w:rPr>
          <w:rFonts w:cstheme="minorHAnsi"/>
          <w:color w:val="000000" w:themeColor="text1"/>
        </w:rPr>
        <w:t>Exercise control condition:</w:t>
      </w:r>
    </w:p>
    <w:p w14:paraId="51C2A71F" w14:textId="4799CC41"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For the exercise control condition, clinical equipoise has been </w:t>
      </w:r>
      <w:r w:rsidR="00404143" w:rsidRPr="00CA4ABC">
        <w:rPr>
          <w:rFonts w:cstheme="minorHAnsi"/>
          <w:color w:val="000000" w:themeColor="text1"/>
        </w:rPr>
        <w:t xml:space="preserve">considered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{"citationItems":[{"id":"ITEM-1","itemData":{"DOI":"10.1152/JAPPLPHYSIOL.00323.2011","ISSN":"87507587","PMID":"21512150","author":[{"dropping-particle":"","family":"Huffman","given":"Kim M.","non-dropping-particle":"","parse-names":false,"suffix":""},{"dropping-particle":"","family":"Slentz","given":"Cris A.","non-dropping-particle":"","parse-names":false,"suffix":""},{"dropping-particle":"","family":"Kraus","given":"William E.","non-dropping-particle":"","parse-names":false,"suffix":""}],"container-title":"https://doi.org/10.1152/japplphysiol.00323.2011","id":"ITEM-1","issue":"3","issued":{"date-parts":[["2011","9"]]},"page":"946-948","publisher":" American Physiological Society Bethesda, MD","title":"Control arms in exercise training studies: transitioning from an era of intervention efficacy to one of comparative clinical effectiveness research","type":"article-journal","volume":"111"},"uris":["http://www.mendeley.com/documents/?uuid=16dd0c00-607a-334b-b8a7-17dbeeb1a70c"]}],"mendeley":{"formattedCitation":"(338)","plainTextFormattedCitation":"(338)","previouslyFormattedCitation":"(337)"},"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(338)</w:t>
      </w:r>
      <w:r w:rsidRPr="00CA4ABC">
        <w:rPr>
          <w:rFonts w:cstheme="minorHAnsi"/>
          <w:color w:val="000000" w:themeColor="text1"/>
        </w:rPr>
        <w:fldChar w:fldCharType="end"/>
      </w:r>
      <w:r w:rsidRPr="00CA4ABC">
        <w:rPr>
          <w:rFonts w:cstheme="minorHAnsi"/>
          <w:color w:val="000000" w:themeColor="text1"/>
        </w:rPr>
        <w:t xml:space="preserve"> and participants will be directed to the NHS get active site (</w:t>
      </w:r>
      <w:hyperlink r:id="rId56" w:history="1">
        <w:r w:rsidRPr="00CA4ABC">
          <w:rPr>
            <w:rStyle w:val="Hyperlink"/>
            <w:rFonts w:cstheme="minorHAnsi"/>
          </w:rPr>
          <w:t>https://www.nhs.uk/better-health/get-active/</w:t>
        </w:r>
      </w:hyperlink>
      <w:r w:rsidRPr="00CA4ABC">
        <w:rPr>
          <w:rFonts w:cstheme="minorHAnsi"/>
          <w:color w:val="000000" w:themeColor="text1"/>
        </w:rPr>
        <w:t xml:space="preserve">) and encouraged to undertake any of the suggestions for increasing activity levels at a minimum of two occasions in the week. They will receive the same contact with the research team, including weekly email correspondence and telephone calls. However, the main difference </w:t>
      </w:r>
      <w:r w:rsidR="00404143" w:rsidRPr="00CA4ABC">
        <w:rPr>
          <w:rFonts w:cstheme="minorHAnsi"/>
          <w:color w:val="000000" w:themeColor="text1"/>
        </w:rPr>
        <w:t xml:space="preserve">is that they will not be invited to </w:t>
      </w:r>
      <w:r w:rsidRPr="00CA4ABC">
        <w:rPr>
          <w:rFonts w:cstheme="minorHAnsi"/>
          <w:color w:val="000000" w:themeColor="text1"/>
        </w:rPr>
        <w:t>the live workout session</w:t>
      </w:r>
      <w:r w:rsidR="00404143" w:rsidRPr="00CA4ABC">
        <w:rPr>
          <w:rFonts w:cstheme="minorHAnsi"/>
          <w:color w:val="000000" w:themeColor="text1"/>
        </w:rPr>
        <w:t>s or sent the video recordings</w:t>
      </w:r>
      <w:r w:rsidRPr="00CA4ABC">
        <w:rPr>
          <w:rFonts w:cstheme="minorHAnsi"/>
          <w:color w:val="000000" w:themeColor="text1"/>
        </w:rPr>
        <w:t xml:space="preserve">. They will also be provided with log books to record any activity </w:t>
      </w:r>
      <w:r w:rsidR="005666A5" w:rsidRPr="00CA4ABC">
        <w:rPr>
          <w:rFonts w:cstheme="minorHAnsi"/>
          <w:color w:val="000000" w:themeColor="text1"/>
        </w:rPr>
        <w:t>engagement</w:t>
      </w:r>
      <w:r w:rsidRPr="00CA4ABC">
        <w:rPr>
          <w:rFonts w:cstheme="minorHAnsi"/>
          <w:color w:val="000000" w:themeColor="text1"/>
        </w:rPr>
        <w:t xml:space="preserve"> and </w:t>
      </w:r>
      <w:r w:rsidR="005666A5" w:rsidRPr="00CA4ABC">
        <w:rPr>
          <w:rFonts w:cstheme="minorHAnsi"/>
          <w:color w:val="000000" w:themeColor="text1"/>
        </w:rPr>
        <w:t>intensity ratings</w:t>
      </w:r>
      <w:r w:rsidR="0076324B">
        <w:rPr>
          <w:rFonts w:cstheme="minorHAnsi"/>
          <w:color w:val="000000" w:themeColor="text1"/>
        </w:rPr>
        <w:t>.</w:t>
      </w:r>
    </w:p>
    <w:p w14:paraId="33922FF2" w14:textId="77777777" w:rsidR="00310C71" w:rsidRPr="00CA4ABC" w:rsidRDefault="00310C71" w:rsidP="00310C71">
      <w:pPr>
        <w:spacing w:line="360" w:lineRule="auto"/>
        <w:ind w:firstLine="720"/>
        <w:rPr>
          <w:rFonts w:cstheme="minorHAnsi"/>
          <w:color w:val="000000" w:themeColor="text1"/>
        </w:rPr>
      </w:pPr>
    </w:p>
    <w:p w14:paraId="0A462F09" w14:textId="77777777" w:rsidR="00310C71" w:rsidRPr="00CA4ABC" w:rsidRDefault="00310C71" w:rsidP="00310C71">
      <w:pPr>
        <w:spacing w:line="360" w:lineRule="auto"/>
        <w:rPr>
          <w:rFonts w:cstheme="minorHAnsi"/>
          <w:color w:val="000000" w:themeColor="text1"/>
        </w:rPr>
      </w:pPr>
      <w:r w:rsidRPr="00CA4ABC">
        <w:rPr>
          <w:rFonts w:cstheme="minorHAnsi"/>
          <w:color w:val="000000" w:themeColor="text1"/>
        </w:rPr>
        <w:lastRenderedPageBreak/>
        <w:t>Nutrition intervention:</w:t>
      </w:r>
    </w:p>
    <w:p w14:paraId="418710C3" w14:textId="0F46AB33" w:rsidR="00310C71" w:rsidRPr="00CA4ABC" w:rsidRDefault="00310C71" w:rsidP="00310C71">
      <w:pPr>
        <w:spacing w:line="360" w:lineRule="auto"/>
        <w:rPr>
          <w:rFonts w:cstheme="minorHAnsi"/>
          <w:color w:val="000000" w:themeColor="text1"/>
        </w:rPr>
      </w:pPr>
      <w:r w:rsidRPr="00CA4ABC">
        <w:rPr>
          <w:rFonts w:cstheme="minorHAnsi"/>
          <w:color w:val="000000" w:themeColor="text1"/>
        </w:rPr>
        <w:t>It will be requested that participants take their protein supplement in the morning, alongside their first meal of the day. Participants assigned to the higher protein arm (30g a day) will also be asked to consume a protein supplement at midday. The rationale for not providing a protein placebo is based on the evidence to show</w:t>
      </w:r>
      <w:r w:rsidR="005666A5" w:rsidRPr="00CA4ABC">
        <w:rPr>
          <w:rFonts w:cstheme="minorHAnsi"/>
          <w:color w:val="000000" w:themeColor="text1"/>
        </w:rPr>
        <w:t xml:space="preserve"> the</w:t>
      </w:r>
      <w:r w:rsidRPr="00CA4ABC">
        <w:rPr>
          <w:rFonts w:cstheme="minorHAnsi"/>
          <w:color w:val="000000" w:themeColor="text1"/>
        </w:rPr>
        <w:t xml:space="preserve"> limited effect of protein alone </w:t>
      </w:r>
      <w:r w:rsidR="005666A5" w:rsidRPr="00CA4ABC">
        <w:rPr>
          <w:rFonts w:cstheme="minorHAnsi"/>
          <w:color w:val="000000" w:themeColor="text1"/>
        </w:rPr>
        <w:t xml:space="preserve">on </w:t>
      </w:r>
      <w:r w:rsidRPr="00CA4ABC">
        <w:rPr>
          <w:rFonts w:cstheme="minorHAnsi"/>
          <w:color w:val="000000" w:themeColor="text1"/>
        </w:rPr>
        <w:t>muscle changes. A higher and lower dosing strategy will be tested to explore the dose</w:t>
      </w:r>
      <w:r w:rsidR="005666A5" w:rsidRPr="00CA4ABC">
        <w:rPr>
          <w:rFonts w:cstheme="minorHAnsi"/>
          <w:color w:val="000000" w:themeColor="text1"/>
        </w:rPr>
        <w:t>-</w:t>
      </w:r>
      <w:r w:rsidRPr="00CA4ABC">
        <w:rPr>
          <w:rFonts w:cstheme="minorHAnsi"/>
          <w:color w:val="000000" w:themeColor="text1"/>
        </w:rPr>
        <w:t xml:space="preserve">response of protein supplementation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{"citationItems":[{"id":"ITEM-1","itemData":{"DOI":"10.1186/S40798-022-00508-W/TABLES/4","ISSN":"21989761","abstract":"Background: Protein supplementation augments muscle strength gain during resistance training. Although some studies focus on the dose-response relationship of total protein intake to muscle mass or strength, the detailed dose-response relationship between total protein intake and muscle strength increase is yet to be clarified, especially in the absence of resistance training. Objective: We aimed to assess the detailed dose-response relationship between protein supplementation and muscle strength, with and without resistance training. Design: Systematic review with meta-analysis. Data Sources: PubMed and Ichushi-Web (last accessed on March 23, 2022). Eligibility Criteria: Randomized controlled trials investigating the effects of protein intake on muscle strength. Synthesis Methods: A random-effects model and a spline model. Results: A total of 82 articles were obtained for meta-analyses, and data from 69 articles were used to create spline curves. Muscle strength increase was significantly augmented only with resistance training (MD 2.01%, 95% CI 1.09–2.93) and was not augmented if resistance training was absent (MD 0.13%, 95% CI − 1.53 to 1.79). In the dose-response analysis using a spline model, muscle strength increase with resistance training showed a dose-dependent positive association with total protein intake, which is 0.72% (95% CI 0.40–1.04%) increase in muscle strength per 0.1 g/kg body weight [BW]/d increase in total protein intake up to 1.5 g/kg BW/d, but no further gains were observed thereafter. Conclusion: Concurrent use of resistance training is essential for protein supplementation to improve muscle strength. This study indicates that 1.5 g/kg BW/d may be the most appropriate amount of total protein intake for maintaining and augmenting muscle strength along with resistance training.","author":[{"dropping-particle":"","family":"Tagawa","given":"Ryoichi","non-dropping-particle":"","parse-names":false,"suffix":""},{"dropping-particle":"","family":"Watanabe","given":"Daiki","non-dropping-particle":"","parse-names":false,"suffix":""},{"dropping-particle":"","family":"Ito","given":"Kyoko","non-dropping-particle":"","parse-names":false,"suffix":""},{"dropping-particle":"","family":"Otsuyama","given":"Takeru","non-dropping-particle":"","parse-names":false,"suffix":""},{"dropping-particle":"","family":"Nakayama","given":"Kyosuke","non-dropping-particle":"","parse-names":false,"suffix":""},{"dropping-particle":"","family":"Sanbongi","given":"Chiaki","non-dropping-particle":"","parse-names":false,"suffix":""},{"dropping-particle":"","family":"Miyachi","given":"Motohiko","non-dropping-particle":"","parse-names":false,"suffix":""}],"container-title":"Sports Medicine - Open","id":"ITEM-1","issue":"1","issued":{"date-parts":[["2022","12","1"]]},"page":"1-12","publisher":"Springer Science and Business Media Deutschland GmbH","title":"Synergistic Effect of Increased Total Protein Intake and Strength Training on Muscle Strength: A Dose-Response Meta-analysis of Randomized Controlled Trials","type":"article-journal","volume":"8"},"uris":["http://www.mendeley.com/documents/?uuid=b01cdf4a-33b3-3309-8b93-3f1a7f4b7a87"]}],"mendeley":{"formattedCitation":"(330)","plainTextFormattedCitation":"(330)","previouslyFormattedCitation":"(329)"},"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(330)</w:t>
      </w:r>
      <w:r w:rsidRPr="00CA4ABC">
        <w:rPr>
          <w:rFonts w:cstheme="minorHAnsi"/>
          <w:color w:val="000000" w:themeColor="text1"/>
        </w:rPr>
        <w:fldChar w:fldCharType="end"/>
      </w:r>
      <w:r w:rsidRPr="00CA4ABC">
        <w:rPr>
          <w:rFonts w:cstheme="minorHAnsi"/>
          <w:color w:val="000000" w:themeColor="text1"/>
        </w:rPr>
        <w:t>. The protein supplement will be established in</w:t>
      </w:r>
      <w:r w:rsidR="005666A5" w:rsidRPr="00CA4ABC">
        <w:rPr>
          <w:rFonts w:cstheme="minorHAnsi"/>
          <w:color w:val="000000" w:themeColor="text1"/>
        </w:rPr>
        <w:t xml:space="preserve"> the</w:t>
      </w:r>
      <w:r w:rsidRPr="00CA4ABC">
        <w:rPr>
          <w:rFonts w:cstheme="minorHAnsi"/>
          <w:color w:val="000000" w:themeColor="text1"/>
        </w:rPr>
        <w:t xml:space="preserve"> preliminary stage but will be suitable for vegans and contain 15g of protein</w:t>
      </w:r>
      <w:r w:rsidR="005666A5" w:rsidRPr="00CA4ABC">
        <w:rPr>
          <w:rFonts w:cstheme="minorHAnsi"/>
          <w:color w:val="000000" w:themeColor="text1"/>
        </w:rPr>
        <w:t xml:space="preserve"> per </w:t>
      </w:r>
      <w:r w:rsidRPr="00CA4ABC">
        <w:rPr>
          <w:rFonts w:cstheme="minorHAnsi"/>
          <w:color w:val="000000" w:themeColor="text1"/>
        </w:rPr>
        <w:t>supplement (section 6.3.)</w:t>
      </w:r>
    </w:p>
    <w:p w14:paraId="759ACDEC" w14:textId="77777777" w:rsidR="00310C71" w:rsidRPr="00CA4ABC" w:rsidRDefault="00310C71" w:rsidP="00310C71">
      <w:pPr>
        <w:spacing w:line="360" w:lineRule="auto"/>
        <w:ind w:firstLine="720"/>
        <w:rPr>
          <w:rFonts w:cstheme="minorHAnsi"/>
          <w:color w:val="000000" w:themeColor="text1"/>
        </w:rPr>
      </w:pPr>
    </w:p>
    <w:p w14:paraId="4EDAC2B5" w14:textId="0D83AE21" w:rsidR="00310C71" w:rsidRPr="00CA4ABC" w:rsidRDefault="00310C71" w:rsidP="00310C71">
      <w:pPr>
        <w:spacing w:line="360" w:lineRule="auto"/>
        <w:rPr>
          <w:rFonts w:cstheme="minorHAnsi"/>
          <w:color w:val="000000" w:themeColor="text1"/>
        </w:rPr>
        <w:sectPr w:rsidR="00310C71" w:rsidRPr="00CA4ABC" w:rsidSect="00D45D0F">
          <w:pgSz w:w="11900" w:h="16840"/>
          <w:pgMar w:top="1440" w:right="1440" w:bottom="1440" w:left="1440" w:header="708" w:footer="708" w:gutter="0"/>
          <w:cols w:space="708"/>
          <w:docGrid w:linePitch="360"/>
        </w:sectPr>
      </w:pPr>
      <w:r w:rsidRPr="00CA4ABC">
        <w:rPr>
          <w:rFonts w:cstheme="minorHAnsi"/>
          <w:color w:val="000000" w:themeColor="text1"/>
        </w:rPr>
        <w:t>All participants, irrespective of treatment allocation</w:t>
      </w:r>
      <w:r w:rsidR="005666A5" w:rsidRPr="00CA4ABC">
        <w:rPr>
          <w:rFonts w:cstheme="minorHAnsi"/>
          <w:color w:val="000000" w:themeColor="text1"/>
        </w:rPr>
        <w:t>,</w:t>
      </w:r>
      <w:r w:rsidRPr="00CA4ABC">
        <w:rPr>
          <w:rFonts w:cstheme="minorHAnsi"/>
          <w:color w:val="000000" w:themeColor="text1"/>
        </w:rPr>
        <w:t xml:space="preserve"> will be asked to report adverse events immediately and if necessary</w:t>
      </w:r>
      <w:r w:rsidR="005666A5" w:rsidRPr="00CA4ABC">
        <w:rPr>
          <w:rFonts w:cstheme="minorHAnsi"/>
          <w:color w:val="000000" w:themeColor="text1"/>
        </w:rPr>
        <w:t>,</w:t>
      </w:r>
      <w:r w:rsidRPr="00CA4ABC">
        <w:rPr>
          <w:rFonts w:cstheme="minorHAnsi"/>
          <w:color w:val="000000" w:themeColor="text1"/>
        </w:rPr>
        <w:t xml:space="preserve"> the intervention will be stopped</w:t>
      </w:r>
      <w:r w:rsidR="00404143" w:rsidRPr="00CA4ABC">
        <w:rPr>
          <w:rFonts w:cstheme="minorHAnsi"/>
          <w:color w:val="000000" w:themeColor="text1"/>
        </w:rPr>
        <w:t xml:space="preserve"> for this individual</w:t>
      </w:r>
      <w:r w:rsidRPr="00CA4ABC">
        <w:rPr>
          <w:rFonts w:cstheme="minorHAnsi"/>
          <w:color w:val="000000" w:themeColor="text1"/>
        </w:rPr>
        <w:t xml:space="preserve">.  This is especially important for any injuries that may occur </w:t>
      </w:r>
      <w:r w:rsidR="00C55A59" w:rsidRPr="00CA4ABC">
        <w:rPr>
          <w:rFonts w:cstheme="minorHAnsi"/>
          <w:color w:val="000000" w:themeColor="text1"/>
        </w:rPr>
        <w:t>due to</w:t>
      </w:r>
      <w:r w:rsidRPr="00CA4ABC">
        <w:rPr>
          <w:rFonts w:cstheme="minorHAnsi"/>
          <w:color w:val="000000" w:themeColor="text1"/>
        </w:rPr>
        <w:t xml:space="preserve"> exercise. </w:t>
      </w:r>
    </w:p>
    <w:p w14:paraId="396C69DA" w14:textId="77777777" w:rsidR="00310C71" w:rsidRPr="00CA4ABC" w:rsidRDefault="00310C71" w:rsidP="00310C71">
      <w:pPr>
        <w:spacing w:line="360" w:lineRule="auto"/>
        <w:rPr>
          <w:rFonts w:cstheme="minorHAnsi"/>
          <w:color w:val="000000" w:themeColor="text1"/>
        </w:rPr>
      </w:pPr>
    </w:p>
    <w:tbl>
      <w:tblPr>
        <w:tblStyle w:val="TableGrid"/>
        <w:tblW w:w="15727" w:type="dxa"/>
        <w:tblInd w:w="-856" w:type="dxa"/>
        <w:tblLook w:val="04A0" w:firstRow="1" w:lastRow="0" w:firstColumn="1" w:lastColumn="0" w:noHBand="0" w:noVBand="1"/>
      </w:tblPr>
      <w:tblGrid>
        <w:gridCol w:w="1135"/>
        <w:gridCol w:w="14592"/>
      </w:tblGrid>
      <w:tr w:rsidR="00310C71" w:rsidRPr="00CA4ABC" w14:paraId="69218335" w14:textId="77777777" w:rsidTr="00AD60F9">
        <w:trPr>
          <w:trHeight w:val="301"/>
        </w:trPr>
        <w:tc>
          <w:tcPr>
            <w:tcW w:w="1135" w:type="dxa"/>
          </w:tcPr>
          <w:p w14:paraId="0F25B0B5"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What: materials</w:t>
            </w:r>
          </w:p>
        </w:tc>
        <w:tc>
          <w:tcPr>
            <w:tcW w:w="14592" w:type="dxa"/>
          </w:tcPr>
          <w:p w14:paraId="33F8C16F"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Resistance bands and body weight exercise program.</w:t>
            </w:r>
          </w:p>
        </w:tc>
      </w:tr>
      <w:tr w:rsidR="00310C71" w:rsidRPr="00CA4ABC" w14:paraId="12C43E03" w14:textId="77777777" w:rsidTr="00C55A59">
        <w:trPr>
          <w:trHeight w:val="614"/>
        </w:trPr>
        <w:tc>
          <w:tcPr>
            <w:tcW w:w="1135" w:type="dxa"/>
          </w:tcPr>
          <w:p w14:paraId="45B377D2"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Who: provider</w:t>
            </w:r>
          </w:p>
        </w:tc>
        <w:tc>
          <w:tcPr>
            <w:tcW w:w="14592" w:type="dxa"/>
          </w:tcPr>
          <w:p w14:paraId="11089EE4" w14:textId="0DCD2CB0"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Qualifications, teaching/supervising expertise:</w:t>
            </w:r>
            <w:r w:rsidRPr="00CA4ABC">
              <w:rPr>
                <w:rFonts w:cstheme="minorHAnsi"/>
                <w:color w:val="000000" w:themeColor="text1"/>
                <w:sz w:val="20"/>
                <w:szCs w:val="20"/>
              </w:rPr>
              <w:t xml:space="preserve"> The instructor(s) will have their level 3 personal training qualification. Guidance on </w:t>
            </w:r>
            <w:r w:rsidR="00C55A59" w:rsidRPr="00CA4ABC">
              <w:rPr>
                <w:rFonts w:cstheme="minorHAnsi"/>
                <w:color w:val="000000" w:themeColor="text1"/>
                <w:sz w:val="20"/>
                <w:szCs w:val="20"/>
              </w:rPr>
              <w:t xml:space="preserve">the </w:t>
            </w:r>
            <w:r w:rsidRPr="00CA4ABC">
              <w:rPr>
                <w:rFonts w:cstheme="minorHAnsi"/>
                <w:color w:val="000000" w:themeColor="text1"/>
                <w:sz w:val="20"/>
                <w:szCs w:val="20"/>
              </w:rPr>
              <w:t>safe use of the resistance bands will be provided to all participants. Attendance at the live sessions will be encouraged, especially at the start of the program so supervision and feedback on technique can be offered</w:t>
            </w:r>
            <w:r w:rsidR="00053D98" w:rsidRPr="00CA4ABC">
              <w:rPr>
                <w:rFonts w:cstheme="minorHAnsi"/>
                <w:color w:val="000000" w:themeColor="text1"/>
                <w:sz w:val="20"/>
                <w:szCs w:val="20"/>
              </w:rPr>
              <w:t>.</w:t>
            </w:r>
          </w:p>
        </w:tc>
      </w:tr>
      <w:tr w:rsidR="00310C71" w:rsidRPr="00CA4ABC" w14:paraId="689F3017" w14:textId="77777777" w:rsidTr="00AD60F9">
        <w:trPr>
          <w:trHeight w:val="560"/>
        </w:trPr>
        <w:tc>
          <w:tcPr>
            <w:tcW w:w="1135" w:type="dxa"/>
            <w:vMerge w:val="restart"/>
          </w:tcPr>
          <w:p w14:paraId="0D8BC0E0"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How: delivery</w:t>
            </w:r>
          </w:p>
        </w:tc>
        <w:tc>
          <w:tcPr>
            <w:tcW w:w="14592" w:type="dxa"/>
          </w:tcPr>
          <w:p w14:paraId="4573054D" w14:textId="77777777"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Group vs individually:</w:t>
            </w:r>
            <w:r w:rsidRPr="00CA4ABC">
              <w:rPr>
                <w:rFonts w:cstheme="minorHAnsi"/>
                <w:color w:val="000000" w:themeColor="text1"/>
                <w:sz w:val="20"/>
                <w:szCs w:val="20"/>
              </w:rPr>
              <w:t xml:space="preserve"> The live sessions have been designed to be delivered in a group capacity and 5 minutes prior to the start of the class participants will be able to join the video call to socialise, if they wish. There will also be 5 minutes at the end of the class for discussions. Those not doing the live sessions will be conducting these individually.</w:t>
            </w:r>
          </w:p>
        </w:tc>
      </w:tr>
      <w:tr w:rsidR="00310C71" w:rsidRPr="00CA4ABC" w14:paraId="3A3406E4" w14:textId="77777777" w:rsidTr="00AD60F9">
        <w:trPr>
          <w:trHeight w:val="140"/>
        </w:trPr>
        <w:tc>
          <w:tcPr>
            <w:tcW w:w="1135" w:type="dxa"/>
            <w:vMerge/>
          </w:tcPr>
          <w:p w14:paraId="3E04C962" w14:textId="77777777" w:rsidR="00310C71" w:rsidRPr="00CA4ABC" w:rsidRDefault="00310C71" w:rsidP="00AD60F9">
            <w:pPr>
              <w:rPr>
                <w:rFonts w:cstheme="minorHAnsi"/>
                <w:color w:val="000000" w:themeColor="text1"/>
                <w:sz w:val="20"/>
                <w:szCs w:val="20"/>
              </w:rPr>
            </w:pPr>
          </w:p>
        </w:tc>
        <w:tc>
          <w:tcPr>
            <w:tcW w:w="14592" w:type="dxa"/>
          </w:tcPr>
          <w:p w14:paraId="58AE8513" w14:textId="6B230E48"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Supervised or unsupervised:</w:t>
            </w:r>
            <w:r w:rsidRPr="00CA4ABC">
              <w:rPr>
                <w:rFonts w:cstheme="minorHAnsi"/>
                <w:color w:val="000000" w:themeColor="text1"/>
                <w:sz w:val="20"/>
                <w:szCs w:val="20"/>
              </w:rPr>
              <w:t xml:space="preserve"> Attendance at the live sessions will be encouraged, especially at the start of the program</w:t>
            </w:r>
            <w:r w:rsidR="00C55A59" w:rsidRPr="00CA4ABC">
              <w:rPr>
                <w:rFonts w:cstheme="minorHAnsi"/>
                <w:color w:val="000000" w:themeColor="text1"/>
                <w:sz w:val="20"/>
                <w:szCs w:val="20"/>
              </w:rPr>
              <w:t>,</w:t>
            </w:r>
            <w:r w:rsidRPr="00CA4ABC">
              <w:rPr>
                <w:rFonts w:cstheme="minorHAnsi"/>
                <w:color w:val="000000" w:themeColor="text1"/>
                <w:sz w:val="20"/>
                <w:szCs w:val="20"/>
              </w:rPr>
              <w:t xml:space="preserve"> so supervision and feedback on technique can be offered. If live sessions cannot be attended, the participants will be provided with the information to ensure they can undertake the workout unsupervised.</w:t>
            </w:r>
          </w:p>
        </w:tc>
      </w:tr>
      <w:tr w:rsidR="00310C71" w:rsidRPr="00CA4ABC" w14:paraId="243CE6E7" w14:textId="77777777" w:rsidTr="00AD60F9">
        <w:trPr>
          <w:trHeight w:val="140"/>
        </w:trPr>
        <w:tc>
          <w:tcPr>
            <w:tcW w:w="1135" w:type="dxa"/>
            <w:vMerge/>
          </w:tcPr>
          <w:p w14:paraId="78F91C43" w14:textId="77777777" w:rsidR="00310C71" w:rsidRPr="00CA4ABC" w:rsidRDefault="00310C71" w:rsidP="00AD60F9">
            <w:pPr>
              <w:rPr>
                <w:rFonts w:cstheme="minorHAnsi"/>
                <w:color w:val="000000" w:themeColor="text1"/>
                <w:sz w:val="20"/>
                <w:szCs w:val="20"/>
              </w:rPr>
            </w:pPr>
          </w:p>
        </w:tc>
        <w:tc>
          <w:tcPr>
            <w:tcW w:w="14592" w:type="dxa"/>
          </w:tcPr>
          <w:p w14:paraId="07BE2277" w14:textId="77777777"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 xml:space="preserve">Measurement and reporting of adherence: </w:t>
            </w:r>
            <w:r w:rsidRPr="00CA4ABC">
              <w:rPr>
                <w:rFonts w:cstheme="minorHAnsi"/>
                <w:color w:val="000000" w:themeColor="text1"/>
                <w:sz w:val="20"/>
                <w:szCs w:val="20"/>
              </w:rPr>
              <w:t xml:space="preserve">Live session registers will be recorded and participants will be asked to document their RPE to try and assess engagement. All participants will also be asked to self-report their session (whether live or recorded) in their study logbook documentation. </w:t>
            </w:r>
          </w:p>
        </w:tc>
      </w:tr>
      <w:tr w:rsidR="00310C71" w:rsidRPr="00CA4ABC" w14:paraId="2C5B9C7E" w14:textId="77777777" w:rsidTr="00AD60F9">
        <w:trPr>
          <w:trHeight w:val="140"/>
        </w:trPr>
        <w:tc>
          <w:tcPr>
            <w:tcW w:w="1135" w:type="dxa"/>
            <w:vMerge/>
          </w:tcPr>
          <w:p w14:paraId="4F73042F" w14:textId="77777777" w:rsidR="00310C71" w:rsidRPr="00CA4ABC" w:rsidRDefault="00310C71" w:rsidP="00AD60F9">
            <w:pPr>
              <w:rPr>
                <w:rFonts w:cstheme="minorHAnsi"/>
                <w:color w:val="000000" w:themeColor="text1"/>
                <w:sz w:val="20"/>
                <w:szCs w:val="20"/>
              </w:rPr>
            </w:pPr>
          </w:p>
        </w:tc>
        <w:tc>
          <w:tcPr>
            <w:tcW w:w="14592" w:type="dxa"/>
          </w:tcPr>
          <w:p w14:paraId="0A7457DE" w14:textId="7766D67B" w:rsidR="00310C71" w:rsidRPr="00CA4ABC" w:rsidRDefault="00310C71" w:rsidP="00AD60F9">
            <w:pPr>
              <w:rPr>
                <w:rFonts w:cstheme="minorHAnsi"/>
                <w:b/>
                <w:bCs/>
                <w:color w:val="000000" w:themeColor="text1"/>
                <w:sz w:val="20"/>
                <w:szCs w:val="20"/>
              </w:rPr>
            </w:pPr>
            <w:r w:rsidRPr="00CA4ABC">
              <w:rPr>
                <w:rFonts w:cstheme="minorHAnsi"/>
                <w:b/>
                <w:bCs/>
                <w:color w:val="000000" w:themeColor="text1"/>
                <w:sz w:val="20"/>
                <w:szCs w:val="20"/>
              </w:rPr>
              <w:t xml:space="preserve">Details of motivation strategies: </w:t>
            </w:r>
            <w:r w:rsidRPr="00CA4ABC">
              <w:rPr>
                <w:rFonts w:cstheme="minorHAnsi"/>
                <w:color w:val="000000" w:themeColor="text1"/>
                <w:sz w:val="20"/>
                <w:szCs w:val="20"/>
              </w:rPr>
              <w:t>Ratings of perceived exertion will be taken and participants will be encouraged to aim for 7+/10. The instructor will provide verbal motivation for the live classes. Those who do the classes on their own will be more reliant on self-motivation but check</w:t>
            </w:r>
            <w:r w:rsidR="00C55A59" w:rsidRPr="00CA4ABC">
              <w:rPr>
                <w:rFonts w:cstheme="minorHAnsi"/>
                <w:color w:val="000000" w:themeColor="text1"/>
                <w:sz w:val="20"/>
                <w:szCs w:val="20"/>
              </w:rPr>
              <w:t>-</w:t>
            </w:r>
            <w:r w:rsidRPr="00CA4ABC">
              <w:rPr>
                <w:rFonts w:cstheme="minorHAnsi"/>
                <w:color w:val="000000" w:themeColor="text1"/>
                <w:sz w:val="20"/>
                <w:szCs w:val="20"/>
              </w:rPr>
              <w:t>ins will be used to encourage continue participation.</w:t>
            </w:r>
          </w:p>
        </w:tc>
      </w:tr>
      <w:tr w:rsidR="00310C71" w:rsidRPr="00CA4ABC" w14:paraId="54F28ADA" w14:textId="77777777" w:rsidTr="00AD60F9">
        <w:trPr>
          <w:trHeight w:val="140"/>
        </w:trPr>
        <w:tc>
          <w:tcPr>
            <w:tcW w:w="1135" w:type="dxa"/>
            <w:vMerge/>
          </w:tcPr>
          <w:p w14:paraId="518F5421" w14:textId="77777777" w:rsidR="00310C71" w:rsidRPr="00CA4ABC" w:rsidRDefault="00310C71" w:rsidP="00AD60F9">
            <w:pPr>
              <w:rPr>
                <w:rFonts w:cstheme="minorHAnsi"/>
                <w:color w:val="000000" w:themeColor="text1"/>
                <w:sz w:val="20"/>
                <w:szCs w:val="20"/>
              </w:rPr>
            </w:pPr>
          </w:p>
        </w:tc>
        <w:tc>
          <w:tcPr>
            <w:tcW w:w="14592" w:type="dxa"/>
          </w:tcPr>
          <w:p w14:paraId="029B6556" w14:textId="51ED13D0"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 xml:space="preserve">Decision rules for progressing the exercise program: </w:t>
            </w:r>
            <w:r w:rsidRPr="00CA4ABC">
              <w:rPr>
                <w:rFonts w:cstheme="minorHAnsi"/>
                <w:color w:val="000000" w:themeColor="text1"/>
                <w:sz w:val="20"/>
                <w:szCs w:val="20"/>
              </w:rPr>
              <w:t xml:space="preserve">Principles of progression will be applied to the workout program throughout the 12-week course of the trial. At the </w:t>
            </w:r>
            <w:r w:rsidR="00053D98" w:rsidRPr="00CA4ABC">
              <w:rPr>
                <w:rFonts w:cstheme="minorHAnsi"/>
                <w:color w:val="000000" w:themeColor="text1"/>
                <w:sz w:val="20"/>
                <w:szCs w:val="20"/>
              </w:rPr>
              <w:t xml:space="preserve">start of the </w:t>
            </w:r>
            <w:r w:rsidRPr="00CA4ABC">
              <w:rPr>
                <w:rFonts w:cstheme="minorHAnsi"/>
                <w:color w:val="000000" w:themeColor="text1"/>
                <w:sz w:val="20"/>
                <w:szCs w:val="20"/>
              </w:rPr>
              <w:t>programme, participants will be assigned to a beginner, intermediate or advance</w:t>
            </w:r>
            <w:r w:rsidR="00C55A59" w:rsidRPr="00CA4ABC">
              <w:rPr>
                <w:rFonts w:cstheme="minorHAnsi"/>
                <w:color w:val="000000" w:themeColor="text1"/>
                <w:sz w:val="20"/>
                <w:szCs w:val="20"/>
              </w:rPr>
              <w:t>d</w:t>
            </w:r>
            <w:r w:rsidRPr="00CA4ABC">
              <w:rPr>
                <w:rFonts w:cstheme="minorHAnsi"/>
                <w:color w:val="000000" w:themeColor="text1"/>
                <w:sz w:val="20"/>
                <w:szCs w:val="20"/>
              </w:rPr>
              <w:t xml:space="preserve"> session. To address this, reps, rest time and tempo will be modified by the instructor.</w:t>
            </w:r>
          </w:p>
          <w:p w14:paraId="1E8B4493"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 xml:space="preserve">Reps: This will start at 8 for week 1 and increase by 2 every 4 weeks. </w:t>
            </w:r>
          </w:p>
          <w:p w14:paraId="5FD274F3" w14:textId="0A3A93C3"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 xml:space="preserve">Rest: This will start at 60/50/40 seconds between sets and drop by 10 seconds </w:t>
            </w:r>
            <w:r w:rsidR="00C55A59" w:rsidRPr="00CA4ABC">
              <w:rPr>
                <w:rFonts w:cstheme="minorHAnsi"/>
                <w:color w:val="000000" w:themeColor="text1"/>
                <w:sz w:val="20"/>
                <w:szCs w:val="20"/>
              </w:rPr>
              <w:t>weekly</w:t>
            </w:r>
            <w:r w:rsidRPr="00CA4ABC">
              <w:rPr>
                <w:rFonts w:cstheme="minorHAnsi"/>
                <w:color w:val="000000" w:themeColor="text1"/>
                <w:sz w:val="20"/>
                <w:szCs w:val="20"/>
              </w:rPr>
              <w:t xml:space="preserve">. When reps are increased the rest time will reset back to 60/50/40 and the same format will be repeated. </w:t>
            </w:r>
          </w:p>
          <w:p w14:paraId="27DD6BF1"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Tempo: At the start of the program a 2 by 2 tempo will mainly be utilised. This will be altered throughout the program, or be different for some exercises, especially core, but tempo will be outlined at the start of every exercise in the video.</w:t>
            </w:r>
          </w:p>
          <w:p w14:paraId="7482B1F9" w14:textId="0570EFCF"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 xml:space="preserve">Participants will be encouraged to increase the intensity of the workout by increasing the resistance of the band if they are reporting RPE levels of 6 or below. </w:t>
            </w:r>
          </w:p>
        </w:tc>
      </w:tr>
      <w:tr w:rsidR="00310C71" w:rsidRPr="00CA4ABC" w14:paraId="2C8EB528" w14:textId="77777777" w:rsidTr="00AD60F9">
        <w:trPr>
          <w:trHeight w:val="140"/>
        </w:trPr>
        <w:tc>
          <w:tcPr>
            <w:tcW w:w="1135" w:type="dxa"/>
            <w:vMerge/>
          </w:tcPr>
          <w:p w14:paraId="77C5AE86" w14:textId="77777777" w:rsidR="00310C71" w:rsidRPr="00CA4ABC" w:rsidRDefault="00310C71" w:rsidP="00AD60F9">
            <w:pPr>
              <w:rPr>
                <w:rFonts w:cstheme="minorHAnsi"/>
                <w:color w:val="000000" w:themeColor="text1"/>
                <w:sz w:val="20"/>
                <w:szCs w:val="20"/>
              </w:rPr>
            </w:pPr>
          </w:p>
        </w:tc>
        <w:tc>
          <w:tcPr>
            <w:tcW w:w="14592" w:type="dxa"/>
          </w:tcPr>
          <w:p w14:paraId="75C54901" w14:textId="70112110"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 xml:space="preserve">Each exercise is described so it can be replicated: </w:t>
            </w:r>
            <w:r w:rsidRPr="00CA4ABC">
              <w:rPr>
                <w:rFonts w:cstheme="minorHAnsi"/>
                <w:color w:val="000000" w:themeColor="text1"/>
                <w:sz w:val="20"/>
                <w:szCs w:val="20"/>
              </w:rPr>
              <w:t xml:space="preserve"> A video will be provided to participants so they can visually see the exercise. This will be accompanied by a</w:t>
            </w:r>
            <w:r w:rsidR="00560991">
              <w:rPr>
                <w:rFonts w:cstheme="minorHAnsi"/>
                <w:color w:val="000000" w:themeColor="text1"/>
                <w:sz w:val="20"/>
                <w:szCs w:val="20"/>
              </w:rPr>
              <w:t xml:space="preserve"> written synopsis and verbal</w:t>
            </w:r>
            <w:r w:rsidRPr="00CA4ABC">
              <w:rPr>
                <w:rFonts w:cstheme="minorHAnsi"/>
                <w:color w:val="000000" w:themeColor="text1"/>
                <w:sz w:val="20"/>
                <w:szCs w:val="20"/>
              </w:rPr>
              <w:t xml:space="preserve"> narration, including a description which will explain techniques for the exercises, which muscles are working and information </w:t>
            </w:r>
            <w:r w:rsidR="00C55A59" w:rsidRPr="00CA4ABC">
              <w:rPr>
                <w:rFonts w:cstheme="minorHAnsi"/>
                <w:color w:val="000000" w:themeColor="text1"/>
                <w:sz w:val="20"/>
                <w:szCs w:val="20"/>
              </w:rPr>
              <w:t>about</w:t>
            </w:r>
            <w:r w:rsidRPr="00CA4ABC">
              <w:rPr>
                <w:rFonts w:cstheme="minorHAnsi"/>
                <w:color w:val="000000" w:themeColor="text1"/>
                <w:sz w:val="20"/>
                <w:szCs w:val="20"/>
              </w:rPr>
              <w:t xml:space="preserve"> timing, tempo and control of the reps. Subtitles will also be available to accompany the video if needed. </w:t>
            </w:r>
          </w:p>
        </w:tc>
      </w:tr>
      <w:tr w:rsidR="00310C71" w:rsidRPr="00CA4ABC" w14:paraId="73F1616D" w14:textId="77777777" w:rsidTr="00AD60F9">
        <w:trPr>
          <w:trHeight w:val="140"/>
        </w:trPr>
        <w:tc>
          <w:tcPr>
            <w:tcW w:w="1135" w:type="dxa"/>
            <w:vMerge/>
          </w:tcPr>
          <w:p w14:paraId="79C89ADE" w14:textId="77777777" w:rsidR="00310C71" w:rsidRPr="00CA4ABC" w:rsidRDefault="00310C71" w:rsidP="00AD60F9">
            <w:pPr>
              <w:rPr>
                <w:rFonts w:cstheme="minorHAnsi"/>
                <w:color w:val="000000" w:themeColor="text1"/>
                <w:sz w:val="20"/>
                <w:szCs w:val="20"/>
              </w:rPr>
            </w:pPr>
          </w:p>
        </w:tc>
        <w:tc>
          <w:tcPr>
            <w:tcW w:w="14592" w:type="dxa"/>
          </w:tcPr>
          <w:p w14:paraId="1FEA2099" w14:textId="77777777"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 xml:space="preserve">Non-exercise components: </w:t>
            </w:r>
            <w:r w:rsidRPr="00CA4ABC">
              <w:rPr>
                <w:rFonts w:cstheme="minorHAnsi"/>
                <w:color w:val="000000" w:themeColor="text1"/>
                <w:sz w:val="20"/>
                <w:szCs w:val="20"/>
              </w:rPr>
              <w:t>A nutrition component will be provided alongside the resistance training for 2-arms of the trial, this will consist of a protein supplement. Arm 3 will be asked to take one protein supplement/day. Arm 4 will be required to take two protein supplements.</w:t>
            </w:r>
          </w:p>
        </w:tc>
      </w:tr>
      <w:tr w:rsidR="00310C71" w:rsidRPr="00CA4ABC" w14:paraId="78E1503A" w14:textId="77777777" w:rsidTr="00AD60F9">
        <w:trPr>
          <w:trHeight w:val="140"/>
        </w:trPr>
        <w:tc>
          <w:tcPr>
            <w:tcW w:w="1135" w:type="dxa"/>
            <w:vMerge/>
          </w:tcPr>
          <w:p w14:paraId="0E337641" w14:textId="77777777" w:rsidR="00310C71" w:rsidRPr="00CA4ABC" w:rsidRDefault="00310C71" w:rsidP="00AD60F9">
            <w:pPr>
              <w:rPr>
                <w:rFonts w:cstheme="minorHAnsi"/>
                <w:color w:val="000000" w:themeColor="text1"/>
                <w:sz w:val="20"/>
                <w:szCs w:val="20"/>
              </w:rPr>
            </w:pPr>
          </w:p>
        </w:tc>
        <w:tc>
          <w:tcPr>
            <w:tcW w:w="14592" w:type="dxa"/>
          </w:tcPr>
          <w:p w14:paraId="674C6591" w14:textId="2D69C06F" w:rsidR="00310C71" w:rsidRPr="00CA4ABC" w:rsidRDefault="00310C71" w:rsidP="00AD60F9">
            <w:pPr>
              <w:rPr>
                <w:rFonts w:cstheme="minorHAnsi"/>
                <w:color w:val="000000" w:themeColor="text1"/>
                <w:sz w:val="20"/>
                <w:szCs w:val="20"/>
              </w:rPr>
            </w:pPr>
            <w:r w:rsidRPr="00CA4ABC">
              <w:rPr>
                <w:rFonts w:cstheme="minorHAnsi"/>
                <w:b/>
                <w:bCs/>
                <w:color w:val="000000" w:themeColor="text1"/>
                <w:sz w:val="20"/>
                <w:szCs w:val="20"/>
              </w:rPr>
              <w:t xml:space="preserve">How adverse events that occur during exercise are documented and managed: </w:t>
            </w:r>
            <w:r w:rsidRPr="00CA4ABC">
              <w:rPr>
                <w:rFonts w:cstheme="minorHAnsi"/>
                <w:color w:val="000000" w:themeColor="text1"/>
                <w:sz w:val="20"/>
                <w:szCs w:val="20"/>
              </w:rPr>
              <w:t>Participants will be asked to report adverse events immediately and they will be provided with contact details including a phone number and</w:t>
            </w:r>
            <w:r w:rsidR="00053D98" w:rsidRPr="00CA4ABC">
              <w:rPr>
                <w:rFonts w:cstheme="minorHAnsi"/>
                <w:color w:val="000000" w:themeColor="text1"/>
                <w:sz w:val="20"/>
                <w:szCs w:val="20"/>
              </w:rPr>
              <w:t xml:space="preserve"> an</w:t>
            </w:r>
            <w:r w:rsidRPr="00CA4ABC">
              <w:rPr>
                <w:rFonts w:cstheme="minorHAnsi"/>
                <w:color w:val="000000" w:themeColor="text1"/>
                <w:sz w:val="20"/>
                <w:szCs w:val="20"/>
              </w:rPr>
              <w:t xml:space="preserve"> email address.</w:t>
            </w:r>
            <w:r w:rsidR="00053D98" w:rsidRPr="00CA4ABC">
              <w:rPr>
                <w:rFonts w:cstheme="minorHAnsi"/>
                <w:color w:val="000000" w:themeColor="text1"/>
                <w:sz w:val="20"/>
                <w:szCs w:val="20"/>
              </w:rPr>
              <w:t xml:space="preserve"> </w:t>
            </w:r>
            <w:r w:rsidR="00C55A59" w:rsidRPr="00CA4ABC">
              <w:rPr>
                <w:rFonts w:cstheme="minorHAnsi"/>
                <w:color w:val="000000"/>
                <w:sz w:val="20"/>
                <w:szCs w:val="20"/>
                <w:shd w:val="clear" w:color="auto" w:fill="FFFFFF"/>
              </w:rPr>
              <w:t>The research team will also conduct weekly check-ins with every participant and ask about adverse events. Any adverse events will be documented in a specific file. Adaptations to exercise programs will be made, where necessary, and participants will be advised to stop exercising if appropriate.</w:t>
            </w:r>
          </w:p>
        </w:tc>
      </w:tr>
      <w:tr w:rsidR="00310C71" w:rsidRPr="00CA4ABC" w14:paraId="04526420" w14:textId="77777777" w:rsidTr="00AD60F9">
        <w:trPr>
          <w:trHeight w:val="281"/>
        </w:trPr>
        <w:tc>
          <w:tcPr>
            <w:tcW w:w="1135" w:type="dxa"/>
          </w:tcPr>
          <w:p w14:paraId="76CFB821"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Where: location</w:t>
            </w:r>
          </w:p>
        </w:tc>
        <w:tc>
          <w:tcPr>
            <w:tcW w:w="14592" w:type="dxa"/>
          </w:tcPr>
          <w:p w14:paraId="19D7BBF5"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Home-based.</w:t>
            </w:r>
          </w:p>
        </w:tc>
      </w:tr>
      <w:tr w:rsidR="00310C71" w:rsidRPr="00CA4ABC" w14:paraId="1A668FCC" w14:textId="77777777" w:rsidTr="00AD60F9">
        <w:trPr>
          <w:trHeight w:val="908"/>
        </w:trPr>
        <w:tc>
          <w:tcPr>
            <w:tcW w:w="1135" w:type="dxa"/>
          </w:tcPr>
          <w:p w14:paraId="67D7C2FD"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lastRenderedPageBreak/>
              <w:t>When, How much</w:t>
            </w:r>
          </w:p>
        </w:tc>
        <w:tc>
          <w:tcPr>
            <w:tcW w:w="14592" w:type="dxa"/>
          </w:tcPr>
          <w:p w14:paraId="5B6059EC" w14:textId="619205BC"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 xml:space="preserve">A possible </w:t>
            </w:r>
            <w:r w:rsidR="00053D98" w:rsidRPr="00CA4ABC">
              <w:rPr>
                <w:rFonts w:cstheme="minorHAnsi"/>
                <w:color w:val="000000" w:themeColor="text1"/>
                <w:sz w:val="20"/>
                <w:szCs w:val="20"/>
              </w:rPr>
              <w:t>6</w:t>
            </w:r>
            <w:r w:rsidRPr="00CA4ABC">
              <w:rPr>
                <w:rFonts w:cstheme="minorHAnsi"/>
                <w:color w:val="000000" w:themeColor="text1"/>
                <w:sz w:val="20"/>
                <w:szCs w:val="20"/>
              </w:rPr>
              <w:t xml:space="preserve"> sessions will be delivered a week, at </w:t>
            </w:r>
            <w:r w:rsidR="00053D98" w:rsidRPr="00CA4ABC">
              <w:rPr>
                <w:rFonts w:cstheme="minorHAnsi"/>
                <w:color w:val="000000" w:themeColor="text1"/>
                <w:sz w:val="20"/>
                <w:szCs w:val="20"/>
              </w:rPr>
              <w:t>12</w:t>
            </w:r>
            <w:r w:rsidRPr="00CA4ABC">
              <w:rPr>
                <w:rFonts w:cstheme="minorHAnsi"/>
                <w:color w:val="000000" w:themeColor="text1"/>
                <w:sz w:val="20"/>
                <w:szCs w:val="20"/>
              </w:rPr>
              <w:t xml:space="preserve"> timeslots. Participants will be encouraged to complete a minimum of 2 sessions per week and they can self-select sessions including if they attend a live, timetabled session, with an instructor present or complete this in their own time. Videos will be sent out, which means the option to repeat sessions will also be available but participants will also be encouraged to have rest days between sessions. </w:t>
            </w:r>
          </w:p>
        </w:tc>
      </w:tr>
      <w:tr w:rsidR="00310C71" w:rsidRPr="00CA4ABC" w14:paraId="46FB4B31" w14:textId="77777777" w:rsidTr="00C55A59">
        <w:trPr>
          <w:trHeight w:val="1053"/>
        </w:trPr>
        <w:tc>
          <w:tcPr>
            <w:tcW w:w="1135" w:type="dxa"/>
          </w:tcPr>
          <w:p w14:paraId="6BA74F83"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Tailoring: what, how</w:t>
            </w:r>
          </w:p>
        </w:tc>
        <w:tc>
          <w:tcPr>
            <w:tcW w:w="14592" w:type="dxa"/>
          </w:tcPr>
          <w:p w14:paraId="0CA23C98" w14:textId="3DDE27ED"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 xml:space="preserve">If amendments are needed </w:t>
            </w:r>
            <w:r w:rsidR="00C55A59" w:rsidRPr="00CA4ABC">
              <w:rPr>
                <w:rFonts w:cstheme="minorHAnsi"/>
                <w:color w:val="000000" w:themeColor="text1"/>
                <w:sz w:val="20"/>
                <w:szCs w:val="20"/>
              </w:rPr>
              <w:t>individually</w:t>
            </w:r>
            <w:r w:rsidRPr="00CA4ABC">
              <w:rPr>
                <w:rFonts w:cstheme="minorHAnsi"/>
                <w:color w:val="000000" w:themeColor="text1"/>
                <w:sz w:val="20"/>
                <w:szCs w:val="20"/>
              </w:rPr>
              <w:t>, explanations for this will be provided at the live sessions based on the instructor</w:t>
            </w:r>
            <w:r w:rsidR="00C55A59" w:rsidRPr="00CA4ABC">
              <w:rPr>
                <w:rFonts w:cstheme="minorHAnsi"/>
                <w:color w:val="000000" w:themeColor="text1"/>
                <w:sz w:val="20"/>
                <w:szCs w:val="20"/>
              </w:rPr>
              <w:t>’</w:t>
            </w:r>
            <w:r w:rsidRPr="00CA4ABC">
              <w:rPr>
                <w:rFonts w:cstheme="minorHAnsi"/>
                <w:color w:val="000000" w:themeColor="text1"/>
                <w:sz w:val="20"/>
                <w:szCs w:val="20"/>
              </w:rPr>
              <w:t>s expertise and guidance. If participants are unsure o</w:t>
            </w:r>
            <w:r w:rsidR="00C55A59" w:rsidRPr="00CA4ABC">
              <w:rPr>
                <w:rFonts w:cstheme="minorHAnsi"/>
                <w:color w:val="000000" w:themeColor="text1"/>
                <w:sz w:val="20"/>
                <w:szCs w:val="20"/>
              </w:rPr>
              <w:t>f</w:t>
            </w:r>
            <w:r w:rsidRPr="00CA4ABC">
              <w:rPr>
                <w:rFonts w:cstheme="minorHAnsi"/>
                <w:color w:val="000000" w:themeColor="text1"/>
                <w:sz w:val="20"/>
                <w:szCs w:val="20"/>
              </w:rPr>
              <w:t xml:space="preserve"> any element of the programme and unable to make live sessions, correspondence can be made to explain and outline any adjustments they can make. This could include the option of joining a private video</w:t>
            </w:r>
            <w:r w:rsidR="00C55A59" w:rsidRPr="00CA4ABC">
              <w:rPr>
                <w:rFonts w:cstheme="minorHAnsi"/>
                <w:color w:val="000000" w:themeColor="text1"/>
                <w:sz w:val="20"/>
                <w:szCs w:val="20"/>
              </w:rPr>
              <w:t xml:space="preserve"> </w:t>
            </w:r>
            <w:r w:rsidRPr="00CA4ABC">
              <w:rPr>
                <w:rFonts w:cstheme="minorHAnsi"/>
                <w:color w:val="000000" w:themeColor="text1"/>
                <w:sz w:val="20"/>
                <w:szCs w:val="20"/>
              </w:rPr>
              <w:t>call in which the instructor will be able to visually demonstrate adaptations. Participants will also be given guidance on movements, including the muscle groups being worked, so they c</w:t>
            </w:r>
            <w:r w:rsidR="00C55A59" w:rsidRPr="00CA4ABC">
              <w:rPr>
                <w:rFonts w:cstheme="minorHAnsi"/>
                <w:color w:val="000000" w:themeColor="text1"/>
                <w:sz w:val="20"/>
                <w:szCs w:val="20"/>
              </w:rPr>
              <w:t>an</w:t>
            </w:r>
            <w:r w:rsidRPr="00CA4ABC">
              <w:rPr>
                <w:rFonts w:cstheme="minorHAnsi"/>
                <w:color w:val="000000" w:themeColor="text1"/>
                <w:sz w:val="20"/>
                <w:szCs w:val="20"/>
              </w:rPr>
              <w:t xml:space="preserve"> self-select an alternative exercise to work</w:t>
            </w:r>
            <w:r w:rsidR="00C55A59" w:rsidRPr="00CA4ABC">
              <w:rPr>
                <w:rFonts w:cstheme="minorHAnsi"/>
                <w:color w:val="000000" w:themeColor="text1"/>
                <w:sz w:val="20"/>
                <w:szCs w:val="20"/>
              </w:rPr>
              <w:t xml:space="preserve"> for</w:t>
            </w:r>
            <w:r w:rsidRPr="00CA4ABC">
              <w:rPr>
                <w:rFonts w:cstheme="minorHAnsi"/>
                <w:color w:val="000000" w:themeColor="text1"/>
                <w:sz w:val="20"/>
                <w:szCs w:val="20"/>
              </w:rPr>
              <w:t xml:space="preserve"> the same muscle groups, if appropriate, or work a different set of muscles, using the same programme reps, sets and tempo, if this is more suitable. It will also be explained that reps can be dropped/rest increased, if necessary. </w:t>
            </w:r>
          </w:p>
        </w:tc>
      </w:tr>
      <w:tr w:rsidR="00310C71" w:rsidRPr="00CA4ABC" w14:paraId="6AE9793E" w14:textId="77777777" w:rsidTr="00C55A59">
        <w:trPr>
          <w:trHeight w:val="956"/>
        </w:trPr>
        <w:tc>
          <w:tcPr>
            <w:tcW w:w="1135" w:type="dxa"/>
          </w:tcPr>
          <w:p w14:paraId="31806494" w14:textId="77777777"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How well: planned vs actual</w:t>
            </w:r>
          </w:p>
        </w:tc>
        <w:tc>
          <w:tcPr>
            <w:tcW w:w="14592" w:type="dxa"/>
          </w:tcPr>
          <w:p w14:paraId="259F4A13" w14:textId="5555ED14" w:rsidR="00310C71" w:rsidRPr="00CA4ABC" w:rsidRDefault="00310C71" w:rsidP="00AD60F9">
            <w:pPr>
              <w:rPr>
                <w:rFonts w:cstheme="minorHAnsi"/>
                <w:color w:val="000000" w:themeColor="text1"/>
                <w:sz w:val="20"/>
                <w:szCs w:val="20"/>
              </w:rPr>
            </w:pPr>
            <w:r w:rsidRPr="00CA4ABC">
              <w:rPr>
                <w:rFonts w:cstheme="minorHAnsi"/>
                <w:color w:val="000000" w:themeColor="text1"/>
                <w:sz w:val="20"/>
                <w:szCs w:val="20"/>
              </w:rPr>
              <w:t xml:space="preserve">Participants will be asked to complete a minimum </w:t>
            </w:r>
            <w:r w:rsidR="00C55A59" w:rsidRPr="00CA4ABC">
              <w:rPr>
                <w:rFonts w:cstheme="minorHAnsi"/>
                <w:color w:val="000000" w:themeColor="text1"/>
                <w:sz w:val="20"/>
                <w:szCs w:val="20"/>
              </w:rPr>
              <w:t xml:space="preserve">of </w:t>
            </w:r>
            <w:r w:rsidRPr="00CA4ABC">
              <w:rPr>
                <w:rFonts w:cstheme="minorHAnsi"/>
                <w:color w:val="000000" w:themeColor="text1"/>
                <w:sz w:val="20"/>
                <w:szCs w:val="20"/>
              </w:rPr>
              <w:t>two resistance sessions a week and document these. Study documentation will be analysed post-trial to observe how many participants documented this. Caution surrounding the self-reported nature of these will be considered, particularly for those who only completed recorded sessions. Understanding actual engagement (fidelity) in the session is more difficult, although participants will be provided with logbook study documentation to outline how they found the session, after completing it, as well as rating its intensity. This will also be explored post-intervention.</w:t>
            </w:r>
          </w:p>
        </w:tc>
      </w:tr>
    </w:tbl>
    <w:p w14:paraId="19DD1E29" w14:textId="397E4DFB" w:rsidR="00310C71" w:rsidRPr="00CA4ABC" w:rsidRDefault="00310C71" w:rsidP="00310C71">
      <w:pPr>
        <w:pStyle w:val="Caption"/>
        <w:rPr>
          <w:rFonts w:cstheme="minorHAnsi"/>
          <w:i w:val="0"/>
          <w:iCs w:val="0"/>
          <w:color w:val="000000" w:themeColor="text1"/>
          <w:sz w:val="24"/>
          <w:szCs w:val="24"/>
        </w:rPr>
        <w:sectPr w:rsidR="00310C71" w:rsidRPr="00CA4ABC" w:rsidSect="00D45D0F">
          <w:pgSz w:w="16840" w:h="11900" w:orient="landscape"/>
          <w:pgMar w:top="1440" w:right="1440" w:bottom="1440" w:left="1440" w:header="708" w:footer="708" w:gutter="0"/>
          <w:cols w:space="708"/>
          <w:docGrid w:linePitch="360"/>
        </w:sectPr>
      </w:pPr>
      <w:bookmarkStart w:id="381" w:name="_Ref122623458"/>
      <w:bookmarkStart w:id="382" w:name="_Toc122956595"/>
      <w:bookmarkStart w:id="383" w:name="_Ref126943919"/>
      <w:r w:rsidRPr="00CA4ABC">
        <w:rPr>
          <w:rFonts w:cstheme="minorHAnsi"/>
          <w:i w:val="0"/>
          <w:iCs w:val="0"/>
          <w:color w:val="000000" w:themeColor="text1"/>
          <w:sz w:val="24"/>
          <w:szCs w:val="24"/>
        </w:rPr>
        <w:t xml:space="preserve">Table </w:t>
      </w:r>
      <w:r w:rsidRPr="00CA4ABC">
        <w:rPr>
          <w:rFonts w:cstheme="minorHAnsi"/>
          <w:i w:val="0"/>
          <w:iCs w:val="0"/>
          <w:color w:val="000000" w:themeColor="text1"/>
          <w:sz w:val="24"/>
          <w:szCs w:val="24"/>
        </w:rPr>
        <w:fldChar w:fldCharType="begin"/>
      </w:r>
      <w:r w:rsidRPr="00CA4ABC">
        <w:rPr>
          <w:rFonts w:cstheme="minorHAnsi"/>
          <w:i w:val="0"/>
          <w:iCs w:val="0"/>
          <w:color w:val="000000" w:themeColor="text1"/>
          <w:sz w:val="24"/>
          <w:szCs w:val="24"/>
        </w:rPr>
        <w:instrText xml:space="preserve"> SEQ Table \* ARABIC </w:instrText>
      </w:r>
      <w:r w:rsidRPr="00CA4ABC">
        <w:rPr>
          <w:rFonts w:cstheme="minorHAnsi"/>
          <w:i w:val="0"/>
          <w:iCs w:val="0"/>
          <w:color w:val="000000" w:themeColor="text1"/>
          <w:sz w:val="24"/>
          <w:szCs w:val="24"/>
        </w:rPr>
        <w:fldChar w:fldCharType="separate"/>
      </w:r>
      <w:r w:rsidR="00A13A55">
        <w:rPr>
          <w:rFonts w:cstheme="minorHAnsi"/>
          <w:i w:val="0"/>
          <w:iCs w:val="0"/>
          <w:noProof/>
          <w:color w:val="000000" w:themeColor="text1"/>
          <w:sz w:val="24"/>
          <w:szCs w:val="24"/>
        </w:rPr>
        <w:t>31</w:t>
      </w:r>
      <w:r w:rsidRPr="00CA4ABC">
        <w:rPr>
          <w:rFonts w:cstheme="minorHAnsi"/>
          <w:i w:val="0"/>
          <w:iCs w:val="0"/>
          <w:color w:val="000000" w:themeColor="text1"/>
          <w:sz w:val="24"/>
          <w:szCs w:val="24"/>
        </w:rPr>
        <w:fldChar w:fldCharType="end"/>
      </w:r>
      <w:bookmarkEnd w:id="381"/>
      <w:r w:rsidR="00D96BDD">
        <w:rPr>
          <w:rFonts w:cstheme="minorHAnsi"/>
          <w:i w:val="0"/>
          <w:iCs w:val="0"/>
          <w:color w:val="000000" w:themeColor="text1"/>
          <w:sz w:val="24"/>
          <w:szCs w:val="24"/>
        </w:rPr>
        <w:t xml:space="preserve">. </w:t>
      </w:r>
      <w:r w:rsidRPr="00CA4ABC">
        <w:rPr>
          <w:rFonts w:cstheme="minorHAnsi"/>
          <w:i w:val="0"/>
          <w:iCs w:val="0"/>
          <w:color w:val="000000" w:themeColor="text1"/>
          <w:sz w:val="24"/>
          <w:szCs w:val="24"/>
        </w:rPr>
        <w:t>CERT framework for the exercise intervention protoco</w:t>
      </w:r>
      <w:bookmarkEnd w:id="382"/>
      <w:r w:rsidRPr="00CA4ABC">
        <w:rPr>
          <w:rFonts w:cstheme="minorHAnsi"/>
          <w:i w:val="0"/>
          <w:iCs w:val="0"/>
          <w:color w:val="000000" w:themeColor="text1"/>
          <w:sz w:val="24"/>
          <w:szCs w:val="24"/>
        </w:rPr>
        <w:t>l.</w:t>
      </w:r>
      <w:bookmarkEnd w:id="383"/>
    </w:p>
    <w:p w14:paraId="52DACE41" w14:textId="38FDF997" w:rsidR="00310C71" w:rsidRPr="00CA4ABC" w:rsidRDefault="00310C71" w:rsidP="00310C71">
      <w:pPr>
        <w:pStyle w:val="Heading3"/>
        <w:spacing w:line="360" w:lineRule="auto"/>
        <w:rPr>
          <w:rFonts w:asciiTheme="minorHAnsi" w:hAnsiTheme="minorHAnsi" w:cstheme="minorHAnsi"/>
          <w:color w:val="000000" w:themeColor="text1"/>
        </w:rPr>
      </w:pPr>
      <w:bookmarkStart w:id="384" w:name="_Toc135384407"/>
      <w:r w:rsidRPr="00CA4ABC">
        <w:rPr>
          <w:rFonts w:asciiTheme="minorHAnsi" w:hAnsiTheme="minorHAnsi" w:cstheme="minorHAnsi"/>
          <w:color w:val="000000" w:themeColor="text1"/>
        </w:rPr>
        <w:lastRenderedPageBreak/>
        <w:t>6.4.1.3</w:t>
      </w:r>
      <w:r w:rsidR="00300347">
        <w:rPr>
          <w:rFonts w:asciiTheme="minorHAnsi" w:hAnsiTheme="minorHAnsi" w:cstheme="minorHAnsi"/>
          <w:color w:val="000000" w:themeColor="text1"/>
        </w:rPr>
        <w:t xml:space="preserve"> </w:t>
      </w:r>
      <w:r w:rsidRPr="00CA4ABC">
        <w:rPr>
          <w:rFonts w:asciiTheme="minorHAnsi" w:hAnsiTheme="minorHAnsi" w:cstheme="minorHAnsi"/>
          <w:color w:val="000000" w:themeColor="text1"/>
        </w:rPr>
        <w:t>Outcomes</w:t>
      </w:r>
      <w:bookmarkEnd w:id="384"/>
    </w:p>
    <w:p w14:paraId="21F86FB1" w14:textId="53E9C7BB" w:rsidR="00700557" w:rsidRPr="00CA4ABC" w:rsidRDefault="00700557" w:rsidP="00310C71">
      <w:pPr>
        <w:spacing w:line="360" w:lineRule="auto"/>
        <w:rPr>
          <w:rFonts w:cstheme="minorHAnsi"/>
          <w:color w:val="000000" w:themeColor="text1"/>
        </w:rPr>
      </w:pPr>
      <w:r w:rsidRPr="00CA4ABC">
        <w:rPr>
          <w:rFonts w:cstheme="minorHAnsi"/>
          <w:color w:val="000000" w:themeColor="text1"/>
        </w:rPr>
        <w:t>The primary outcome is 1RM for leg press</w:t>
      </w:r>
      <w:r w:rsidR="008F1B40" w:rsidRPr="00CA4ABC">
        <w:rPr>
          <w:rFonts w:cstheme="minorHAnsi"/>
          <w:color w:val="000000" w:themeColor="text1"/>
        </w:rPr>
        <w:t xml:space="preserve"> (table 32)</w:t>
      </w:r>
      <w:r w:rsidRPr="00CA4ABC">
        <w:rPr>
          <w:rFonts w:cstheme="minorHAnsi"/>
          <w:color w:val="000000" w:themeColor="text1"/>
        </w:rPr>
        <w:t xml:space="preserve">. </w:t>
      </w:r>
      <w:r w:rsidR="00766E2A">
        <w:rPr>
          <w:rFonts w:cstheme="minorHAnsi"/>
          <w:color w:val="000000" w:themeColor="text1"/>
        </w:rPr>
        <w:t xml:space="preserve">Muscle strength has been selected as the primary outcome measurement based on evidence suggesting that strength rather than muscle mass is associated with mortality </w:t>
      </w:r>
      <w:r w:rsidR="003E506A">
        <w:rPr>
          <w:rFonts w:cstheme="minorHAnsi"/>
          <w:color w:val="000000" w:themeColor="text1"/>
        </w:rPr>
        <w:fldChar w:fldCharType="begin" w:fldLock="1"/>
      </w:r>
      <w:r w:rsidR="00821D82">
        <w:rPr>
          <w:rFonts w:cstheme="minorHAnsi"/>
          <w:color w:val="000000" w:themeColor="text1"/>
        </w:rPr>
        <w:instrText>ADDIN CSL_CITATION {"citationItems":[{"id":"ITEM-1","itemData":{"DOI":"10.1093/gerona/61.1.72","ISSN":"10795006","PMID":"16456196","abstract":"Background. Although muscle strength and mass are highly correlated, the relationship between direct measures of low muscle mass (sarcopenia) and strength in association with mortality has not been examined. Methods. Total mortality rates were examined in the Health, Aging and Body Composition (Health ABC) Study in 2292 participants (aged 70-79 years, 51.6% women, and 38.8% black). Knee extension strength was measured with isokinetic dynamometry, grip strength with isometric dynamometry. Thigh muscle area was measured by computed tomography (CT) scan, and leg and arm lean soft tissue mass were determined by dual energy x-ray absorptiometry (DXA). Both strength and muscle size were assessed as in gender-specific Cox proportional hazards models, with age, race, comorbidities, smoking status, level of physical activity, fat area by CT or fat mass by DXA, height, and markers of inflammation, including interleukin-6, C-reactive protein, and tumor necrosis factor-α considered as potential confounders. Results. There were 286 deaths over an average of 4.9 (standard deviation = 0.9) years of follow-up. Both quadriceps and grip strength were strongly related to mortality. For quadriceps strength (per standard deviation of 38 Nm), the crude hazard ratio for men was 1.51 (95% confidence interval, 1.28-1.79) and 1.65 (95% confidence interval, 1.19-2.30) for women. Muscle size, determined by either CT area or DXA regional lean mass, was not strongly related to mortality. In the models of quadriceps strength and mortality, adjustment for muscle area or regional lean mass only slightly attenuated the associations. Further adjustment for other factors also had minimal effect on the association of quadriceps strength with mortality. Associations of grip strength with mortality were similar. Conclusion. Low muscle mass did not explain the strong association of strength with mortality, demonstrating that muscle strength as a marker of muscle quality is more important than quantity in estimating mortality risk. Grip strength provided risk estimates similar to those of quadriceps strength. Copyright 2006 by The Gerontological Society of America.","author":[{"dropping-particle":"","family":"Newman","given":"Anne B.","non-dropping-particle":"","parse-names":false,"suffix":""},{"dropping-particle":"","family":"Kupelian","given":"Varant","non-dropping-particle":"","parse-names":false,"suffix":""},{"dropping-particle":"","family":"Visser","given":"Marjolein","non-dropping-particle":"","parse-names":false,"suffix":""},{"dropping-particle":"","family":"Simonsick","given":"Eleanor M.","non-dropping-particle":"","parse-names":false,"suffix":""},{"dropping-particle":"","family":"Goodpaster","given":"Bret H.","non-dropping-particle":"","parse-names":false,"suffix":""},{"dropping-particle":"","family":"Kritchevsky","given":"Stephen B.","non-dropping-particle":"","parse-names":false,"suffix":""},{"dropping-particle":"","family":"Tylavsky","given":"Frances A.","non-dropping-particle":"","parse-names":false,"suffix":""},{"dropping-particle":"","family":"Rubin","given":"Susan M.","non-dropping-particle":"","parse-names":false,"suffix":""},{"dropping-particle":"","family":"Harris","given":"Tamara B.","non-dropping-particle":"","parse-names":false,"suffix":""}],"container-title":"Journals of Gerontology - Series A Biological Sciences and Medical Sciences","id":"ITEM-1","issue":"1","issued":{"date-parts":[["2006"]]},"page":"72-77","title":"Strength, but not muscle mass, is associated with mortality in the health, aging and body composition study cohort","type":"article-journal","volume":"61"},"uris":["http://www.mendeley.com/documents/?uuid=559ef99c-a0c4-4cae-8c09-99153e2406a3"]}],"mendeley":{"formattedCitation":"(339)","plainTextFormattedCitation":"(339)","previouslyFormattedCitation":"(338)"},"properties":{"noteIndex":0},"schema":"https://github.com/citation-style-language/schema/raw/master/csl-citation.json"}</w:instrText>
      </w:r>
      <w:r w:rsidR="003E506A">
        <w:rPr>
          <w:rFonts w:cstheme="minorHAnsi"/>
          <w:color w:val="000000" w:themeColor="text1"/>
        </w:rPr>
        <w:fldChar w:fldCharType="separate"/>
      </w:r>
      <w:r w:rsidR="00821D82" w:rsidRPr="00821D82">
        <w:rPr>
          <w:rFonts w:cstheme="minorHAnsi"/>
          <w:noProof/>
          <w:color w:val="000000" w:themeColor="text1"/>
        </w:rPr>
        <w:t>(339)</w:t>
      </w:r>
      <w:r w:rsidR="003E506A">
        <w:rPr>
          <w:rFonts w:cstheme="minorHAnsi"/>
          <w:color w:val="000000" w:themeColor="text1"/>
        </w:rPr>
        <w:fldChar w:fldCharType="end"/>
      </w:r>
      <w:r w:rsidR="00766E2A">
        <w:rPr>
          <w:rFonts w:cstheme="minorHAnsi"/>
          <w:color w:val="000000" w:themeColor="text1"/>
        </w:rPr>
        <w:t xml:space="preserve">, so likely has the most clinical significance. </w:t>
      </w:r>
    </w:p>
    <w:p w14:paraId="699282A9" w14:textId="575983C2" w:rsidR="00402587" w:rsidRPr="00CA4ABC" w:rsidRDefault="00700557" w:rsidP="00310C71">
      <w:pPr>
        <w:spacing w:line="360" w:lineRule="auto"/>
        <w:rPr>
          <w:rFonts w:cstheme="minorHAnsi"/>
          <w:color w:val="000000" w:themeColor="text1"/>
        </w:rPr>
      </w:pPr>
      <w:r w:rsidRPr="00CA4ABC">
        <w:rPr>
          <w:rFonts w:cstheme="minorHAnsi"/>
          <w:color w:val="000000" w:themeColor="text1"/>
        </w:rPr>
        <w:t>Secondary measures includ</w:t>
      </w:r>
      <w:r w:rsidR="008F1B40" w:rsidRPr="00CA4ABC">
        <w:rPr>
          <w:rFonts w:cstheme="minorHAnsi"/>
          <w:color w:val="000000" w:themeColor="text1"/>
        </w:rPr>
        <w:t>ing</w:t>
      </w:r>
      <w:r w:rsidRPr="00CA4ABC">
        <w:rPr>
          <w:rFonts w:cstheme="minorHAnsi"/>
          <w:color w:val="000000" w:themeColor="text1"/>
        </w:rPr>
        <w:t xml:space="preserve"> further muscle parameter measurements </w:t>
      </w:r>
      <w:r w:rsidR="008F1B40" w:rsidRPr="00CA4ABC">
        <w:rPr>
          <w:rFonts w:cstheme="minorHAnsi"/>
          <w:color w:val="000000" w:themeColor="text1"/>
        </w:rPr>
        <w:t>and additional data collection</w:t>
      </w:r>
      <w:r w:rsidR="00C71174">
        <w:rPr>
          <w:rFonts w:cstheme="minorHAnsi"/>
          <w:color w:val="000000" w:themeColor="text1"/>
        </w:rPr>
        <w:t>. All measurement</w:t>
      </w:r>
      <w:r w:rsidR="000A36A6">
        <w:rPr>
          <w:rFonts w:cstheme="minorHAnsi"/>
          <w:color w:val="000000" w:themeColor="text1"/>
        </w:rPr>
        <w:t>s</w:t>
      </w:r>
      <w:r w:rsidR="008F1B40" w:rsidRPr="00CA4ABC">
        <w:rPr>
          <w:rFonts w:cstheme="minorHAnsi"/>
          <w:color w:val="000000" w:themeColor="text1"/>
        </w:rPr>
        <w:t xml:space="preserve"> </w:t>
      </w:r>
      <w:r w:rsidRPr="00CA4ABC">
        <w:rPr>
          <w:rFonts w:cstheme="minorHAnsi"/>
          <w:color w:val="000000" w:themeColor="text1"/>
        </w:rPr>
        <w:t>that will be obtained</w:t>
      </w:r>
      <w:r w:rsidR="00C71174">
        <w:rPr>
          <w:rFonts w:cstheme="minorHAnsi"/>
          <w:color w:val="000000" w:themeColor="text1"/>
        </w:rPr>
        <w:t xml:space="preserve"> </w:t>
      </w:r>
      <w:r w:rsidRPr="00CA4ABC">
        <w:rPr>
          <w:rFonts w:cstheme="minorHAnsi"/>
          <w:color w:val="000000" w:themeColor="text1"/>
        </w:rPr>
        <w:t xml:space="preserve"> are outlined in table 32</w:t>
      </w:r>
      <w:r w:rsidR="00C71174">
        <w:rPr>
          <w:rFonts w:cstheme="minorHAnsi"/>
          <w:color w:val="000000" w:themeColor="text1"/>
        </w:rPr>
        <w:t xml:space="preserve"> and f</w:t>
      </w:r>
      <w:r w:rsidR="00766E2A">
        <w:rPr>
          <w:rFonts w:cstheme="minorHAnsi"/>
          <w:color w:val="000000" w:themeColor="text1"/>
        </w:rPr>
        <w:t>urther evidence for the clinical relevance of the measurements is also included in the table.</w:t>
      </w:r>
    </w:p>
    <w:tbl>
      <w:tblPr>
        <w:tblStyle w:val="TableGrid"/>
        <w:tblW w:w="15735" w:type="dxa"/>
        <w:tblInd w:w="-998" w:type="dxa"/>
        <w:tblLook w:val="04A0" w:firstRow="1" w:lastRow="0" w:firstColumn="1" w:lastColumn="0" w:noHBand="0" w:noVBand="1"/>
      </w:tblPr>
      <w:tblGrid>
        <w:gridCol w:w="3545"/>
        <w:gridCol w:w="2554"/>
        <w:gridCol w:w="9636"/>
      </w:tblGrid>
      <w:tr w:rsidR="003E5862" w:rsidRPr="00CA4ABC" w14:paraId="745D5250" w14:textId="77777777" w:rsidTr="00297538">
        <w:trPr>
          <w:trHeight w:val="497"/>
        </w:trPr>
        <w:tc>
          <w:tcPr>
            <w:tcW w:w="3545" w:type="dxa"/>
          </w:tcPr>
          <w:p w14:paraId="1FA17334" w14:textId="636ED354" w:rsidR="003E5862" w:rsidRPr="00CA4ABC" w:rsidRDefault="0048506A" w:rsidP="00207DEF">
            <w:pPr>
              <w:spacing w:line="360" w:lineRule="auto"/>
              <w:jc w:val="center"/>
              <w:rPr>
                <w:rFonts w:cstheme="minorHAnsi"/>
                <w:b/>
                <w:bCs/>
                <w:color w:val="000000" w:themeColor="text1"/>
                <w:sz w:val="20"/>
                <w:szCs w:val="20"/>
              </w:rPr>
            </w:pPr>
            <w:bookmarkStart w:id="385" w:name="_Ref125797948"/>
            <w:bookmarkStart w:id="386" w:name="_Toc122956596"/>
            <w:r w:rsidRPr="00CA4ABC">
              <w:rPr>
                <w:rFonts w:cstheme="minorHAnsi"/>
                <w:b/>
                <w:bCs/>
                <w:color w:val="000000" w:themeColor="text1"/>
                <w:sz w:val="20"/>
                <w:szCs w:val="20"/>
              </w:rPr>
              <w:t>Feature</w:t>
            </w:r>
          </w:p>
        </w:tc>
        <w:tc>
          <w:tcPr>
            <w:tcW w:w="2554" w:type="dxa"/>
          </w:tcPr>
          <w:p w14:paraId="0FCD6058" w14:textId="3B8EA834" w:rsidR="003E5862" w:rsidRPr="00CA4ABC" w:rsidRDefault="003E5862" w:rsidP="00207DEF">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Measurements to be taken</w:t>
            </w:r>
          </w:p>
        </w:tc>
        <w:tc>
          <w:tcPr>
            <w:tcW w:w="9636" w:type="dxa"/>
          </w:tcPr>
          <w:p w14:paraId="54F5CA43" w14:textId="37E87BF5" w:rsidR="003E5862" w:rsidRPr="00CA4ABC" w:rsidRDefault="003E5862" w:rsidP="00207DEF">
            <w:pPr>
              <w:spacing w:line="360" w:lineRule="auto"/>
              <w:jc w:val="center"/>
              <w:rPr>
                <w:rFonts w:cstheme="minorHAnsi"/>
                <w:b/>
                <w:bCs/>
                <w:color w:val="000000" w:themeColor="text1"/>
                <w:sz w:val="20"/>
                <w:szCs w:val="20"/>
              </w:rPr>
            </w:pPr>
            <w:r w:rsidRPr="00CA4ABC">
              <w:rPr>
                <w:rFonts w:cstheme="minorHAnsi"/>
                <w:b/>
                <w:bCs/>
                <w:color w:val="000000" w:themeColor="text1"/>
                <w:sz w:val="20"/>
                <w:szCs w:val="20"/>
              </w:rPr>
              <w:t>Method for measurement collection</w:t>
            </w:r>
          </w:p>
        </w:tc>
      </w:tr>
      <w:tr w:rsidR="00207DEF" w:rsidRPr="00CA4ABC" w14:paraId="063F6609" w14:textId="77777777" w:rsidTr="00297538">
        <w:trPr>
          <w:trHeight w:val="331"/>
        </w:trPr>
        <w:tc>
          <w:tcPr>
            <w:tcW w:w="3545" w:type="dxa"/>
            <w:vMerge w:val="restart"/>
          </w:tcPr>
          <w:p w14:paraId="3B2BCF6F" w14:textId="374D8E95"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Muscle mass</w:t>
            </w:r>
          </w:p>
        </w:tc>
        <w:tc>
          <w:tcPr>
            <w:tcW w:w="2554" w:type="dxa"/>
          </w:tcPr>
          <w:p w14:paraId="1AC19F48" w14:textId="4FB72D3D"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Height</w:t>
            </w:r>
            <w:r w:rsidR="00053D98" w:rsidRPr="00CA4ABC">
              <w:rPr>
                <w:rFonts w:cstheme="minorHAnsi"/>
                <w:color w:val="000000" w:themeColor="text1"/>
                <w:sz w:val="20"/>
                <w:szCs w:val="20"/>
              </w:rPr>
              <w:t xml:space="preserve"> (cm)</w:t>
            </w:r>
          </w:p>
        </w:tc>
        <w:tc>
          <w:tcPr>
            <w:tcW w:w="9636" w:type="dxa"/>
          </w:tcPr>
          <w:p w14:paraId="11084B5A" w14:textId="0D60C0F5" w:rsidR="00207DEF" w:rsidRPr="00CA4ABC" w:rsidRDefault="000361D5"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Stadiometer, </w:t>
            </w:r>
            <w:r w:rsidRPr="00CA4ABC">
              <w:rPr>
                <w:rFonts w:eastAsia="Times New Roman" w:cstheme="minorHAnsi"/>
                <w:color w:val="000000" w:themeColor="text1"/>
                <w:sz w:val="20"/>
                <w:szCs w:val="20"/>
                <w:lang w:eastAsia="en-GB"/>
              </w:rPr>
              <w:t>Seca 217 portable height measure, model number: 2171821009</w:t>
            </w:r>
          </w:p>
        </w:tc>
      </w:tr>
      <w:tr w:rsidR="00207DEF" w:rsidRPr="00CA4ABC" w14:paraId="6B21F638" w14:textId="77777777" w:rsidTr="00297538">
        <w:trPr>
          <w:trHeight w:val="142"/>
        </w:trPr>
        <w:tc>
          <w:tcPr>
            <w:tcW w:w="3545" w:type="dxa"/>
            <w:vMerge/>
          </w:tcPr>
          <w:p w14:paraId="3CCD0ABE" w14:textId="77777777" w:rsidR="00207DEF" w:rsidRPr="00CA4ABC" w:rsidRDefault="00207DEF" w:rsidP="003E5862">
            <w:pPr>
              <w:spacing w:line="360" w:lineRule="auto"/>
              <w:rPr>
                <w:rFonts w:cstheme="minorHAnsi"/>
                <w:color w:val="000000" w:themeColor="text1"/>
                <w:sz w:val="20"/>
                <w:szCs w:val="20"/>
              </w:rPr>
            </w:pPr>
          </w:p>
        </w:tc>
        <w:tc>
          <w:tcPr>
            <w:tcW w:w="2554" w:type="dxa"/>
          </w:tcPr>
          <w:p w14:paraId="2121F70A" w14:textId="4E9B759C"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Weight</w:t>
            </w:r>
            <w:r w:rsidR="00053D98" w:rsidRPr="00CA4ABC">
              <w:rPr>
                <w:rFonts w:cstheme="minorHAnsi"/>
                <w:color w:val="000000" w:themeColor="text1"/>
                <w:sz w:val="20"/>
                <w:szCs w:val="20"/>
              </w:rPr>
              <w:t xml:space="preserve"> (kg)</w:t>
            </w:r>
          </w:p>
        </w:tc>
        <w:tc>
          <w:tcPr>
            <w:tcW w:w="9636" w:type="dxa"/>
          </w:tcPr>
          <w:p w14:paraId="2F0EF035" w14:textId="3B9AB563" w:rsidR="00207DEF" w:rsidRPr="00CA4ABC" w:rsidRDefault="000361D5"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Electronic scales, </w:t>
            </w:r>
            <w:r w:rsidRPr="00CA4ABC">
              <w:rPr>
                <w:rFonts w:eastAsia="Times New Roman" w:cstheme="minorHAnsi"/>
                <w:color w:val="000000" w:themeColor="text1"/>
                <w:sz w:val="20"/>
                <w:szCs w:val="20"/>
                <w:lang w:eastAsia="en-GB"/>
              </w:rPr>
              <w:t>Seca 761 floor scales, model number: 7617019004.</w:t>
            </w:r>
          </w:p>
        </w:tc>
      </w:tr>
      <w:tr w:rsidR="00207DEF" w:rsidRPr="00CA4ABC" w14:paraId="3DA18948" w14:textId="77777777" w:rsidTr="00297538">
        <w:trPr>
          <w:trHeight w:val="142"/>
        </w:trPr>
        <w:tc>
          <w:tcPr>
            <w:tcW w:w="3545" w:type="dxa"/>
            <w:vMerge/>
          </w:tcPr>
          <w:p w14:paraId="3188B033" w14:textId="77777777" w:rsidR="00207DEF" w:rsidRPr="00CA4ABC" w:rsidRDefault="00207DEF" w:rsidP="003E5862">
            <w:pPr>
              <w:spacing w:line="360" w:lineRule="auto"/>
              <w:rPr>
                <w:rFonts w:cstheme="minorHAnsi"/>
                <w:color w:val="000000" w:themeColor="text1"/>
                <w:sz w:val="20"/>
                <w:szCs w:val="20"/>
              </w:rPr>
            </w:pPr>
          </w:p>
        </w:tc>
        <w:tc>
          <w:tcPr>
            <w:tcW w:w="2554" w:type="dxa"/>
          </w:tcPr>
          <w:p w14:paraId="63DC5D81" w14:textId="60026769" w:rsidR="00207DEF" w:rsidRPr="00CA4ABC" w:rsidRDefault="00980FE0" w:rsidP="003E5862">
            <w:pPr>
              <w:spacing w:line="360" w:lineRule="auto"/>
              <w:rPr>
                <w:rFonts w:cstheme="minorHAnsi"/>
                <w:color w:val="000000" w:themeColor="text1"/>
                <w:sz w:val="20"/>
                <w:szCs w:val="20"/>
              </w:rPr>
            </w:pPr>
            <w:r w:rsidRPr="00CA4ABC">
              <w:rPr>
                <w:rFonts w:cstheme="minorHAnsi"/>
                <w:color w:val="000000" w:themeColor="text1"/>
                <w:sz w:val="20"/>
                <w:szCs w:val="20"/>
              </w:rPr>
              <w:t>Circumference</w:t>
            </w:r>
            <w:r w:rsidR="00207DEF" w:rsidRPr="00CA4ABC">
              <w:rPr>
                <w:rFonts w:cstheme="minorHAnsi"/>
                <w:color w:val="000000" w:themeColor="text1"/>
                <w:sz w:val="20"/>
                <w:szCs w:val="20"/>
              </w:rPr>
              <w:t xml:space="preserve"> measurement</w:t>
            </w:r>
            <w:r w:rsidR="00053D98" w:rsidRPr="00CA4ABC">
              <w:rPr>
                <w:rFonts w:cstheme="minorHAnsi"/>
                <w:color w:val="000000" w:themeColor="text1"/>
                <w:sz w:val="20"/>
                <w:szCs w:val="20"/>
              </w:rPr>
              <w:t xml:space="preserve"> (cm)</w:t>
            </w:r>
          </w:p>
        </w:tc>
        <w:tc>
          <w:tcPr>
            <w:tcW w:w="9636" w:type="dxa"/>
          </w:tcPr>
          <w:p w14:paraId="17FC1AEC" w14:textId="4DF06B33" w:rsidR="00207DEF" w:rsidRPr="00CA4ABC" w:rsidRDefault="000361D5"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Two measurements of </w:t>
            </w:r>
            <w:r w:rsidRPr="00CA4ABC">
              <w:rPr>
                <w:rFonts w:eastAsia="Times New Roman" w:cstheme="minorHAnsi"/>
                <w:color w:val="000000" w:themeColor="text1"/>
                <w:sz w:val="20"/>
                <w:szCs w:val="20"/>
                <w:lang w:eastAsia="en-GB"/>
              </w:rPr>
              <w:t>the upper arm (relaxed), chest, waist, hip, midthigh and calf</w:t>
            </w:r>
            <w:r w:rsidRPr="00CA4ABC">
              <w:rPr>
                <w:rFonts w:cstheme="minorHAnsi"/>
                <w:color w:val="000000" w:themeColor="text1"/>
                <w:sz w:val="20"/>
                <w:szCs w:val="20"/>
              </w:rPr>
              <w:t xml:space="preserve"> using a 150mm tape measure will be collected  and the average of these two will be recorded. Any measurement that exceed</w:t>
            </w:r>
            <w:r w:rsidR="00394CB0" w:rsidRPr="00CA4ABC">
              <w:rPr>
                <w:rFonts w:cstheme="minorHAnsi"/>
                <w:color w:val="000000" w:themeColor="text1"/>
                <w:sz w:val="20"/>
                <w:szCs w:val="20"/>
              </w:rPr>
              <w:t>s a</w:t>
            </w:r>
            <w:r w:rsidRPr="00CA4ABC">
              <w:rPr>
                <w:rFonts w:cstheme="minorHAnsi"/>
                <w:color w:val="000000" w:themeColor="text1"/>
                <w:sz w:val="20"/>
                <w:szCs w:val="20"/>
              </w:rPr>
              <w:t xml:space="preserve"> 10% difference will be retaken. </w:t>
            </w:r>
            <w:r w:rsidR="003E506A">
              <w:rPr>
                <w:rFonts w:cstheme="minorHAnsi"/>
                <w:color w:val="000000" w:themeColor="text1"/>
                <w:sz w:val="20"/>
                <w:szCs w:val="20"/>
              </w:rPr>
              <w:t xml:space="preserve">Low calf circumference, in particular has been found to have associations with mortality compared to normal calf circumference </w:t>
            </w:r>
            <w:r w:rsidR="00A04A12">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{"citationItems":[{"id":"ITEM-1","itemData":{"DOI":"10.1007/s41999-021-00603-3","ISBN":"0123456789","ISSN":"18787657","PMID":"35006574","abstract":"Purpose: Low calf circumference is an important indicator of malnutrition and has been widely studied, especially among older adults. However, data on the association between low calf circumference and mortality have been inconsistent. This systematic review was aimed to quantify this association. Methods: The internet databases (PubMed, Embase, ScienceDirect and Cochrane Library databases) were systematically searched from inception to November 01, 2021 for studies investigating the association between low calf circumference and mortality. A random effects model was adopted to pool the relevant data. Results: Low calf circumference was associated with a higher risk of mortality than normal calf circumference, with a pooled HR of 2.42 (95% CI 1.97–2.97, I 2 = 74.3%). In addition, this association between low calf circumference and morality was still statistically significant in the subgroup analysis across different settings, including hospitals (pooled HR = 2.63, 95% CI 1.93–3.58), nursing homes (pooled HR = 2.49, 95% CI 1.76–3.54), and communities (pooled HR = 2.22, 95% CI 1.60–3.07). Other subgroup analyses based on different cutoffs of calf circumference showed that, compared to individual with normal calf circumference, participants with low calf circumference had an increased risk of mortality (pooled HR = 2.66, 95% CI 2.06–3.43) when using the Asian Working Group for Sarcopenia (AWGS) criterion (≤ 34 cm for males and ≤ 33 cm for females). Similar results were found when the Mini Nutritional Assessment (MNA) criterion (≤ 31 cm) was used, with a pooled HR of 2.11 (95% CI 1.59–2.81). Conclusion: Calf circumference, which is simple and convenient to measure, could be used to stratify the high-risk group, as low calf circumference was significantly associated with mortality among patients. Interventions, including exercise and nutrition programs, could be conducted promptly once low calf circumference is detected.","author":[{"dropping-particle":"","family":"Wei","given":"Jian","non-dropping-particle":"","parse-names":false,"suffix":""},{"dropping-particle":"","family":"Jiao","given":"Jing","non-dropping-particle":"","parse-names":false,"suffix":""},{"dropping-particle":"","family":"Chen","given":"Chun Lan","non-dropping-particle":"","parse-names":false,"suffix":""},{"dropping-particle":"","family":"Tao","given":"Wu yuan","non-dropping-particle":"","parse-names":false,"suffix":""},{"dropping-particle":"","family":"Ying","given":"Yuan Jiang","non-dropping-particle":"","parse-names":false,"suffix":""},{"dropping-particle":"","family":"Zhang","given":"Wen Wu","non-dropping-particle":"","parse-names":false,"suffix":""},{"dropping-particle":"","family":"Wu","given":"Xin Juan","non-dropping-particle":"","parse-names":false,"suffix":""},{"dropping-particle":"","family":"Zhang","given":"Xiao Ming","non-dropping-particle":"","parse-names":false,"suffix":""}],"container-title":"European Geriatric Medicine","id":"ITEM-1","issue":"3","issued":{"date-parts":[["2022"]]},"page":"597-609","publisher":"Springer International Publishing","title":"The association between low calf circumference and mortality: a systematic review and meta-analysis","type":"article-journal","volume":"13"},"uris":["http://www.mendeley.com/documents/?uuid=5680ed84-bcf3-46f3-9077-f1f9e2e9cce2"]}],"mendeley":{"formattedCitation":"(340)","plainTextFormattedCitation":"(340)","previouslyFormattedCitation":"(339)"},"properties":{"noteIndex":0},"schema":"https://github.com/citation-style-language/schema/raw/master/csl-citation.json"}</w:instrText>
            </w:r>
            <w:r w:rsidR="00A04A12">
              <w:rPr>
                <w:rFonts w:cstheme="minorHAnsi"/>
                <w:color w:val="000000" w:themeColor="text1"/>
                <w:sz w:val="20"/>
                <w:szCs w:val="20"/>
              </w:rPr>
              <w:fldChar w:fldCharType="separate"/>
            </w:r>
            <w:r w:rsidR="00821D82" w:rsidRPr="00821D82">
              <w:rPr>
                <w:rFonts w:cstheme="minorHAnsi"/>
                <w:noProof/>
                <w:color w:val="000000" w:themeColor="text1"/>
                <w:sz w:val="20"/>
                <w:szCs w:val="20"/>
              </w:rPr>
              <w:t>(340)</w:t>
            </w:r>
            <w:r w:rsidR="00A04A12">
              <w:rPr>
                <w:rFonts w:cstheme="minorHAnsi"/>
                <w:color w:val="000000" w:themeColor="text1"/>
                <w:sz w:val="20"/>
                <w:szCs w:val="20"/>
              </w:rPr>
              <w:fldChar w:fldCharType="end"/>
            </w:r>
            <w:r w:rsidR="00A04A12">
              <w:rPr>
                <w:rFonts w:cstheme="minorHAnsi"/>
                <w:color w:val="000000" w:themeColor="text1"/>
                <w:sz w:val="20"/>
                <w:szCs w:val="20"/>
              </w:rPr>
              <w:t>.</w:t>
            </w:r>
          </w:p>
        </w:tc>
      </w:tr>
      <w:tr w:rsidR="00207DEF" w:rsidRPr="00CA4ABC" w14:paraId="2A71D421" w14:textId="77777777" w:rsidTr="00297538">
        <w:trPr>
          <w:trHeight w:val="142"/>
        </w:trPr>
        <w:tc>
          <w:tcPr>
            <w:tcW w:w="3545" w:type="dxa"/>
            <w:vMerge/>
          </w:tcPr>
          <w:p w14:paraId="17A50C6B" w14:textId="77777777" w:rsidR="00207DEF" w:rsidRPr="00CA4ABC" w:rsidRDefault="00207DEF" w:rsidP="003E5862">
            <w:pPr>
              <w:spacing w:line="360" w:lineRule="auto"/>
              <w:rPr>
                <w:rFonts w:cstheme="minorHAnsi"/>
                <w:color w:val="000000" w:themeColor="text1"/>
                <w:sz w:val="20"/>
                <w:szCs w:val="20"/>
              </w:rPr>
            </w:pPr>
          </w:p>
        </w:tc>
        <w:tc>
          <w:tcPr>
            <w:tcW w:w="2554" w:type="dxa"/>
          </w:tcPr>
          <w:p w14:paraId="31DA155A" w14:textId="6A4449FB"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Bioelectrical </w:t>
            </w:r>
            <w:r w:rsidR="004A3FF2" w:rsidRPr="00CA4ABC">
              <w:rPr>
                <w:rFonts w:cstheme="minorHAnsi"/>
                <w:color w:val="000000" w:themeColor="text1"/>
                <w:sz w:val="20"/>
                <w:szCs w:val="20"/>
              </w:rPr>
              <w:t>impedance</w:t>
            </w:r>
            <w:r w:rsidR="00053D98" w:rsidRPr="00CA4ABC">
              <w:rPr>
                <w:rFonts w:cstheme="minorHAnsi"/>
                <w:color w:val="000000" w:themeColor="text1"/>
                <w:sz w:val="20"/>
                <w:szCs w:val="20"/>
              </w:rPr>
              <w:t xml:space="preserve"> (kg and tissue %)</w:t>
            </w:r>
          </w:p>
        </w:tc>
        <w:tc>
          <w:tcPr>
            <w:tcW w:w="9636" w:type="dxa"/>
          </w:tcPr>
          <w:p w14:paraId="1671E52E" w14:textId="23A7AA32" w:rsidR="00207DEF" w:rsidRPr="00CA4ABC" w:rsidRDefault="000361D5" w:rsidP="003E5862">
            <w:pPr>
              <w:spacing w:line="360" w:lineRule="auto"/>
              <w:rPr>
                <w:rFonts w:cstheme="minorHAnsi"/>
                <w:color w:val="000000" w:themeColor="text1"/>
                <w:sz w:val="20"/>
                <w:szCs w:val="20"/>
              </w:rPr>
            </w:pPr>
            <w:r w:rsidRPr="00CA4ABC">
              <w:rPr>
                <w:rFonts w:eastAsia="Times New Roman" w:cstheme="minorHAnsi"/>
                <w:color w:val="000000" w:themeColor="text1"/>
                <w:sz w:val="20"/>
                <w:szCs w:val="20"/>
                <w:lang w:eastAsia="en-GB"/>
              </w:rPr>
              <w:t>Bodystat device, 1500 Series, version 3/16, model number: 0120</w:t>
            </w:r>
            <w:r w:rsidR="00CE19FF" w:rsidRPr="00CA4ABC">
              <w:rPr>
                <w:rFonts w:eastAsia="Times New Roman" w:cstheme="minorHAnsi"/>
                <w:color w:val="000000" w:themeColor="text1"/>
                <w:sz w:val="20"/>
                <w:szCs w:val="20"/>
                <w:lang w:eastAsia="en-GB"/>
              </w:rPr>
              <w:t xml:space="preserve">. </w:t>
            </w:r>
            <w:r w:rsidRPr="00CA4ABC">
              <w:rPr>
                <w:rFonts w:eastAsia="Times New Roman" w:cstheme="minorHAnsi"/>
                <w:color w:val="000000" w:themeColor="text1"/>
                <w:sz w:val="20"/>
                <w:szCs w:val="20"/>
                <w:lang w:eastAsia="en-GB"/>
              </w:rPr>
              <w:t>Electrodes will be attached to the wrist, hand and ankle and foot.</w:t>
            </w:r>
            <w:r w:rsidR="003E506A">
              <w:rPr>
                <w:rFonts w:eastAsia="Times New Roman" w:cstheme="minorHAnsi"/>
                <w:color w:val="000000" w:themeColor="text1"/>
                <w:sz w:val="20"/>
                <w:szCs w:val="20"/>
                <w:lang w:eastAsia="en-GB"/>
              </w:rPr>
              <w:t xml:space="preserve"> EGWSOP2 suggests measuring BIA in the absence of the option to conduct gold standard techniques. </w:t>
            </w:r>
          </w:p>
        </w:tc>
      </w:tr>
      <w:tr w:rsidR="00207DEF" w:rsidRPr="00CA4ABC" w14:paraId="0FECF47D" w14:textId="77777777" w:rsidTr="00297538">
        <w:trPr>
          <w:trHeight w:val="142"/>
        </w:trPr>
        <w:tc>
          <w:tcPr>
            <w:tcW w:w="3545" w:type="dxa"/>
            <w:vMerge w:val="restart"/>
          </w:tcPr>
          <w:p w14:paraId="0E7FFAE8" w14:textId="77777777"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Muscle strength</w:t>
            </w:r>
            <w:r w:rsidR="00CE19FF" w:rsidRPr="00CA4ABC">
              <w:rPr>
                <w:rFonts w:cstheme="minorHAnsi"/>
                <w:color w:val="000000" w:themeColor="text1"/>
                <w:sz w:val="20"/>
                <w:szCs w:val="20"/>
              </w:rPr>
              <w:t>*</w:t>
            </w:r>
          </w:p>
          <w:p w14:paraId="14E992A2" w14:textId="20208D5C" w:rsidR="00CE19FF" w:rsidRPr="00CA4ABC" w:rsidRDefault="00CE19FF"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A </w:t>
            </w:r>
            <w:r w:rsidR="00BF5BAB" w:rsidRPr="00CA4ABC">
              <w:rPr>
                <w:rFonts w:cstheme="minorHAnsi"/>
                <w:color w:val="000000" w:themeColor="text1"/>
                <w:sz w:val="20"/>
                <w:szCs w:val="20"/>
              </w:rPr>
              <w:t>general</w:t>
            </w:r>
            <w:r w:rsidR="00231F20">
              <w:rPr>
                <w:rFonts w:cstheme="minorHAnsi"/>
                <w:color w:val="000000" w:themeColor="text1"/>
                <w:sz w:val="20"/>
                <w:szCs w:val="20"/>
              </w:rPr>
              <w:t xml:space="preserve"> </w:t>
            </w:r>
            <w:r w:rsidRPr="00CA4ABC">
              <w:rPr>
                <w:rFonts w:cstheme="minorHAnsi"/>
                <w:color w:val="000000" w:themeColor="text1"/>
                <w:sz w:val="20"/>
                <w:szCs w:val="20"/>
              </w:rPr>
              <w:t>warm</w:t>
            </w:r>
            <w:r w:rsidR="00231F20">
              <w:rPr>
                <w:rFonts w:cstheme="minorHAnsi"/>
                <w:color w:val="000000" w:themeColor="text1"/>
                <w:sz w:val="20"/>
                <w:szCs w:val="20"/>
              </w:rPr>
              <w:t>-</w:t>
            </w:r>
            <w:r w:rsidRPr="00CA4ABC">
              <w:rPr>
                <w:rFonts w:cstheme="minorHAnsi"/>
                <w:color w:val="000000" w:themeColor="text1"/>
                <w:sz w:val="20"/>
                <w:szCs w:val="20"/>
              </w:rPr>
              <w:t>up will be conducted before all muscle strength exercises</w:t>
            </w:r>
            <w:r w:rsidR="00BF5BAB" w:rsidRPr="00CA4ABC">
              <w:rPr>
                <w:rFonts w:cstheme="minorHAnsi"/>
                <w:color w:val="000000" w:themeColor="text1"/>
                <w:sz w:val="20"/>
                <w:szCs w:val="20"/>
              </w:rPr>
              <w:t>.</w:t>
            </w:r>
          </w:p>
        </w:tc>
        <w:tc>
          <w:tcPr>
            <w:tcW w:w="2554" w:type="dxa"/>
          </w:tcPr>
          <w:p w14:paraId="5FAB08AC" w14:textId="5006E3A0" w:rsidR="00207DEF" w:rsidRPr="00CA4ABC" w:rsidRDefault="00BF5BAB"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1RM </w:t>
            </w:r>
            <w:r w:rsidR="00207DEF" w:rsidRPr="00CA4ABC">
              <w:rPr>
                <w:rFonts w:cstheme="minorHAnsi"/>
                <w:color w:val="000000" w:themeColor="text1"/>
                <w:sz w:val="20"/>
                <w:szCs w:val="20"/>
              </w:rPr>
              <w:t>Leg press</w:t>
            </w:r>
            <w:r w:rsidR="0048506A" w:rsidRPr="00CA4ABC">
              <w:rPr>
                <w:rFonts w:cstheme="minorHAnsi"/>
                <w:color w:val="000000" w:themeColor="text1"/>
                <w:sz w:val="20"/>
                <w:szCs w:val="20"/>
              </w:rPr>
              <w:t xml:space="preserve"> (primary outcome)</w:t>
            </w:r>
            <w:r w:rsidR="00053D98" w:rsidRPr="00CA4ABC">
              <w:rPr>
                <w:rFonts w:cstheme="minorHAnsi"/>
                <w:color w:val="000000" w:themeColor="text1"/>
                <w:sz w:val="20"/>
                <w:szCs w:val="20"/>
              </w:rPr>
              <w:t xml:space="preserve"> (kg)</w:t>
            </w:r>
          </w:p>
        </w:tc>
        <w:tc>
          <w:tcPr>
            <w:tcW w:w="9636" w:type="dxa"/>
          </w:tcPr>
          <w:p w14:paraId="3F7894B0" w14:textId="31FF2757" w:rsidR="00207DEF" w:rsidRPr="00CA4ABC" w:rsidRDefault="00CE19FF" w:rsidP="003E5862">
            <w:pPr>
              <w:spacing w:line="360" w:lineRule="auto"/>
              <w:rPr>
                <w:rFonts w:cstheme="minorHAnsi"/>
                <w:color w:val="000000" w:themeColor="text1"/>
                <w:sz w:val="20"/>
                <w:szCs w:val="20"/>
              </w:rPr>
            </w:pPr>
            <w:r w:rsidRPr="00CA4ABC">
              <w:rPr>
                <w:rFonts w:cstheme="minorHAnsi"/>
                <w:color w:val="000000" w:themeColor="text1"/>
                <w:sz w:val="20"/>
                <w:szCs w:val="20"/>
              </w:rPr>
              <w:t>A fixed</w:t>
            </w:r>
            <w:r w:rsidR="00980FE0" w:rsidRPr="00CA4ABC">
              <w:rPr>
                <w:rFonts w:cstheme="minorHAnsi"/>
                <w:color w:val="000000" w:themeColor="text1"/>
                <w:sz w:val="20"/>
                <w:szCs w:val="20"/>
              </w:rPr>
              <w:t>-</w:t>
            </w:r>
            <w:r w:rsidRPr="00CA4ABC">
              <w:rPr>
                <w:rFonts w:cstheme="minorHAnsi"/>
                <w:color w:val="000000" w:themeColor="text1"/>
                <w:sz w:val="20"/>
                <w:szCs w:val="20"/>
              </w:rPr>
              <w:t>weight leg press machine, Technogym. Set up will include</w:t>
            </w:r>
            <w:r w:rsidR="00BF5BAB" w:rsidRPr="00CA4ABC">
              <w:rPr>
                <w:rFonts w:cstheme="minorHAnsi"/>
                <w:color w:val="000000" w:themeColor="text1"/>
                <w:sz w:val="20"/>
                <w:szCs w:val="20"/>
              </w:rPr>
              <w:t xml:space="preserve">: </w:t>
            </w:r>
            <w:r w:rsidR="00D35201" w:rsidRPr="00CA4ABC">
              <w:rPr>
                <w:rFonts w:cstheme="minorHAnsi"/>
                <w:color w:val="000000" w:themeColor="text1"/>
                <w:sz w:val="20"/>
                <w:szCs w:val="20"/>
              </w:rPr>
              <w:t>knees bent a ninety degrees, feet shoulder</w:t>
            </w:r>
            <w:r w:rsidR="00980FE0" w:rsidRPr="00CA4ABC">
              <w:rPr>
                <w:rFonts w:cstheme="minorHAnsi"/>
                <w:color w:val="000000" w:themeColor="text1"/>
                <w:sz w:val="20"/>
                <w:szCs w:val="20"/>
              </w:rPr>
              <w:t>-</w:t>
            </w:r>
            <w:r w:rsidR="00D35201" w:rsidRPr="00CA4ABC">
              <w:rPr>
                <w:rFonts w:cstheme="minorHAnsi"/>
                <w:color w:val="000000" w:themeColor="text1"/>
                <w:sz w:val="20"/>
                <w:szCs w:val="20"/>
              </w:rPr>
              <w:t xml:space="preserve">width apart. Extension will be done until the legs are straight but </w:t>
            </w:r>
            <w:r w:rsidR="00980FE0" w:rsidRPr="00CA4ABC">
              <w:rPr>
                <w:rFonts w:cstheme="minorHAnsi"/>
                <w:color w:val="000000" w:themeColor="text1"/>
                <w:sz w:val="20"/>
                <w:szCs w:val="20"/>
              </w:rPr>
              <w:t xml:space="preserve">the </w:t>
            </w:r>
            <w:r w:rsidR="00D35201" w:rsidRPr="00CA4ABC">
              <w:rPr>
                <w:rFonts w:cstheme="minorHAnsi"/>
                <w:color w:val="000000" w:themeColor="text1"/>
                <w:sz w:val="20"/>
                <w:szCs w:val="20"/>
              </w:rPr>
              <w:t>knees are not locked.</w:t>
            </w:r>
          </w:p>
        </w:tc>
      </w:tr>
      <w:tr w:rsidR="00077A42" w:rsidRPr="00CA4ABC" w14:paraId="51859F06" w14:textId="77777777" w:rsidTr="00297538">
        <w:trPr>
          <w:trHeight w:val="142"/>
        </w:trPr>
        <w:tc>
          <w:tcPr>
            <w:tcW w:w="3545" w:type="dxa"/>
            <w:vMerge/>
          </w:tcPr>
          <w:p w14:paraId="5EA5F166" w14:textId="77777777" w:rsidR="00077A42" w:rsidRPr="00CA4ABC" w:rsidRDefault="00077A42" w:rsidP="00077A42">
            <w:pPr>
              <w:spacing w:line="360" w:lineRule="auto"/>
              <w:rPr>
                <w:rFonts w:cstheme="minorHAnsi"/>
                <w:color w:val="000000" w:themeColor="text1"/>
                <w:sz w:val="20"/>
                <w:szCs w:val="20"/>
              </w:rPr>
            </w:pPr>
          </w:p>
        </w:tc>
        <w:tc>
          <w:tcPr>
            <w:tcW w:w="2554" w:type="dxa"/>
          </w:tcPr>
          <w:p w14:paraId="1F2ABEBB" w14:textId="189EFB0B" w:rsidR="00077A42" w:rsidRPr="00CA4ABC" w:rsidRDefault="00077A42" w:rsidP="00077A42">
            <w:pPr>
              <w:spacing w:line="360" w:lineRule="auto"/>
              <w:rPr>
                <w:rFonts w:cstheme="minorHAnsi"/>
                <w:color w:val="000000" w:themeColor="text1"/>
                <w:sz w:val="20"/>
                <w:szCs w:val="20"/>
              </w:rPr>
            </w:pPr>
            <w:r w:rsidRPr="00CA4ABC">
              <w:rPr>
                <w:rFonts w:cstheme="minorHAnsi"/>
                <w:color w:val="000000" w:themeColor="text1"/>
                <w:sz w:val="20"/>
                <w:szCs w:val="20"/>
              </w:rPr>
              <w:t>Hand grip (kg)</w:t>
            </w:r>
          </w:p>
        </w:tc>
        <w:tc>
          <w:tcPr>
            <w:tcW w:w="9636" w:type="dxa"/>
          </w:tcPr>
          <w:p w14:paraId="45E3DC42" w14:textId="21513E8E" w:rsidR="00077A42" w:rsidRPr="00CA4ABC" w:rsidRDefault="00077A42" w:rsidP="00077A42">
            <w:pPr>
              <w:spacing w:line="360" w:lineRule="auto"/>
              <w:rPr>
                <w:rFonts w:cstheme="minorHAnsi"/>
                <w:color w:val="000000" w:themeColor="text1"/>
                <w:sz w:val="20"/>
                <w:szCs w:val="20"/>
              </w:rPr>
            </w:pPr>
            <w:r w:rsidRPr="00CA4ABC">
              <w:rPr>
                <w:rFonts w:eastAsia="Times New Roman" w:cstheme="minorHAnsi"/>
                <w:color w:val="000000" w:themeColor="text1"/>
                <w:sz w:val="20"/>
                <w:szCs w:val="20"/>
                <w:lang w:eastAsia="en-GB"/>
              </w:rPr>
              <w:t>Hand dynamometer (JAMAR+ digital, Patterson medical, serial number: 2016100881). A</w:t>
            </w:r>
            <w:r w:rsidRPr="00CA4ABC">
              <w:rPr>
                <w:rFonts w:cstheme="minorHAnsi"/>
                <w:color w:val="000000" w:themeColor="text1"/>
                <w:sz w:val="20"/>
                <w:szCs w:val="20"/>
              </w:rPr>
              <w:t xml:space="preserve">merican Society of Hand Therapists </w:t>
            </w:r>
            <w:r w:rsidRPr="00CA4ABC">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{"citationItems":[{"id":"ITEM-1","itemData":{"URL":"https://asht.org/practice/clinical-assessment-recommendations","accessed":{"date-parts":[["2022","11","1"]]},"id":"ITEM-1","issued":{"date-parts":[["0"]]},"title":"Clinical Assessment Recommendations | American Society of Hand Therapists (ASHT)","type":"webpage"},"uris":["http://www.mendeley.com/documents/?uuid=2c93fff4-1dcf-34f3-b0fd-2ab671a19e64"]}],"mendeley":{"formattedCitation":"(275)","plainTextFormattedCitation":"(275)","previouslyFormattedCitation":"(275)"},"properties":{"noteIndex":0},"schema":"https://github.com/citation-style-language/schema/raw/master/csl-citation.json"}</w:instrText>
            </w:r>
            <w:r w:rsidRPr="00CA4ABC">
              <w:rPr>
                <w:rFonts w:cstheme="minorHAnsi"/>
                <w:color w:val="000000" w:themeColor="text1"/>
                <w:sz w:val="20"/>
                <w:szCs w:val="20"/>
              </w:rPr>
              <w:fldChar w:fldCharType="separate"/>
            </w:r>
            <w:r w:rsidR="00FF0BCE" w:rsidRPr="00FF0BCE">
              <w:rPr>
                <w:rFonts w:cstheme="minorHAnsi"/>
                <w:noProof/>
                <w:color w:val="000000" w:themeColor="text1"/>
                <w:sz w:val="20"/>
                <w:szCs w:val="20"/>
              </w:rPr>
              <w:t>(275)</w:t>
            </w:r>
            <w:r w:rsidRPr="00CA4ABC">
              <w:rPr>
                <w:rFonts w:cstheme="minorHAnsi"/>
                <w:color w:val="000000" w:themeColor="text1"/>
                <w:sz w:val="20"/>
                <w:szCs w:val="20"/>
              </w:rPr>
              <w:fldChar w:fldCharType="end"/>
            </w:r>
            <w:r w:rsidRPr="00CA4ABC">
              <w:rPr>
                <w:rFonts w:cstheme="minorHAnsi"/>
                <w:color w:val="000000" w:themeColor="text1"/>
                <w:sz w:val="20"/>
                <w:szCs w:val="20"/>
              </w:rPr>
              <w:t xml:space="preserve"> standard protocol to be used with the dominant hand.</w:t>
            </w:r>
            <w:r>
              <w:rPr>
                <w:rFonts w:cstheme="minorHAnsi"/>
                <w:color w:val="000000" w:themeColor="text1"/>
                <w:sz w:val="20"/>
                <w:szCs w:val="20"/>
              </w:rPr>
              <w:t xml:space="preserve"> Hand grip and upper body strength has been demonstrated to have an association with mortality outcomes </w:t>
            </w:r>
            <w:r>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{"citationItems":[{"id":"ITEM-1","itemData":{"DOI":"10.1093/gerona/61.1.72","ISSN":"10795006","PMID":"16456196","abstract":"Background. Although muscle strength and mass are highly correlated, the relationship between direct measures of low muscle mass (sarcopenia) and strength in association with mortality has not been examined. Methods. Total mortality rates were examined in the Health, Aging and Body Composition (Health ABC) Study in 2292 participants (aged 70-79 years, 51.6% women, and 38.8% black). Knee extension strength was measured with isokinetic dynamometry, grip strength with isometric dynamometry. Thigh muscle area was measured by computed tomography (CT) scan, and leg and arm lean soft tissue mass were determined by dual energy x-ray absorptiometry (DXA). Both strength and muscle size were assessed as in gender-specific Cox proportional hazards models, with age, race, comorbidities, smoking status, level of physical activity, fat area by CT or fat mass by DXA, height, and markers of inflammation, including interleukin-6, C-reactive protein, and tumor necrosis factor-α considered as potential confounders. Results. There were 286 deaths over an average of 4.9 (standard deviation = 0.9) years of follow-up. Both quadriceps and grip strength were strongly related to mortality. For quadriceps strength (per standard deviation of 38 Nm), the crude hazard ratio for men was 1.51 (95% confidence interval, 1.28-1.79) and 1.65 (95% confidence interval, 1.19-2.30) for women. Muscle size, determined by either CT area or DXA regional lean mass, was not strongly related to mortality. In the models of quadriceps strength and mortality, adjustment for muscle area or regional lean mass only slightly attenuated the associations. Further adjustment for other factors also had minimal effect on the association of quadriceps strength with mortality. Associations of grip strength with mortality were similar. Conclusion. Low muscle mass did not explain the strong association of strength with mortality, demonstrating that muscle strength as a marker of muscle quality is more important than quantity in estimating mortality risk. Grip strength provided risk estimates similar to those of quadriceps strength. Copyright 2006 by The Gerontological Society of America.","author":[{"dropping-particle":"","family":"Newman","given":"Anne B.","non-dropping-particle":"","parse-names":false,"suffix":""},{"dropping-particle":"","family":"Kupelian","given":"Varant","non-dropping-particle":"","parse-names":false,"suffix":""},{"dropping-particle":"","family":"Visser","given":"Marjolein","non-dropping-particle":"","parse-names":false,"suffix":""},{"dropping-particle":"","family":"Simonsick","given":"Eleanor M.","non-dropping-particle":"","parse-names":false,"suffix":""},{"dropping-particle":"","family":"Goodpaster","given":"Bret H.","non-dropping-particle":"","parse-names":false,"suffix":""},{"dropping-particle":"","family":"Kritchevsky","given":"Stephen B.","non-dropping-particle":"","parse-names":false,"suffix":""},{"dropping-particle":"","family":"Tylavsky","given":"Frances A.","non-dropping-particle":"","parse-names":false,"suffix":""},{"dropping-particle":"","family":"Rubin","given":"Susan M.","non-dropping-particle":"","parse-names":false,"suffix":""},{"dropping-particle":"","family":"Harris","given":"Tamara B.","non-dropping-particle":"","parse-names":false,"suffix":""}],"container-title":"Journals of Gerontology - Series A Biological Sciences and Medical Sciences","id":"ITEM-1","issue":"1","issued":{"date-parts":[["2006"]]},"page":"72-77","title":"Strength, but not muscle mass, is associated with mortality in the health, aging and body composition study cohort","type":"article-journal","volume":"61"},"uris":["http://www.mendeley.com/documents/?uuid=559ef99c-a0c4-4cae-8c09-99153e2406a3"]}],"mendeley":{"formattedCitation":"(339)","plainTextFormattedCitation":"(339)","previouslyFormattedCitation":"(338)"},"properties":{"noteIndex":0},"schema":"https://github.com/citation-style-language/schema/raw/master/csl-citation.json"}</w:instrText>
            </w:r>
            <w:r>
              <w:rPr>
                <w:rFonts w:cstheme="minorHAnsi"/>
                <w:color w:val="000000" w:themeColor="text1"/>
                <w:sz w:val="20"/>
                <w:szCs w:val="20"/>
              </w:rPr>
              <w:fldChar w:fldCharType="separate"/>
            </w:r>
            <w:r w:rsidR="00821D82" w:rsidRPr="00821D82">
              <w:rPr>
                <w:rFonts w:cstheme="minorHAnsi"/>
                <w:noProof/>
                <w:color w:val="000000" w:themeColor="text1"/>
                <w:sz w:val="20"/>
                <w:szCs w:val="20"/>
              </w:rPr>
              <w:t>(339)</w:t>
            </w:r>
            <w:r>
              <w:rPr>
                <w:rFonts w:cstheme="minorHAnsi"/>
                <w:color w:val="000000" w:themeColor="text1"/>
                <w:sz w:val="20"/>
                <w:szCs w:val="20"/>
              </w:rPr>
              <w:fldChar w:fldCharType="end"/>
            </w:r>
            <w:r>
              <w:rPr>
                <w:rFonts w:cstheme="minorHAnsi"/>
                <w:color w:val="000000" w:themeColor="text1"/>
                <w:sz w:val="20"/>
                <w:szCs w:val="20"/>
              </w:rPr>
              <w:t>.</w:t>
            </w:r>
          </w:p>
        </w:tc>
      </w:tr>
      <w:tr w:rsidR="00207DEF" w:rsidRPr="00CA4ABC" w14:paraId="32B2229A" w14:textId="77777777" w:rsidTr="00297538">
        <w:trPr>
          <w:trHeight w:val="142"/>
        </w:trPr>
        <w:tc>
          <w:tcPr>
            <w:tcW w:w="3545" w:type="dxa"/>
            <w:vMerge/>
          </w:tcPr>
          <w:p w14:paraId="493A0C6F" w14:textId="59F69D79" w:rsidR="00207DEF" w:rsidRPr="00CA4ABC" w:rsidRDefault="00207DEF" w:rsidP="003E5862">
            <w:pPr>
              <w:spacing w:line="360" w:lineRule="auto"/>
              <w:rPr>
                <w:rFonts w:cstheme="minorHAnsi"/>
                <w:color w:val="000000" w:themeColor="text1"/>
                <w:sz w:val="20"/>
                <w:szCs w:val="20"/>
              </w:rPr>
            </w:pPr>
          </w:p>
        </w:tc>
        <w:tc>
          <w:tcPr>
            <w:tcW w:w="2554" w:type="dxa"/>
          </w:tcPr>
          <w:p w14:paraId="52FBDBC2" w14:textId="6B78B23F" w:rsidR="00207DEF" w:rsidRPr="00CA4ABC" w:rsidRDefault="00BF5BAB"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1RM </w:t>
            </w:r>
            <w:r w:rsidR="00207DEF" w:rsidRPr="00CA4ABC">
              <w:rPr>
                <w:rFonts w:cstheme="minorHAnsi"/>
                <w:color w:val="000000" w:themeColor="text1"/>
                <w:sz w:val="20"/>
                <w:szCs w:val="20"/>
              </w:rPr>
              <w:t>Chest press</w:t>
            </w:r>
            <w:r w:rsidR="00053D98" w:rsidRPr="00CA4ABC">
              <w:rPr>
                <w:rFonts w:cstheme="minorHAnsi"/>
                <w:color w:val="000000" w:themeColor="text1"/>
                <w:sz w:val="20"/>
                <w:szCs w:val="20"/>
              </w:rPr>
              <w:t xml:space="preserve"> (kg)</w:t>
            </w:r>
          </w:p>
        </w:tc>
        <w:tc>
          <w:tcPr>
            <w:tcW w:w="9636" w:type="dxa"/>
          </w:tcPr>
          <w:p w14:paraId="232A8EB9" w14:textId="69B00222" w:rsidR="00207DEF" w:rsidRPr="00CA4ABC" w:rsidRDefault="00D35201" w:rsidP="003E5862">
            <w:pPr>
              <w:spacing w:line="360" w:lineRule="auto"/>
              <w:rPr>
                <w:rFonts w:cstheme="minorHAnsi"/>
                <w:color w:val="000000" w:themeColor="text1"/>
                <w:sz w:val="20"/>
                <w:szCs w:val="20"/>
              </w:rPr>
            </w:pPr>
            <w:r w:rsidRPr="00CA4ABC">
              <w:rPr>
                <w:rFonts w:cstheme="minorHAnsi"/>
                <w:color w:val="000000" w:themeColor="text1"/>
                <w:sz w:val="20"/>
                <w:szCs w:val="20"/>
              </w:rPr>
              <w:t>Barbell, bench and various weight plates</w:t>
            </w:r>
            <w:r w:rsidR="00BF4581" w:rsidRPr="00CA4ABC">
              <w:rPr>
                <w:rFonts w:cstheme="minorHAnsi"/>
                <w:color w:val="000000" w:themeColor="text1"/>
                <w:sz w:val="20"/>
                <w:szCs w:val="20"/>
              </w:rPr>
              <w:t>.</w:t>
            </w:r>
            <w:r w:rsidRPr="00CA4ABC">
              <w:rPr>
                <w:rFonts w:cstheme="minorHAnsi"/>
                <w:color w:val="000000" w:themeColor="text1"/>
                <w:sz w:val="20"/>
                <w:szCs w:val="20"/>
              </w:rPr>
              <w:t xml:space="preserve"> Set up includes: participant lying with eyes </w:t>
            </w:r>
            <w:r w:rsidR="006E2608" w:rsidRPr="00CA4ABC">
              <w:rPr>
                <w:rFonts w:cstheme="minorHAnsi"/>
                <w:color w:val="000000" w:themeColor="text1"/>
                <w:sz w:val="20"/>
                <w:szCs w:val="20"/>
              </w:rPr>
              <w:t>supine</w:t>
            </w:r>
            <w:r w:rsidRPr="00CA4ABC">
              <w:rPr>
                <w:rFonts w:cstheme="minorHAnsi"/>
                <w:color w:val="000000" w:themeColor="text1"/>
                <w:sz w:val="20"/>
                <w:szCs w:val="20"/>
              </w:rPr>
              <w:t xml:space="preserve"> to weight bar, feet flat on the floor. Hands slightly wider than shoulder</w:t>
            </w:r>
            <w:r w:rsidR="00980FE0" w:rsidRPr="00CA4ABC">
              <w:rPr>
                <w:rFonts w:cstheme="minorHAnsi"/>
                <w:color w:val="000000" w:themeColor="text1"/>
                <w:sz w:val="20"/>
                <w:szCs w:val="20"/>
              </w:rPr>
              <w:t>s</w:t>
            </w:r>
            <w:r w:rsidRPr="00CA4ABC">
              <w:rPr>
                <w:rFonts w:cstheme="minorHAnsi"/>
                <w:color w:val="000000" w:themeColor="text1"/>
                <w:sz w:val="20"/>
                <w:szCs w:val="20"/>
              </w:rPr>
              <w:t xml:space="preserve"> and elbows bent at ninety degrees. Full range of motion is from </w:t>
            </w:r>
            <w:r w:rsidRPr="00CA4ABC">
              <w:rPr>
                <w:rFonts w:cstheme="minorHAnsi"/>
                <w:color w:val="000000" w:themeColor="text1"/>
                <w:sz w:val="20"/>
                <w:szCs w:val="20"/>
              </w:rPr>
              <w:lastRenderedPageBreak/>
              <w:t>bar lightly touching chest</w:t>
            </w:r>
            <w:r w:rsidR="006E2608" w:rsidRPr="00CA4ABC">
              <w:rPr>
                <w:rFonts w:cstheme="minorHAnsi"/>
                <w:color w:val="000000" w:themeColor="text1"/>
                <w:sz w:val="20"/>
                <w:szCs w:val="20"/>
              </w:rPr>
              <w:t>, at lower sternum,</w:t>
            </w:r>
            <w:r w:rsidRPr="00CA4ABC">
              <w:rPr>
                <w:rFonts w:cstheme="minorHAnsi"/>
                <w:color w:val="000000" w:themeColor="text1"/>
                <w:sz w:val="20"/>
                <w:szCs w:val="20"/>
              </w:rPr>
              <w:t xml:space="preserve"> to arms straight (elbows not locked)</w:t>
            </w:r>
            <w:r w:rsidR="006E2608" w:rsidRPr="00CA4ABC">
              <w:rPr>
                <w:rFonts w:cstheme="minorHAnsi"/>
                <w:color w:val="000000" w:themeColor="text1"/>
                <w:sz w:val="20"/>
                <w:szCs w:val="20"/>
              </w:rPr>
              <w:t>.</w:t>
            </w:r>
            <w:r w:rsidR="00077A42">
              <w:rPr>
                <w:rFonts w:cstheme="minorHAnsi"/>
                <w:color w:val="000000" w:themeColor="text1"/>
                <w:sz w:val="20"/>
                <w:szCs w:val="20"/>
              </w:rPr>
              <w:t xml:space="preserve"> Used to gather additional information about upper body strength, alongside hand grip.</w:t>
            </w:r>
          </w:p>
        </w:tc>
      </w:tr>
      <w:tr w:rsidR="00207DEF" w:rsidRPr="00CA4ABC" w14:paraId="7AFD41A5" w14:textId="77777777" w:rsidTr="00297538">
        <w:trPr>
          <w:trHeight w:val="142"/>
        </w:trPr>
        <w:tc>
          <w:tcPr>
            <w:tcW w:w="3545" w:type="dxa"/>
            <w:vMerge/>
          </w:tcPr>
          <w:p w14:paraId="1B1AD7D2" w14:textId="77777777" w:rsidR="00207DEF" w:rsidRPr="00CA4ABC" w:rsidRDefault="00207DEF" w:rsidP="003E5862">
            <w:pPr>
              <w:spacing w:line="360" w:lineRule="auto"/>
              <w:rPr>
                <w:rFonts w:cstheme="minorHAnsi"/>
                <w:color w:val="000000" w:themeColor="text1"/>
                <w:sz w:val="20"/>
                <w:szCs w:val="20"/>
              </w:rPr>
            </w:pPr>
          </w:p>
        </w:tc>
        <w:tc>
          <w:tcPr>
            <w:tcW w:w="2554" w:type="dxa"/>
          </w:tcPr>
          <w:p w14:paraId="6FD65AC5" w14:textId="69F91D99" w:rsidR="00207DEF" w:rsidRPr="00CA4ABC" w:rsidRDefault="00BF5BAB" w:rsidP="003E5862">
            <w:pPr>
              <w:spacing w:line="360" w:lineRule="auto"/>
              <w:rPr>
                <w:rFonts w:cstheme="minorHAnsi"/>
                <w:color w:val="000000" w:themeColor="text1"/>
                <w:sz w:val="20"/>
                <w:szCs w:val="20"/>
              </w:rPr>
            </w:pPr>
            <w:r w:rsidRPr="00CA4ABC">
              <w:rPr>
                <w:rFonts w:cstheme="minorHAnsi"/>
                <w:color w:val="000000" w:themeColor="text1"/>
                <w:sz w:val="20"/>
                <w:szCs w:val="20"/>
              </w:rPr>
              <w:t xml:space="preserve">1RM </w:t>
            </w:r>
            <w:r w:rsidR="00207DEF" w:rsidRPr="00CA4ABC">
              <w:rPr>
                <w:rFonts w:cstheme="minorHAnsi"/>
                <w:color w:val="000000" w:themeColor="text1"/>
                <w:sz w:val="20"/>
                <w:szCs w:val="20"/>
              </w:rPr>
              <w:t>Lateral pull down</w:t>
            </w:r>
            <w:r w:rsidR="00053D98" w:rsidRPr="00CA4ABC">
              <w:rPr>
                <w:rFonts w:cstheme="minorHAnsi"/>
                <w:color w:val="000000" w:themeColor="text1"/>
                <w:sz w:val="20"/>
                <w:szCs w:val="20"/>
              </w:rPr>
              <w:t xml:space="preserve"> (kg)</w:t>
            </w:r>
          </w:p>
        </w:tc>
        <w:tc>
          <w:tcPr>
            <w:tcW w:w="9636" w:type="dxa"/>
          </w:tcPr>
          <w:p w14:paraId="0D651C59" w14:textId="4B2D92FF" w:rsidR="00207DEF" w:rsidRPr="00CA4ABC" w:rsidRDefault="00BF4581" w:rsidP="003E5862">
            <w:pPr>
              <w:spacing w:line="360" w:lineRule="auto"/>
              <w:rPr>
                <w:rFonts w:cstheme="minorHAnsi"/>
                <w:color w:val="000000" w:themeColor="text1"/>
                <w:sz w:val="20"/>
                <w:szCs w:val="20"/>
              </w:rPr>
            </w:pPr>
            <w:r w:rsidRPr="00CA4ABC">
              <w:rPr>
                <w:rFonts w:cstheme="minorHAnsi"/>
                <w:color w:val="000000" w:themeColor="text1"/>
                <w:sz w:val="20"/>
                <w:szCs w:val="20"/>
              </w:rPr>
              <w:t>A fixed</w:t>
            </w:r>
            <w:r w:rsidR="00980FE0" w:rsidRPr="00CA4ABC">
              <w:rPr>
                <w:rFonts w:cstheme="minorHAnsi"/>
                <w:color w:val="000000" w:themeColor="text1"/>
                <w:sz w:val="20"/>
                <w:szCs w:val="20"/>
              </w:rPr>
              <w:t>-</w:t>
            </w:r>
            <w:r w:rsidRPr="00CA4ABC">
              <w:rPr>
                <w:rFonts w:cstheme="minorHAnsi"/>
                <w:color w:val="000000" w:themeColor="text1"/>
                <w:sz w:val="20"/>
                <w:szCs w:val="20"/>
              </w:rPr>
              <w:t>weight lat</w:t>
            </w:r>
            <w:r w:rsidR="00037789" w:rsidRPr="00CA4ABC">
              <w:rPr>
                <w:rFonts w:cstheme="minorHAnsi"/>
                <w:color w:val="000000" w:themeColor="text1"/>
                <w:sz w:val="20"/>
                <w:szCs w:val="20"/>
              </w:rPr>
              <w:t>eral</w:t>
            </w:r>
            <w:r w:rsidRPr="00CA4ABC">
              <w:rPr>
                <w:rFonts w:cstheme="minorHAnsi"/>
                <w:color w:val="000000" w:themeColor="text1"/>
                <w:sz w:val="20"/>
                <w:szCs w:val="20"/>
              </w:rPr>
              <w:t xml:space="preserve"> </w:t>
            </w:r>
            <w:r w:rsidR="00343975" w:rsidRPr="00CA4ABC">
              <w:rPr>
                <w:rFonts w:cstheme="minorHAnsi"/>
                <w:color w:val="000000" w:themeColor="text1"/>
                <w:sz w:val="20"/>
                <w:szCs w:val="20"/>
              </w:rPr>
              <w:t>pull-down</w:t>
            </w:r>
            <w:r w:rsidRPr="00CA4ABC">
              <w:rPr>
                <w:rFonts w:cstheme="minorHAnsi"/>
                <w:color w:val="000000" w:themeColor="text1"/>
                <w:sz w:val="20"/>
                <w:szCs w:val="20"/>
              </w:rPr>
              <w:t xml:space="preserve"> machine, Technogym.</w:t>
            </w:r>
            <w:r w:rsidR="006E2608" w:rsidRPr="00CA4ABC">
              <w:rPr>
                <w:rFonts w:cstheme="minorHAnsi"/>
                <w:color w:val="000000" w:themeColor="text1"/>
                <w:sz w:val="20"/>
                <w:szCs w:val="20"/>
              </w:rPr>
              <w:t xml:space="preserve"> Set up includes: </w:t>
            </w:r>
            <w:r w:rsidR="00343975" w:rsidRPr="00CA4ABC">
              <w:rPr>
                <w:rFonts w:cstheme="minorHAnsi"/>
                <w:color w:val="000000" w:themeColor="text1"/>
                <w:sz w:val="20"/>
                <w:szCs w:val="20"/>
              </w:rPr>
              <w:t xml:space="preserve">the </w:t>
            </w:r>
            <w:r w:rsidR="006E2608" w:rsidRPr="00CA4ABC">
              <w:rPr>
                <w:rFonts w:cstheme="minorHAnsi"/>
                <w:color w:val="000000" w:themeColor="text1"/>
                <w:sz w:val="20"/>
                <w:szCs w:val="20"/>
              </w:rPr>
              <w:t>chair is position</w:t>
            </w:r>
            <w:r w:rsidR="00343975" w:rsidRPr="00CA4ABC">
              <w:rPr>
                <w:rFonts w:cstheme="minorHAnsi"/>
                <w:color w:val="000000" w:themeColor="text1"/>
                <w:sz w:val="20"/>
                <w:szCs w:val="20"/>
              </w:rPr>
              <w:t>ed</w:t>
            </w:r>
            <w:r w:rsidR="006E2608" w:rsidRPr="00CA4ABC">
              <w:rPr>
                <w:rFonts w:cstheme="minorHAnsi"/>
                <w:color w:val="000000" w:themeColor="text1"/>
                <w:sz w:val="20"/>
                <w:szCs w:val="20"/>
              </w:rPr>
              <w:t xml:space="preserve"> so feet are flat on the floor. Wide hand grip used </w:t>
            </w:r>
            <w:r w:rsidR="002B6E6D" w:rsidRPr="00CA4ABC">
              <w:rPr>
                <w:rFonts w:cstheme="minorHAnsi"/>
                <w:color w:val="000000" w:themeColor="text1"/>
                <w:sz w:val="20"/>
                <w:szCs w:val="20"/>
              </w:rPr>
              <w:t xml:space="preserve">and </w:t>
            </w:r>
            <w:r w:rsidR="006E2608" w:rsidRPr="00CA4ABC">
              <w:rPr>
                <w:rFonts w:cstheme="minorHAnsi"/>
                <w:color w:val="000000" w:themeColor="text1"/>
                <w:sz w:val="20"/>
                <w:szCs w:val="20"/>
              </w:rPr>
              <w:t>participant</w:t>
            </w:r>
            <w:r w:rsidR="002B6E6D" w:rsidRPr="00CA4ABC">
              <w:rPr>
                <w:rFonts w:cstheme="minorHAnsi"/>
                <w:color w:val="000000" w:themeColor="text1"/>
                <w:sz w:val="20"/>
                <w:szCs w:val="20"/>
              </w:rPr>
              <w:t>s</w:t>
            </w:r>
            <w:r w:rsidR="006E2608" w:rsidRPr="00CA4ABC">
              <w:rPr>
                <w:rFonts w:cstheme="minorHAnsi"/>
                <w:color w:val="000000" w:themeColor="text1"/>
                <w:sz w:val="20"/>
                <w:szCs w:val="20"/>
              </w:rPr>
              <w:t xml:space="preserve"> should lean back slightly. Arms start fully extended and the bar is pulled down to just below chin level before release and re</w:t>
            </w:r>
            <w:r w:rsidR="00343975" w:rsidRPr="00CA4ABC">
              <w:rPr>
                <w:rFonts w:cstheme="minorHAnsi"/>
                <w:color w:val="000000" w:themeColor="text1"/>
                <w:sz w:val="20"/>
                <w:szCs w:val="20"/>
              </w:rPr>
              <w:t>-</w:t>
            </w:r>
            <w:r w:rsidR="006E2608" w:rsidRPr="00CA4ABC">
              <w:rPr>
                <w:rFonts w:cstheme="minorHAnsi"/>
                <w:color w:val="000000" w:themeColor="text1"/>
                <w:sz w:val="20"/>
                <w:szCs w:val="20"/>
              </w:rPr>
              <w:t xml:space="preserve">straightening of arms.  </w:t>
            </w:r>
            <w:r w:rsidR="00077A42">
              <w:rPr>
                <w:rFonts w:cstheme="minorHAnsi"/>
                <w:color w:val="000000" w:themeColor="text1"/>
                <w:sz w:val="20"/>
                <w:szCs w:val="20"/>
              </w:rPr>
              <w:t>Used to gather additional information about upper body strength, alongside hand grip.</w:t>
            </w:r>
          </w:p>
        </w:tc>
      </w:tr>
      <w:tr w:rsidR="00207DEF" w:rsidRPr="00CA4ABC" w14:paraId="7EB6DF02" w14:textId="77777777" w:rsidTr="00297538">
        <w:trPr>
          <w:trHeight w:val="1060"/>
        </w:trPr>
        <w:tc>
          <w:tcPr>
            <w:tcW w:w="3545" w:type="dxa"/>
            <w:vMerge/>
          </w:tcPr>
          <w:p w14:paraId="1732DC6E" w14:textId="77777777" w:rsidR="00207DEF" w:rsidRPr="00CA4ABC" w:rsidRDefault="00207DEF" w:rsidP="003E5862">
            <w:pPr>
              <w:spacing w:line="360" w:lineRule="auto"/>
              <w:rPr>
                <w:rFonts w:cstheme="minorHAnsi"/>
                <w:color w:val="000000" w:themeColor="text1"/>
                <w:sz w:val="20"/>
                <w:szCs w:val="20"/>
              </w:rPr>
            </w:pPr>
          </w:p>
        </w:tc>
        <w:tc>
          <w:tcPr>
            <w:tcW w:w="2554" w:type="dxa"/>
          </w:tcPr>
          <w:p w14:paraId="153F31EB" w14:textId="23EF12A4"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Sit to stand</w:t>
            </w:r>
            <w:r w:rsidR="00AD2CA1" w:rsidRPr="00CA4ABC">
              <w:rPr>
                <w:rFonts w:cstheme="minorHAnsi"/>
                <w:color w:val="000000" w:themeColor="text1"/>
                <w:sz w:val="20"/>
                <w:szCs w:val="20"/>
              </w:rPr>
              <w:t xml:space="preserve"> (rep number)</w:t>
            </w:r>
          </w:p>
        </w:tc>
        <w:tc>
          <w:tcPr>
            <w:tcW w:w="9636" w:type="dxa"/>
          </w:tcPr>
          <w:p w14:paraId="346AC290" w14:textId="336A5090" w:rsidR="00207DEF" w:rsidRPr="00CA4ABC" w:rsidRDefault="00207DEF" w:rsidP="003E5862">
            <w:pPr>
              <w:spacing w:line="360" w:lineRule="auto"/>
              <w:rPr>
                <w:rFonts w:cstheme="minorHAnsi"/>
                <w:color w:val="000000" w:themeColor="text1"/>
                <w:sz w:val="20"/>
                <w:szCs w:val="20"/>
              </w:rPr>
            </w:pPr>
            <w:r w:rsidRPr="00CA4ABC">
              <w:rPr>
                <w:rFonts w:cstheme="minorHAnsi"/>
                <w:color w:val="000000" w:themeColor="text1"/>
                <w:sz w:val="20"/>
                <w:szCs w:val="20"/>
              </w:rPr>
              <w:t>A record of the time to do 5 reps and reps in 30 seconds will be taken.</w:t>
            </w:r>
            <w:r w:rsidR="00077A42">
              <w:rPr>
                <w:rFonts w:cstheme="minorHAnsi"/>
                <w:color w:val="000000" w:themeColor="text1"/>
                <w:sz w:val="20"/>
                <w:szCs w:val="20"/>
              </w:rPr>
              <w:t xml:space="preserve"> Poor performance in the sit to stand test </w:t>
            </w:r>
            <w:r w:rsidR="00C71174">
              <w:rPr>
                <w:rFonts w:cstheme="minorHAnsi"/>
                <w:color w:val="000000" w:themeColor="text1"/>
                <w:sz w:val="20"/>
                <w:szCs w:val="20"/>
              </w:rPr>
              <w:t xml:space="preserve">can indicate lower leg strength </w:t>
            </w:r>
            <w:r w:rsidR="00C71174">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{"citationItems":[{"id":"ITEM-1","itemData":{"DOI":"10.1002/jcsm.12660","ISSN":"21906009","PMID":"33463015","abstract":"Background: Poor performance in the 5-chair stand test (5-CST) indicates reduced lower limb muscle strength. The 5-CST has been recommended for use in the initial assessment of sarcopenia, the accelerated loss of muscle strength and mass. In order to facilitate the use of the 5-CST in sarcopenia assessment, our aims were to (i) describe the prevalence and factors associated with poor performance in the 5-CST, (ii) examine the relationship between the 5-CST and gait speed, and (iii) propose a protocol for using the 5-CST. Methods: The population-based study Cognitive Function and Ageing Study II recruited people aged 65 years and over from defined geographical localities in Cambridgeshire, Newcastle, and Nottingham. The study collected data for assessment of functional ability during home visits, including the 5-CST and gait speed. We used multinomial logistic regression to assess the associations between factors including the SARC-F questionnaire and the category of 5-CST performance: fast (&lt;12 s), intermediate (12–15 s), slow (&gt;15 s), or unable, with slow/unable classed as poor performance. We reviewed previous studies on the protocol used to carry out the 5-CST. Results: A total of 7190 participants aged 65+ from the three diverse localities of Cognitive Function and Ageing Study II were included (54.1% female). The proportion of those with poor performance in the 5-CST increased with age, from 34.3% at age 65–69 to 89.7% at age 90+. Factors independently associated with poor performance included positive responses to the SARC-F questionnaire, physical inactivity, depression, impaired cognition, and multimorbidity (all P &lt; 0.005). Most people with poor performance also had slow gait speed (57.8%) or were unable to complete the gait speed test (18.4%). We found variation in the 5-CST protocol used, for example, timing until a participant stood up for the fifth time or until they sat down afterwards. Conclusions: Poor performance in the 5-CST is increasingly common with age and is associated with a cluster of other factors that characterize risk for poor ageing such as physical inactivity, impaired cognition, and multimorbidity. We recommend a low threshold for performing the 5-CST in clinical settings and provide a protocol for its use.","author":[{"dropping-particle":"","family":"Dodds","given":"Richard Matthew","non-dropping-particle":"","parse-names":false,"suffix":""},{"dropping-particle":"","family":"Murray","given":"James C.","non-dropping-particle":"","parse-names":false,"suffix":""},{"dropping-particle":"","family":"Granic","given":"Antoneta","non-dropping-particle":"","parse-names":false,"suffix":""},{"dropping-particle":"","family":"Hurst","given":"Christopher","non-dropping-particle":"","parse-names":false,"suffix":""},{"dropping-particle":"","family":"Uwimpuhwe","given":"Germaine","non-dropping-particle":"","parse-names":false,"suffix":""},{"dropping-particle":"","family":"Richardson","given":"Sarah","non-dropping-particle":"","parse-names":false,"suffix":""},{"dropping-particle":"","family":"Brayne","given":"Carol","non-dropping-particle":"","parse-names":false,"suffix":""},{"dropping-particle":"","family":"Matthews","given":"Fiona E.","non-dropping-particle":"","parse-names":false,"suffix":""},{"dropping-particle":"","family":"Sayer","given":"Avan A.","non-dropping-particle":"","parse-names":false,"suffix":""},{"dropping-particle":"","family":"Arthur","given":"A.","non-dropping-particle":"","parse-names":false,"suffix":""},{"dropping-particle":"","family":"Baldwin","given":"C.","non-dropping-particle":"","parse-names":false,"suffix":""},{"dropping-particle":"","family":"Barnes","given":"L. E.","non-dropping-particle":"","parse-names":false,"suffix":""},{"dropping-particle":"","family":"Brayne","given":"C.","non-dropping-particle":"","parse-names":false,"suffix":""},{"dropping-particle":"","family":"Comas-Herrera","given":"A.","non-dropping-particle":"","parse-names":false,"suffix":""},{"dropping-particle":"","family":"Dening","given":"T.","non-dropping-particle":"","parse-names":false,"suffix":""},{"dropping-particle":"","family":"Forster","given":"G.","non-dropping-particle":"","parse-names":false,"suffix":""},{"dropping-particle":"","family":"Harrison","given":"S.","non-dropping-particle":"","parse-names":false,"suffix":""},{"dropping-particle":"","family":"Ince","given":"P. G.","non-dropping-particle":"","parse-names":false,"suffix":""},{"dropping-particle":"","family":"Jagger","given":"C.","non-dropping-particle":"","parse-names":false,"suffix":""},{"dropping-particle":"","family":"McKeith","given":"I. G.","non-dropping-particle":"","parse-names":false,"suffix":""},{"dropping-particle":"","family":"Parry","given":"B.","non-dropping-particle":"","parse-names":false,"suffix":""},{"dropping-particle":"","family":"Pickett","given":"J.","non-dropping-particle":"","parse-names":false,"suffix":""},{"dropping-particle":"","family":"Robinson","given":"L.","non-dropping-particle":"","parse-names":false,"suffix":""},{"dropping-particle":"","family":"Stephan","given":"B. C.M.","non-dropping-particle":"","parse-names":false,"suffix":""},{"dropping-particle":"","family":"Wharton","given":"S.","non-dropping-particle":"","parse-names":false,"suffix":""},{"dropping-particle":"","family":"Wittenberg","given":"R.","non-dropping-particle":"","parse-names":false,"suffix":""},{"dropping-particle":"","family":"Woods","given":"B.","non-dropping-particle":"","parse-names":false,"suffix":""}],"container-title":"Journal of Cachexia, Sarcopenia and Muscle","id":"ITEM-1","issue":"2","issued":{"date-parts":[["2021"]]},"page":"308-318","title":"Prevalence and factors associated with poor performance in the 5-chair stand test: findings from the Cognitive Function and Ageing Study II and proposed Newcastle protocol for use in the assessment of sarcopenia","type":"article-journal","volume":"12"},"uris":["http://www.mendeley.com/documents/?uuid=d17b4ad0-29af-4859-878e-46ac8eba0207"]}],"mendeley":{"formattedCitation":"(341)","plainTextFormattedCitation":"(341)","previouslyFormattedCitation":"(340)"},"properties":{"noteIndex":0},"schema":"https://github.com/citation-style-language/schema/raw/master/csl-citation.json"}</w:instrText>
            </w:r>
            <w:r w:rsidR="00C71174">
              <w:rPr>
                <w:rFonts w:cstheme="minorHAnsi"/>
                <w:color w:val="000000" w:themeColor="text1"/>
                <w:sz w:val="20"/>
                <w:szCs w:val="20"/>
              </w:rPr>
              <w:fldChar w:fldCharType="separate"/>
            </w:r>
            <w:r w:rsidR="00821D82" w:rsidRPr="00821D82">
              <w:rPr>
                <w:rFonts w:cstheme="minorHAnsi"/>
                <w:noProof/>
                <w:color w:val="000000" w:themeColor="text1"/>
                <w:sz w:val="20"/>
                <w:szCs w:val="20"/>
              </w:rPr>
              <w:t>(341)</w:t>
            </w:r>
            <w:r w:rsidR="00C71174">
              <w:rPr>
                <w:rFonts w:cstheme="minorHAnsi"/>
                <w:color w:val="000000" w:themeColor="text1"/>
                <w:sz w:val="20"/>
                <w:szCs w:val="20"/>
              </w:rPr>
              <w:fldChar w:fldCharType="end"/>
            </w:r>
            <w:r w:rsidR="00C71174">
              <w:rPr>
                <w:rFonts w:cstheme="minorHAnsi"/>
                <w:color w:val="000000" w:themeColor="text1"/>
                <w:sz w:val="20"/>
                <w:szCs w:val="20"/>
              </w:rPr>
              <w:t xml:space="preserve"> and thus links to the primary outcome measurement.</w:t>
            </w:r>
          </w:p>
        </w:tc>
      </w:tr>
      <w:tr w:rsidR="00A04A12" w:rsidRPr="00CA4ABC" w14:paraId="60AC6B36" w14:textId="77777777" w:rsidTr="00297538">
        <w:trPr>
          <w:trHeight w:val="1060"/>
        </w:trPr>
        <w:tc>
          <w:tcPr>
            <w:tcW w:w="3545" w:type="dxa"/>
          </w:tcPr>
          <w:p w14:paraId="3561D9F5" w14:textId="347264EB" w:rsidR="00A04A12" w:rsidRPr="00CA4ABC" w:rsidRDefault="00A04A12" w:rsidP="00A04A12">
            <w:pPr>
              <w:spacing w:line="360" w:lineRule="auto"/>
              <w:rPr>
                <w:rFonts w:cstheme="minorHAnsi"/>
                <w:color w:val="000000" w:themeColor="text1"/>
                <w:sz w:val="20"/>
                <w:szCs w:val="20"/>
              </w:rPr>
            </w:pPr>
            <w:r>
              <w:rPr>
                <w:rFonts w:cstheme="minorHAnsi"/>
                <w:color w:val="000000" w:themeColor="text1"/>
                <w:sz w:val="20"/>
                <w:szCs w:val="20"/>
              </w:rPr>
              <w:t>Balance</w:t>
            </w:r>
          </w:p>
        </w:tc>
        <w:tc>
          <w:tcPr>
            <w:tcW w:w="2554" w:type="dxa"/>
          </w:tcPr>
          <w:p w14:paraId="05F35B0F" w14:textId="14389B84" w:rsidR="00A04A12" w:rsidRPr="00CA4ABC" w:rsidRDefault="00A04A12" w:rsidP="00A04A12">
            <w:pPr>
              <w:spacing w:line="360" w:lineRule="auto"/>
              <w:rPr>
                <w:rFonts w:cstheme="minorHAnsi"/>
                <w:color w:val="000000" w:themeColor="text1"/>
                <w:sz w:val="20"/>
                <w:szCs w:val="20"/>
              </w:rPr>
            </w:pPr>
            <w:r>
              <w:rPr>
                <w:rFonts w:cstheme="minorHAnsi"/>
                <w:color w:val="000000" w:themeColor="text1"/>
                <w:sz w:val="20"/>
                <w:szCs w:val="20"/>
              </w:rPr>
              <w:t>C</w:t>
            </w:r>
            <w:r w:rsidRPr="00CA4ABC">
              <w:rPr>
                <w:rFonts w:cstheme="minorHAnsi"/>
                <w:color w:val="000000" w:themeColor="text1"/>
                <w:sz w:val="20"/>
                <w:szCs w:val="20"/>
              </w:rPr>
              <w:t>entre of pressure</w:t>
            </w:r>
            <w:r w:rsidR="00715255">
              <w:rPr>
                <w:rFonts w:cstheme="minorHAnsi"/>
                <w:color w:val="000000" w:themeColor="text1"/>
                <w:sz w:val="20"/>
                <w:szCs w:val="20"/>
              </w:rPr>
              <w:t xml:space="preserve"> (</w:t>
            </w:r>
            <w:r w:rsidRPr="00CA4ABC">
              <w:rPr>
                <w:rFonts w:cstheme="minorHAnsi"/>
                <w:color w:val="000000" w:themeColor="text1"/>
                <w:sz w:val="20"/>
                <w:szCs w:val="20"/>
              </w:rPr>
              <w:t>COP)</w:t>
            </w:r>
          </w:p>
        </w:tc>
        <w:tc>
          <w:tcPr>
            <w:tcW w:w="9636" w:type="dxa"/>
          </w:tcPr>
          <w:p w14:paraId="63F8F3C3" w14:textId="6FE2B6EB"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AMTI AccuGait-Optimised force plate. Measurements of centre pressure and track deviation will be taken.</w:t>
            </w:r>
            <w:r w:rsidR="009A2241">
              <w:rPr>
                <w:rFonts w:cstheme="minorHAnsi"/>
                <w:color w:val="000000" w:themeColor="text1"/>
                <w:sz w:val="20"/>
                <w:szCs w:val="20"/>
              </w:rPr>
              <w:t xml:space="preserve"> Balance has been linked to mortality risk </w:t>
            </w:r>
            <w:r w:rsidR="009A2241">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{"citationItems":[{"id":"ITEM-1","itemData":{"DOI":"10.1001/jamaoto.2021.0057","ISSN":"21686181","PMID":"33704356","abstract":"Importance: Difficulty maintaining balance is common among individuals aged 40 years or older and increases the risk of falls. However, little is known about the association of balance function with long-term mortality outcomes in adults. Objective: To investigate the association of balance function with all-cause and cause-specific mortality among US adults. Design, Setting, and Participants: A prospective, population-based cohort study of a nationally representative sample of 5816 adults (weighted population, 92260641) from the US National Health and Nutrition Examination Survey was conducted from 1999 to 2004. Individuals aged 40 years or older who completed the modified Romberg Test of Standing Balance on Firm and Compliant Support Surfaces were included. Participants were linked to mortality data from the test date through December 31, 2015. Data analysis was conducted from February 1 to June 1, 2020. Exposures: The modified Romberg Test of Standing Balance on Firm and Compliant Support Surfaces was used to measure balance function and define balance disorder according to sensory input. Main Outcomes and Measures: Mortality associated with all causes, cardiovascular disease (CVD), and cancer. Results: A total of 5816 adults (weighted mean [SE] age, 53.6 [0.2] years; 2897 [49.8%] women) were included in this cohort study. During up to 16.8 years of follow-up (median, 12.5 years; 68919 person-years), 1530 deaths occurred, including 342 associated with CVD and 364 associated with cancer. Participants with balance disorder were at a higher risk of death from all causes, CVD, and cancer. After adjusting for sociodemographic characteristics, lifestyle factors, and chronic conditions, the hazard ratios (HRs) among participants with balance disorder compared with those without balance disorder were 1.44 (95% CI, 1.23-1.69) for all-cause mortality, 1.65 (95% CI, 1.17-2.31) for CVD mortality, and 1.37 (95% CI, 1.03-1.83) for cancer mortality. Furthermore, vestibular balance disorder was associated with increased mortality from all causes (HR, 1.31; 95% CI, 1.08-1.58), CVD (HR, 1.59; 95% CI, 1.12-2.27), and cancer (HR, 1.39; 95% CI, 1.04-1.86). Conclusions and Relevance: In this nationally representative sample of US adults, balance disorder was associated with an increased risk of all-cause, CVD, and cancer mortality. Further studies are needed to confirm these findings and evaluate whether the observed associations represent a causal biological phenomenon a…","author":[{"dropping-particle":"","family":"Cao","given":"Chao","non-dropping-particle":"","parse-names":false,"suffix":""},{"dropping-particle":"","family":"Cade","given":"W. Todd","non-dropping-particle":"","parse-names":false,"suffix":""},{"dropping-particle":"","family":"Li","given":"Shengxu","non-dropping-particle":"","parse-names":false,"suffix":""},{"dropping-particle":"","family":"McMillan","given":"Jacqueline","non-dropping-particle":"","parse-names":false,"suffix":""},{"dropping-particle":"","family":"Friedenreich","given":"Christine","non-dropping-particle":"","parse-names":false,"suffix":""},{"dropping-particle":"","family":"Yang","given":"Lin","non-dropping-particle":"","parse-names":false,"suffix":""}],"container-title":"JAMA Otolaryngology - Head and Neck Surgery","id":"ITEM-1","issue":"5","issued":{"date-parts":[["2021"]]},"page":"460-468","title":"Association of Balance Function with All-Cause and Cause-Specific Mortality among US Adults","type":"article-journal","volume":"147"},"uris":["http://www.mendeley.com/documents/?uuid=8d57cc49-4851-4aae-8c7b-9072f9809f48"]}],"mendeley":{"formattedCitation":"(342)","plainTextFormattedCitation":"(342)","previouslyFormattedCitation":"(341)"},"properties":{"noteIndex":0},"schema":"https://github.com/citation-style-language/schema/raw/master/csl-citation.json"}</w:instrText>
            </w:r>
            <w:r w:rsidR="009A2241">
              <w:rPr>
                <w:rFonts w:cstheme="minorHAnsi"/>
                <w:color w:val="000000" w:themeColor="text1"/>
                <w:sz w:val="20"/>
                <w:szCs w:val="20"/>
              </w:rPr>
              <w:fldChar w:fldCharType="separate"/>
            </w:r>
            <w:r w:rsidR="00821D82" w:rsidRPr="00821D82">
              <w:rPr>
                <w:rFonts w:cstheme="minorHAnsi"/>
                <w:noProof/>
                <w:color w:val="000000" w:themeColor="text1"/>
                <w:sz w:val="20"/>
                <w:szCs w:val="20"/>
              </w:rPr>
              <w:t>(342)</w:t>
            </w:r>
            <w:r w:rsidR="009A2241">
              <w:rPr>
                <w:rFonts w:cstheme="minorHAnsi"/>
                <w:color w:val="000000" w:themeColor="text1"/>
                <w:sz w:val="20"/>
                <w:szCs w:val="20"/>
              </w:rPr>
              <w:fldChar w:fldCharType="end"/>
            </w:r>
            <w:r w:rsidR="00077A42">
              <w:rPr>
                <w:rFonts w:cstheme="minorHAnsi"/>
                <w:color w:val="000000" w:themeColor="text1"/>
                <w:sz w:val="20"/>
                <w:szCs w:val="20"/>
              </w:rPr>
              <w:t>.</w:t>
            </w:r>
          </w:p>
        </w:tc>
      </w:tr>
      <w:tr w:rsidR="00A04A12" w:rsidRPr="00CA4ABC" w14:paraId="2994631E" w14:textId="77777777" w:rsidTr="00297538">
        <w:trPr>
          <w:trHeight w:val="142"/>
        </w:trPr>
        <w:tc>
          <w:tcPr>
            <w:tcW w:w="3545" w:type="dxa"/>
            <w:vMerge w:val="restart"/>
          </w:tcPr>
          <w:p w14:paraId="4DC1B6A7" w14:textId="77777777" w:rsidR="00A04A12"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Other</w:t>
            </w:r>
            <w:r>
              <w:rPr>
                <w:rFonts w:cstheme="minorHAnsi"/>
                <w:color w:val="000000" w:themeColor="text1"/>
                <w:sz w:val="20"/>
                <w:szCs w:val="20"/>
              </w:rPr>
              <w:t xml:space="preserve">. </w:t>
            </w:r>
          </w:p>
          <w:p w14:paraId="7DB0739C" w14:textId="1B88F931" w:rsidR="00A04A12" w:rsidRPr="00CA4ABC" w:rsidRDefault="00A04A12" w:rsidP="00A04A12">
            <w:pPr>
              <w:spacing w:line="360" w:lineRule="auto"/>
              <w:rPr>
                <w:rFonts w:cstheme="minorHAnsi"/>
                <w:color w:val="000000" w:themeColor="text1"/>
                <w:sz w:val="20"/>
                <w:szCs w:val="20"/>
              </w:rPr>
            </w:pPr>
            <w:r>
              <w:rPr>
                <w:rFonts w:cstheme="minorHAnsi"/>
                <w:color w:val="000000" w:themeColor="text1"/>
                <w:sz w:val="20"/>
                <w:szCs w:val="20"/>
              </w:rPr>
              <w:t>Measurements selected to understand the impact of the intervention on daily life and activity, rather than clinical outcomes.</w:t>
            </w:r>
          </w:p>
        </w:tc>
        <w:tc>
          <w:tcPr>
            <w:tcW w:w="2554" w:type="dxa"/>
          </w:tcPr>
          <w:p w14:paraId="75502C4B" w14:textId="0960DBEB"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Vertical jump (cm)</w:t>
            </w:r>
          </w:p>
        </w:tc>
        <w:tc>
          <w:tcPr>
            <w:tcW w:w="9636" w:type="dxa"/>
          </w:tcPr>
          <w:p w14:paraId="1FC02692" w14:textId="63E17BDE"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 xml:space="preserve">AMTI AccuPower-Optimised force plate. </w:t>
            </w:r>
            <w:r w:rsidRPr="00CA4ABC">
              <w:rPr>
                <w:rFonts w:cstheme="minorHAnsi"/>
                <w:color w:val="000000" w:themeColor="text1"/>
                <w:sz w:val="20"/>
                <w:szCs w:val="20"/>
                <w:shd w:val="clear" w:color="auto" w:fill="FFFFFF"/>
              </w:rPr>
              <w:t>The participant will stand on the force plate, with weight evenly distributed over both feet and when ready jump as high as possible using both arms and legs to assist in projecting the body upwards. Six separate maximum-effort vertical jumps will be taken, with 10 seconds of rest between each.</w:t>
            </w:r>
          </w:p>
        </w:tc>
      </w:tr>
      <w:tr w:rsidR="00A04A12" w:rsidRPr="00CA4ABC" w14:paraId="767B9E75" w14:textId="77777777" w:rsidTr="00297538">
        <w:trPr>
          <w:trHeight w:val="142"/>
        </w:trPr>
        <w:tc>
          <w:tcPr>
            <w:tcW w:w="3545" w:type="dxa"/>
            <w:vMerge/>
          </w:tcPr>
          <w:p w14:paraId="3C94B82B" w14:textId="77777777" w:rsidR="00A04A12" w:rsidRPr="00CA4ABC" w:rsidRDefault="00A04A12" w:rsidP="00A04A12">
            <w:pPr>
              <w:spacing w:line="360" w:lineRule="auto"/>
              <w:rPr>
                <w:rFonts w:cstheme="minorHAnsi"/>
                <w:color w:val="000000" w:themeColor="text1"/>
                <w:sz w:val="20"/>
                <w:szCs w:val="20"/>
              </w:rPr>
            </w:pPr>
          </w:p>
        </w:tc>
        <w:tc>
          <w:tcPr>
            <w:tcW w:w="2554" w:type="dxa"/>
          </w:tcPr>
          <w:p w14:paraId="306A20C4" w14:textId="0E5727F8"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Flexibility (cm)</w:t>
            </w:r>
          </w:p>
        </w:tc>
        <w:tc>
          <w:tcPr>
            <w:tcW w:w="9636" w:type="dxa"/>
          </w:tcPr>
          <w:p w14:paraId="7277BC31" w14:textId="58EC9C94"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 xml:space="preserve">Sit and reach test </w:t>
            </w:r>
            <w:r w:rsidRPr="00CA4ABC">
              <w:rPr>
                <w:rFonts w:eastAsia="Times New Roman" w:cstheme="minorHAnsi"/>
                <w:color w:val="000000" w:themeColor="text1"/>
                <w:sz w:val="20"/>
                <w:szCs w:val="20"/>
                <w:lang w:eastAsia="en-GB"/>
              </w:rPr>
              <w:t>(Eveque box, 57cm x 37cm, SKU: 100389).</w:t>
            </w:r>
          </w:p>
        </w:tc>
      </w:tr>
      <w:tr w:rsidR="00A04A12" w:rsidRPr="00CA4ABC" w14:paraId="0EB96106" w14:textId="77777777" w:rsidTr="00297538">
        <w:trPr>
          <w:trHeight w:val="142"/>
        </w:trPr>
        <w:tc>
          <w:tcPr>
            <w:tcW w:w="3545" w:type="dxa"/>
            <w:vMerge/>
          </w:tcPr>
          <w:p w14:paraId="09CC9D21" w14:textId="77777777" w:rsidR="00A04A12" w:rsidRPr="00CA4ABC" w:rsidRDefault="00A04A12" w:rsidP="00A04A12">
            <w:pPr>
              <w:spacing w:line="360" w:lineRule="auto"/>
              <w:rPr>
                <w:rFonts w:cstheme="minorHAnsi"/>
                <w:color w:val="000000" w:themeColor="text1"/>
                <w:sz w:val="20"/>
                <w:szCs w:val="20"/>
              </w:rPr>
            </w:pPr>
          </w:p>
        </w:tc>
        <w:tc>
          <w:tcPr>
            <w:tcW w:w="2554" w:type="dxa"/>
          </w:tcPr>
          <w:p w14:paraId="09B4A254" w14:textId="142679A5"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Quality of Life score</w:t>
            </w:r>
          </w:p>
        </w:tc>
        <w:tc>
          <w:tcPr>
            <w:tcW w:w="9636" w:type="dxa"/>
          </w:tcPr>
          <w:p w14:paraId="71C431DA" w14:textId="2695C80F" w:rsidR="00A04A12" w:rsidRPr="00CA4ABC" w:rsidRDefault="00A04A12" w:rsidP="00A04A12">
            <w:pPr>
              <w:spacing w:line="360" w:lineRule="auto"/>
              <w:rPr>
                <w:rFonts w:cstheme="minorHAnsi"/>
                <w:color w:val="000000" w:themeColor="text1"/>
                <w:sz w:val="20"/>
                <w:szCs w:val="20"/>
              </w:rPr>
            </w:pPr>
            <w:r w:rsidRPr="00CA4ABC">
              <w:rPr>
                <w:rFonts w:cstheme="minorHAnsi"/>
                <w:color w:val="212121"/>
                <w:sz w:val="20"/>
                <w:szCs w:val="20"/>
                <w:shd w:val="clear" w:color="auto" w:fill="FFFFFF"/>
              </w:rPr>
              <w:t xml:space="preserve">The 36-Item Short Form Health Survey (SF-36) questionnaire </w:t>
            </w:r>
            <w:r w:rsidRPr="00CA4ABC">
              <w:rPr>
                <w:rFonts w:cstheme="minorHAnsi"/>
                <w:color w:val="212121"/>
                <w:sz w:val="20"/>
                <w:szCs w:val="20"/>
                <w:shd w:val="clear" w:color="auto" w:fill="FFFFFF"/>
              </w:rPr>
              <w:fldChar w:fldCharType="begin" w:fldLock="1"/>
            </w:r>
            <w:r w:rsidR="00821D82">
              <w:rPr>
                <w:rFonts w:cstheme="minorHAnsi"/>
                <w:color w:val="212121"/>
                <w:sz w:val="20"/>
                <w:szCs w:val="20"/>
                <w:shd w:val="clear" w:color="auto" w:fill="FFFFFF"/>
              </w:rPr>
              <w:instrText>ADDIN CSL_CITATION {"citationItems":[{"id":"ITEM-1","itemData":{"URL":"https://www.jstor.org/stable/3765916","accessed":{"date-parts":[["2023","2","10"]]},"id":"ITEM-1","issued":{"date-parts":[["0"]]},"title":"The MOS 36-Item Short-Form Health Survey (SF-36): I. Conceptual Framework and Item Selection on JSTOR","type":"webpage"},"uris":["http://www.mendeley.com/documents/?uuid=e4ba396c-db97-31b4-998b-ed859ce74125"]}],"mendeley":{"formattedCitation":"(343)","plainTextFormattedCitation":"(343)","previouslyFormattedCitation":"(342)"},"properties":{"noteIndex":0},"schema":"https://github.com/citation-style-language/schema/raw/master/csl-citation.json"}</w:instrText>
            </w:r>
            <w:r w:rsidRPr="00CA4ABC">
              <w:rPr>
                <w:rFonts w:cstheme="minorHAnsi"/>
                <w:color w:val="212121"/>
                <w:sz w:val="20"/>
                <w:szCs w:val="20"/>
                <w:shd w:val="clear" w:color="auto" w:fill="FFFFFF"/>
              </w:rPr>
              <w:fldChar w:fldCharType="separate"/>
            </w:r>
            <w:r w:rsidR="00821D82" w:rsidRPr="00821D82">
              <w:rPr>
                <w:rFonts w:cstheme="minorHAnsi"/>
                <w:noProof/>
                <w:color w:val="212121"/>
                <w:sz w:val="20"/>
                <w:szCs w:val="20"/>
                <w:shd w:val="clear" w:color="auto" w:fill="FFFFFF"/>
              </w:rPr>
              <w:t>(343)</w:t>
            </w:r>
            <w:r w:rsidRPr="00CA4ABC">
              <w:rPr>
                <w:rFonts w:cstheme="minorHAnsi"/>
                <w:color w:val="212121"/>
                <w:sz w:val="20"/>
                <w:szCs w:val="20"/>
                <w:shd w:val="clear" w:color="auto" w:fill="FFFFFF"/>
              </w:rPr>
              <w:fldChar w:fldCharType="end"/>
            </w:r>
            <w:r w:rsidRPr="00CA4ABC">
              <w:rPr>
                <w:rFonts w:cstheme="minorHAnsi"/>
                <w:color w:val="212121"/>
                <w:sz w:val="20"/>
                <w:szCs w:val="20"/>
                <w:shd w:val="clear" w:color="auto" w:fill="FFFFFF"/>
              </w:rPr>
              <w:t>.</w:t>
            </w:r>
          </w:p>
        </w:tc>
      </w:tr>
      <w:tr w:rsidR="00A04A12" w:rsidRPr="00CA4ABC" w14:paraId="14EA5B72" w14:textId="77777777" w:rsidTr="00297538">
        <w:trPr>
          <w:trHeight w:val="142"/>
        </w:trPr>
        <w:tc>
          <w:tcPr>
            <w:tcW w:w="3545" w:type="dxa"/>
            <w:vMerge/>
          </w:tcPr>
          <w:p w14:paraId="07079D69" w14:textId="77777777" w:rsidR="00A04A12" w:rsidRPr="00CA4ABC" w:rsidRDefault="00A04A12" w:rsidP="00A04A12">
            <w:pPr>
              <w:spacing w:line="360" w:lineRule="auto"/>
              <w:rPr>
                <w:rFonts w:cstheme="minorHAnsi"/>
                <w:color w:val="000000" w:themeColor="text1"/>
                <w:sz w:val="20"/>
                <w:szCs w:val="20"/>
              </w:rPr>
            </w:pPr>
          </w:p>
        </w:tc>
        <w:tc>
          <w:tcPr>
            <w:tcW w:w="2554" w:type="dxa"/>
          </w:tcPr>
          <w:p w14:paraId="4A2E6D28" w14:textId="67A69BF3"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24-hour pass food and drink intake recalls.</w:t>
            </w:r>
          </w:p>
        </w:tc>
        <w:tc>
          <w:tcPr>
            <w:tcW w:w="9636" w:type="dxa"/>
          </w:tcPr>
          <w:p w14:paraId="721E7138" w14:textId="2BC21849"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 xml:space="preserve">Intake24 software, available online: </w:t>
            </w:r>
            <w:hyperlink r:id="rId57" w:history="1">
              <w:r w:rsidRPr="00CA4ABC">
                <w:rPr>
                  <w:rStyle w:val="Hyperlink"/>
                  <w:rFonts w:cstheme="minorHAnsi"/>
                  <w:sz w:val="20"/>
                  <w:szCs w:val="20"/>
                </w:rPr>
                <w:t>https://intake24.co.uk/</w:t>
              </w:r>
            </w:hyperlink>
            <w:r w:rsidRPr="00CA4ABC">
              <w:rPr>
                <w:rFonts w:cstheme="minorHAnsi"/>
                <w:color w:val="000000" w:themeColor="text1"/>
                <w:sz w:val="20"/>
                <w:szCs w:val="20"/>
              </w:rPr>
              <w:t>.  3 recalls, at each data collection point, will be requested</w:t>
            </w:r>
          </w:p>
        </w:tc>
      </w:tr>
      <w:tr w:rsidR="00A04A12" w:rsidRPr="00CA4ABC" w14:paraId="19D10249" w14:textId="77777777" w:rsidTr="00297538">
        <w:trPr>
          <w:trHeight w:val="142"/>
        </w:trPr>
        <w:tc>
          <w:tcPr>
            <w:tcW w:w="3545" w:type="dxa"/>
            <w:vMerge/>
          </w:tcPr>
          <w:p w14:paraId="7965CD4A" w14:textId="77777777" w:rsidR="00A04A12" w:rsidRPr="00CA4ABC" w:rsidRDefault="00A04A12" w:rsidP="00A04A12">
            <w:pPr>
              <w:spacing w:line="360" w:lineRule="auto"/>
              <w:rPr>
                <w:rFonts w:cstheme="minorHAnsi"/>
                <w:color w:val="000000" w:themeColor="text1"/>
                <w:sz w:val="20"/>
                <w:szCs w:val="20"/>
              </w:rPr>
            </w:pPr>
          </w:p>
        </w:tc>
        <w:tc>
          <w:tcPr>
            <w:tcW w:w="2554" w:type="dxa"/>
          </w:tcPr>
          <w:p w14:paraId="518187C4" w14:textId="15688AB9"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Appetite questionnaire</w:t>
            </w:r>
          </w:p>
        </w:tc>
        <w:tc>
          <w:tcPr>
            <w:tcW w:w="9636" w:type="dxa"/>
          </w:tcPr>
          <w:p w14:paraId="71425C04" w14:textId="6C236D7A"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 xml:space="preserve">Visual analogue scale questionnaire. Flint, 2000 </w:t>
            </w:r>
            <w:r w:rsidRPr="00CA4ABC">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{"citationItems":[{"id":"ITEM-1","itemData":{"DOI":"10.1038/sj.ijo.0801083","ISSN":"03070565","PMID":"10702749","abstract":"OBJECTIVE: To examine reproducibility and validity of visual analogue scales (VAS) for measurement of appetite sensations, with and without a diet standardization prior to the test days. DESIGN: On two different test days the subjects recorded their appetite sensations before breakfast and every 30 min during the 4.5 h postprandial period under exactly the same conditions. SUBJECTS: 55 healthy men (age 25.6 ± 0.6 y, BMI 22.6 ± 0.3 kg/m2). MEASUREMENTS: VAS were used to record hunger, satiety, fullness, prospective food consumption, desire to eat something fatty, salty, sweet or savoury, and palatability of the meals. Subsequently an ad libitum lunch was served and energy intake was recorded. Reproducibility was assessed by the coefficient of repeatability (CR) of fasting, mean 4.5 h and peak/nadir values. RESULTS: CRs (range 20-61 mm) were larger for fasting and peak/nadir values compared with mean 4.5 h values. No parameter seemed to be improved by diet standardization. Using a paired design and a study power of 0.8, a difference of 10 mm on fasting and 5 mm on mean 4.5 h ratings can be detected with 18 subjects. When using desires to eat specific types of food or an unpaired design, more subjects are needed due to considerable variation. The best correlations of validity were found between 4.5 h mean VAS of the appetite parameters and subsequent energy intake (r = ± 0.50-0.53, P &lt; 0.001). CONCLUSION: VAS scores are reliable for appetite research and do not seem to be influenced by prior diet standardization. However, consideration should be given to the specific parameters being measured, their sensitivity and study power.","author":[{"dropping-particle":"","family":"Flint","given":"A.","non-dropping-particle":"","parse-names":false,"suffix":""},{"dropping-particle":"","family":"Raben","given":"A.","non-dropping-particle":"","parse-names":false,"suffix":""},{"dropping-particle":"","family":"Blundell","given":"J. E.","non-dropping-particle":"","parse-names":false,"suffix":""},{"dropping-particle":"","family":"Astrup","given":"A.","non-dropping-particle":"","parse-names":false,"suffix":""}],"container-title":"International Journal of Obesity","id":"ITEM-1","issue":"1","issued":{"date-parts":[["2000"]]},"page":"38-48","title":"Reproducibility, power and validity of visual analogue scales in assessment of appetite sensations in single test meal studies","type":"article-journal","volume":"24"},"uris":["http://www.mendeley.com/documents/?uuid=785aa410-57e2-3a70-930c-8c1b9cc453d4"]}],"mendeley":{"formattedCitation":"(279)","plainTextFormattedCitation":"(279)","previouslyFormattedCitation":"(279)"},"properties":{"noteIndex":0},"schema":"https://github.com/citation-style-language/schema/raw/master/csl-citation.json"}</w:instrText>
            </w:r>
            <w:r w:rsidRPr="00CA4ABC">
              <w:rPr>
                <w:rFonts w:cstheme="minorHAnsi"/>
                <w:color w:val="000000" w:themeColor="text1"/>
                <w:sz w:val="20"/>
                <w:szCs w:val="20"/>
              </w:rPr>
              <w:fldChar w:fldCharType="separate"/>
            </w:r>
            <w:r w:rsidR="00FF0BCE" w:rsidRPr="00FF0BCE">
              <w:rPr>
                <w:rFonts w:cstheme="minorHAnsi"/>
                <w:noProof/>
                <w:color w:val="000000" w:themeColor="text1"/>
                <w:sz w:val="20"/>
                <w:szCs w:val="20"/>
              </w:rPr>
              <w:t>(279)</w:t>
            </w:r>
            <w:r w:rsidRPr="00CA4ABC">
              <w:rPr>
                <w:rFonts w:cstheme="minorHAnsi"/>
                <w:color w:val="000000" w:themeColor="text1"/>
                <w:sz w:val="20"/>
                <w:szCs w:val="20"/>
              </w:rPr>
              <w:fldChar w:fldCharType="end"/>
            </w:r>
            <w:r w:rsidRPr="00CA4ABC">
              <w:rPr>
                <w:rFonts w:cstheme="minorHAnsi"/>
                <w:color w:val="000000" w:themeColor="text1"/>
                <w:sz w:val="20"/>
                <w:szCs w:val="20"/>
              </w:rPr>
              <w:t>.</w:t>
            </w:r>
          </w:p>
        </w:tc>
      </w:tr>
      <w:tr w:rsidR="00A04A12" w:rsidRPr="00CA4ABC" w14:paraId="77668636" w14:textId="77777777" w:rsidTr="00297538">
        <w:trPr>
          <w:trHeight w:val="142"/>
        </w:trPr>
        <w:tc>
          <w:tcPr>
            <w:tcW w:w="3545" w:type="dxa"/>
            <w:vMerge/>
          </w:tcPr>
          <w:p w14:paraId="60DF61A3" w14:textId="77777777" w:rsidR="00A04A12" w:rsidRPr="00CA4ABC" w:rsidRDefault="00A04A12" w:rsidP="00A04A12">
            <w:pPr>
              <w:spacing w:line="360" w:lineRule="auto"/>
              <w:rPr>
                <w:rFonts w:cstheme="minorHAnsi"/>
                <w:color w:val="000000" w:themeColor="text1"/>
                <w:sz w:val="20"/>
                <w:szCs w:val="20"/>
              </w:rPr>
            </w:pPr>
          </w:p>
        </w:tc>
        <w:tc>
          <w:tcPr>
            <w:tcW w:w="2554" w:type="dxa"/>
          </w:tcPr>
          <w:p w14:paraId="74B1894C" w14:textId="5ECA20BE"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Physical activity level score</w:t>
            </w:r>
          </w:p>
        </w:tc>
        <w:tc>
          <w:tcPr>
            <w:tcW w:w="9636" w:type="dxa"/>
          </w:tcPr>
          <w:p w14:paraId="59ED15B4" w14:textId="4EA96A4F" w:rsidR="00A04A12" w:rsidRPr="00CA4ABC" w:rsidRDefault="00A04A12" w:rsidP="00A04A12">
            <w:pPr>
              <w:spacing w:line="360" w:lineRule="auto"/>
              <w:rPr>
                <w:rFonts w:cstheme="minorHAnsi"/>
                <w:color w:val="000000" w:themeColor="text1"/>
                <w:sz w:val="20"/>
                <w:szCs w:val="20"/>
              </w:rPr>
            </w:pPr>
            <w:r w:rsidRPr="00CA4ABC">
              <w:rPr>
                <w:rFonts w:cstheme="minorHAnsi"/>
                <w:color w:val="000000" w:themeColor="text1"/>
                <w:sz w:val="20"/>
                <w:szCs w:val="20"/>
              </w:rPr>
              <w:t xml:space="preserve">Rapid Assessment of Physical Activity (RAPA) questionnaire </w:t>
            </w:r>
            <w:r w:rsidRPr="00CA4ABC">
              <w:rPr>
                <w:rFonts w:cstheme="minorHAnsi"/>
                <w:color w:val="000000" w:themeColor="text1"/>
                <w:sz w:val="20"/>
                <w:szCs w:val="20"/>
              </w:rPr>
              <w:fldChar w:fldCharType="begin" w:fldLock="1"/>
            </w:r>
            <w:r w:rsidR="00821D82">
              <w:rPr>
                <w:rFonts w:cstheme="minorHAnsi"/>
                <w:color w:val="000000" w:themeColor="text1"/>
                <w:sz w:val="20"/>
                <w:szCs w:val="20"/>
              </w:rPr>
              <w:instrText>ADDIN CSL_CITATION {"citationItems":[{"id":"ITEM-1","itemData":{"URL":"https://depts.washington.edu/hprc/programs-tools/tools-guides/rapa/","accessed":{"date-parts":[["2023","2","10"]]},"id":"ITEM-1","issued":{"date-parts":[["0"]]},"title":"Rapid Assessment of Physical Activity (RAPA) | Health Promotion Research Center","type":"webpage"},"uris":["http://www.mendeley.com/documents/?uuid=7dfa0c09-3e86-3c5c-8cbf-eed774bf4431"]}],"mendeley":{"formattedCitation":"(344)","plainTextFormattedCitation":"(344)","previouslyFormattedCitation":"(343)"},"properties":{"noteIndex":0},"schema":"https://github.com/citation-style-language/schema/raw/master/csl-citation.json"}</w:instrText>
            </w:r>
            <w:r w:rsidRPr="00CA4ABC">
              <w:rPr>
                <w:rFonts w:cstheme="minorHAnsi"/>
                <w:color w:val="000000" w:themeColor="text1"/>
                <w:sz w:val="20"/>
                <w:szCs w:val="20"/>
              </w:rPr>
              <w:fldChar w:fldCharType="separate"/>
            </w:r>
            <w:r w:rsidR="00821D82" w:rsidRPr="00821D82">
              <w:rPr>
                <w:rFonts w:cstheme="minorHAnsi"/>
                <w:noProof/>
                <w:color w:val="000000" w:themeColor="text1"/>
                <w:sz w:val="20"/>
                <w:szCs w:val="20"/>
              </w:rPr>
              <w:t>(344)</w:t>
            </w:r>
            <w:r w:rsidRPr="00CA4ABC">
              <w:rPr>
                <w:rFonts w:cstheme="minorHAnsi"/>
                <w:color w:val="000000" w:themeColor="text1"/>
                <w:sz w:val="20"/>
                <w:szCs w:val="20"/>
              </w:rPr>
              <w:fldChar w:fldCharType="end"/>
            </w:r>
            <w:r w:rsidRPr="00CA4ABC">
              <w:rPr>
                <w:rFonts w:cstheme="minorHAnsi"/>
                <w:color w:val="000000" w:themeColor="text1"/>
                <w:sz w:val="20"/>
                <w:szCs w:val="20"/>
              </w:rPr>
              <w:t>.</w:t>
            </w:r>
          </w:p>
        </w:tc>
      </w:tr>
    </w:tbl>
    <w:p w14:paraId="3335E151" w14:textId="3A82C963" w:rsidR="00310C71" w:rsidRPr="00CA4ABC" w:rsidRDefault="00310C71" w:rsidP="00310C71">
      <w:pPr>
        <w:spacing w:line="360" w:lineRule="auto"/>
        <w:rPr>
          <w:rFonts w:cstheme="minorHAnsi"/>
          <w:color w:val="000000" w:themeColor="text1"/>
        </w:rPr>
      </w:pPr>
      <w:bookmarkStart w:id="387" w:name="_Ref127016157"/>
      <w:r w:rsidRPr="00CA4ABC">
        <w:rPr>
          <w:rFonts w:cstheme="minorHAnsi"/>
          <w:color w:val="000000" w:themeColor="text1"/>
        </w:rPr>
        <w:t xml:space="preserve">Table </w:t>
      </w:r>
      <w:r w:rsidRPr="00CA4ABC">
        <w:rPr>
          <w:rFonts w:cstheme="minorHAnsi"/>
          <w:color w:val="000000" w:themeColor="text1"/>
        </w:rPr>
        <w:fldChar w:fldCharType="begin"/>
      </w:r>
      <w:r w:rsidRPr="00CA4ABC">
        <w:rPr>
          <w:rFonts w:cstheme="minorHAnsi"/>
          <w:color w:val="000000" w:themeColor="text1"/>
        </w:rPr>
        <w:instrText xml:space="preserve"> SEQ Table \* ARABIC </w:instrText>
      </w:r>
      <w:r w:rsidRPr="00CA4ABC">
        <w:rPr>
          <w:rFonts w:cstheme="minorHAnsi"/>
          <w:color w:val="000000" w:themeColor="text1"/>
        </w:rPr>
        <w:fldChar w:fldCharType="separate"/>
      </w:r>
      <w:r w:rsidR="00A13A55">
        <w:rPr>
          <w:rFonts w:cstheme="minorHAnsi"/>
          <w:noProof/>
          <w:color w:val="000000" w:themeColor="text1"/>
        </w:rPr>
        <w:t>32</w:t>
      </w:r>
      <w:r w:rsidRPr="00CA4ABC">
        <w:rPr>
          <w:rFonts w:cstheme="minorHAnsi"/>
          <w:color w:val="000000" w:themeColor="text1"/>
        </w:rPr>
        <w:fldChar w:fldCharType="end"/>
      </w:r>
      <w:bookmarkEnd w:id="385"/>
      <w:bookmarkEnd w:id="387"/>
      <w:r w:rsidR="00D96BDD">
        <w:rPr>
          <w:rFonts w:cstheme="minorHAnsi"/>
          <w:color w:val="000000" w:themeColor="text1"/>
        </w:rPr>
        <w:t>. P</w:t>
      </w:r>
      <w:r w:rsidR="0048506A" w:rsidRPr="00CA4ABC">
        <w:rPr>
          <w:rFonts w:cstheme="minorHAnsi"/>
          <w:color w:val="000000" w:themeColor="text1"/>
        </w:rPr>
        <w:t>rimary and secondary</w:t>
      </w:r>
      <w:r w:rsidRPr="00CA4ABC">
        <w:rPr>
          <w:rFonts w:cstheme="minorHAnsi"/>
          <w:color w:val="000000" w:themeColor="text1"/>
        </w:rPr>
        <w:t xml:space="preserve"> measurements taken for participants</w:t>
      </w:r>
      <w:bookmarkEnd w:id="386"/>
      <w:r w:rsidRPr="00CA4ABC">
        <w:rPr>
          <w:rFonts w:cstheme="minorHAnsi"/>
          <w:color w:val="000000" w:themeColor="text1"/>
        </w:rPr>
        <w:t xml:space="preserve"> at University sports facilities</w:t>
      </w:r>
      <w:r w:rsidR="00700557" w:rsidRPr="00CA4ABC">
        <w:rPr>
          <w:rFonts w:cstheme="minorHAnsi"/>
          <w:color w:val="000000" w:themeColor="text1"/>
        </w:rPr>
        <w:t>.</w:t>
      </w:r>
    </w:p>
    <w:p w14:paraId="4D70B21B" w14:textId="28274D20" w:rsidR="006E2608" w:rsidRPr="00CA4ABC" w:rsidRDefault="00BF5BAB" w:rsidP="00310C71">
      <w:pPr>
        <w:spacing w:line="360" w:lineRule="auto"/>
        <w:rPr>
          <w:rFonts w:cstheme="minorHAnsi"/>
          <w:color w:val="000000" w:themeColor="text1"/>
        </w:rPr>
        <w:sectPr w:rsidR="006E2608" w:rsidRPr="00CA4ABC" w:rsidSect="006E2608">
          <w:pgSz w:w="16840" w:h="11900" w:orient="landscape"/>
          <w:pgMar w:top="1440" w:right="1440" w:bottom="1440" w:left="1440" w:header="708" w:footer="708" w:gutter="0"/>
          <w:cols w:space="708"/>
          <w:docGrid w:linePitch="360"/>
        </w:sectPr>
      </w:pPr>
      <w:r w:rsidRPr="00CA4ABC">
        <w:rPr>
          <w:rFonts w:cstheme="minorHAnsi"/>
          <w:color w:val="000000" w:themeColor="text1"/>
        </w:rPr>
        <w:t xml:space="preserve">#All 1-RM testing will follow guidelines by Gibson, Wagner, Heyward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{"citationItems":[{"id":"ITEM-1","itemData":{"ISBN":"0736057323","abstract":"5th ed. This new edition provides exercise scientists with the knowledge and skills needed to assess the physical fitness status of apparently healthy individuals rather than individuals who have suspected or documented cardiovascular disease. ch. 1. Physical activity, health and chronic diseases -- Physical activity, health, and disease -- Cardiovascular disease -- Hypertension -- Hypercholesterolemia and dyslipidemia -- Cigarette smoking -- Diabetes mellitus -- Obesity and overweight -- Metabolic syndrome -- Musculoskeletal diseases and disorders -- ch. 2. Preliminary health screening and risk classification -- Preliminary health evaluation -- Testing procedures for blood pressure, heart rate, and electrocardiogram -- Sources for equipment -- Review material -- ch. 3. Principles of assessment, prescription, and exercise program adherence -- Physical fitness testing -- Basic principles for exercise program design -- Exercise program adherence -- Certification and licensure -- Review material -- ch. 4. Assessing cardiorespiratory fitness -- Definition of terms -- Graded exercise testing -- Maximal exercise test protocols -- Submaximal exercise test protocols -- Field tests for assessing aerobic fitness -- Exercise testing of children and older adults. ch. 5. Designing cardiorespiratory exercise programs -- The exercise prescription -- Aerobic training methods and modes -- Personalized exercise programs -- Review material -- ch. 6. Assessing muscular fitness -- Definition of terms -- Strength and muscular endurance assessment -- Sources of measurement error in muscular fitness testing -- Additional considerations for muscular fitness testing -- Muscular fitness testing of older adults -- Muscular fitness testing of children -- Sources for equipment -- Review material -- ch. 7. Designing resistance training programs -- Types of resistance training -- Developing the resistance training programs -- Effects of resistance training programs -- Muscular soreness -- Review material -- ch. 8. Assessing body composition -- Classification and uses of body composition measures -- Body composition models -- Reference methods for assessing body composition -- Field methods for assessing body composition. ch. 9. Designing weight management and body composition programs -- Obesity, overweight, and underweight -- Obesity -- Weight management principles and practices -- Designing weight management programs -- Designing weight-loss programs -- Quick weight-loss diets and p…","author":[{"dropping-particle":"","family":"Heyward","given":"Vivian H.","non-dropping-particle":"","parse-names":false,"suffix":""}],"id":"ITEM-1","issued":{"date-parts":[["2006"]]},"page":"425","publisher":"Human Kinetics","title":"Advanced fitness assessment and exercise prescription","type":"article-journal"},"uris":["http://www.mendeley.com/documents/?uuid=506e9959-abaa-34ad-8a9a-6bffe4689e9f"]}],"mendeley":{"formattedCitation":"(345)","plainTextFormattedCitation":"(345)","previouslyFormattedCitation":"(344)"},"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(345)</w:t>
      </w:r>
      <w:r w:rsidRPr="00CA4ABC">
        <w:rPr>
          <w:rFonts w:cstheme="minorHAnsi"/>
          <w:color w:val="000000" w:themeColor="text1"/>
        </w:rPr>
        <w:fldChar w:fldCharType="end"/>
      </w:r>
      <w:r w:rsidRPr="00CA4ABC">
        <w:rPr>
          <w:rFonts w:cstheme="minorHAnsi"/>
          <w:color w:val="000000" w:themeColor="text1"/>
        </w:rPr>
        <w:t xml:space="preserve">. This includes a specific machine warm-up of 5-10 reps of the exercise at 40-60% of </w:t>
      </w:r>
      <w:r w:rsidR="00343975" w:rsidRPr="00CA4ABC">
        <w:rPr>
          <w:rFonts w:cstheme="minorHAnsi"/>
          <w:color w:val="000000" w:themeColor="text1"/>
        </w:rPr>
        <w:t xml:space="preserve">the </w:t>
      </w:r>
      <w:r w:rsidRPr="00CA4ABC">
        <w:rPr>
          <w:rFonts w:cstheme="minorHAnsi"/>
          <w:color w:val="000000" w:themeColor="text1"/>
        </w:rPr>
        <w:t xml:space="preserve">estimated 1-RM, followed by 1 minute rest. Participants will then be asked to perform 3-5 reps at 60-80% of </w:t>
      </w:r>
      <w:r w:rsidRPr="00CA4ABC">
        <w:rPr>
          <w:rFonts w:cstheme="minorHAnsi"/>
          <w:color w:val="000000" w:themeColor="text1"/>
        </w:rPr>
        <w:lastRenderedPageBreak/>
        <w:t>estimated 1-RM, followed by 2 minutes rest. 1-RM will then be performed,</w:t>
      </w:r>
      <w:r w:rsidR="00343975" w:rsidRPr="00CA4ABC">
        <w:rPr>
          <w:rFonts w:cstheme="minorHAnsi"/>
          <w:color w:val="000000" w:themeColor="text1"/>
        </w:rPr>
        <w:t xml:space="preserve"> and</w:t>
      </w:r>
      <w:r w:rsidRPr="00CA4ABC">
        <w:rPr>
          <w:rFonts w:cstheme="minorHAnsi"/>
          <w:color w:val="000000" w:themeColor="text1"/>
        </w:rPr>
        <w:t xml:space="preserve"> if achieved, the weight will conservatively be increased (5-10% for upper body and 10-20% for lower body) until failure to complete the lift is achieved and the last successful weight achieved will be recorded. Between each weight increase a 2-4 minute rest period will be included. </w:t>
      </w:r>
      <w:r w:rsidR="00D35201" w:rsidRPr="00CA4ABC">
        <w:rPr>
          <w:rFonts w:cstheme="minorHAnsi"/>
          <w:color w:val="000000" w:themeColor="text1"/>
        </w:rPr>
        <w:t>An additional spotter (level 3 qualified personal trainer) will be present in addition to the researcher taking the measurement</w:t>
      </w:r>
    </w:p>
    <w:p w14:paraId="35119DF1" w14:textId="7A407619" w:rsidR="00310C71" w:rsidRPr="00CA4ABC" w:rsidRDefault="00330CF8" w:rsidP="00310C71">
      <w:pPr>
        <w:spacing w:line="360" w:lineRule="auto"/>
        <w:rPr>
          <w:rFonts w:cstheme="minorHAnsi"/>
          <w:color w:val="000000" w:themeColor="text1"/>
        </w:rPr>
      </w:pPr>
      <w:r w:rsidRPr="00CA4ABC">
        <w:rPr>
          <w:rFonts w:cstheme="minorHAnsi"/>
          <w:color w:val="000000" w:themeColor="text1"/>
        </w:rPr>
        <w:lastRenderedPageBreak/>
        <w:t>Additional routine data collection:</w:t>
      </w:r>
    </w:p>
    <w:p w14:paraId="7FE50542" w14:textId="77777777" w:rsidR="00310C71" w:rsidRPr="00CA4ABC" w:rsidRDefault="00310C71">
      <w:pPr>
        <w:pStyle w:val="ListParagraph"/>
        <w:numPr>
          <w:ilvl w:val="0"/>
          <w:numId w:val="27"/>
        </w:numPr>
        <w:spacing w:line="360" w:lineRule="auto"/>
        <w:rPr>
          <w:rFonts w:cstheme="minorHAnsi"/>
          <w:color w:val="000000" w:themeColor="text1"/>
        </w:rPr>
      </w:pPr>
      <w:r w:rsidRPr="00CA4ABC">
        <w:rPr>
          <w:rFonts w:cstheme="minorHAnsi"/>
          <w:color w:val="000000" w:themeColor="text1"/>
        </w:rPr>
        <w:t>Recordings of recruitment rates including expression of interest in trial.</w:t>
      </w:r>
    </w:p>
    <w:p w14:paraId="1007A599" w14:textId="1E97E38B" w:rsidR="00310C71" w:rsidRPr="00CA4ABC" w:rsidRDefault="00310C71">
      <w:pPr>
        <w:pStyle w:val="ListParagraph"/>
        <w:numPr>
          <w:ilvl w:val="0"/>
          <w:numId w:val="27"/>
        </w:numPr>
        <w:spacing w:line="360" w:lineRule="auto"/>
        <w:rPr>
          <w:rFonts w:cstheme="minorHAnsi"/>
          <w:color w:val="000000" w:themeColor="text1"/>
        </w:rPr>
      </w:pPr>
      <w:r w:rsidRPr="00CA4ABC">
        <w:rPr>
          <w:rFonts w:cstheme="minorHAnsi"/>
          <w:color w:val="000000" w:themeColor="text1"/>
        </w:rPr>
        <w:t>Records of retention and completion follow</w:t>
      </w:r>
      <w:r w:rsidR="00343975" w:rsidRPr="00CA4ABC">
        <w:rPr>
          <w:rFonts w:cstheme="minorHAnsi"/>
          <w:color w:val="000000" w:themeColor="text1"/>
        </w:rPr>
        <w:t>-</w:t>
      </w:r>
      <w:r w:rsidRPr="00CA4ABC">
        <w:rPr>
          <w:rFonts w:cstheme="minorHAnsi"/>
          <w:color w:val="000000" w:themeColor="text1"/>
        </w:rPr>
        <w:t xml:space="preserve">up and drop-outs. </w:t>
      </w:r>
    </w:p>
    <w:p w14:paraId="6375B7DE" w14:textId="13E21876" w:rsidR="00330CF8" w:rsidRPr="00CA4ABC" w:rsidRDefault="00330CF8">
      <w:pPr>
        <w:pStyle w:val="ListParagraph"/>
        <w:numPr>
          <w:ilvl w:val="0"/>
          <w:numId w:val="27"/>
        </w:numPr>
        <w:spacing w:line="360" w:lineRule="auto"/>
        <w:rPr>
          <w:rFonts w:cstheme="minorHAnsi"/>
          <w:color w:val="000000" w:themeColor="text1"/>
        </w:rPr>
      </w:pPr>
      <w:r w:rsidRPr="00CA4ABC">
        <w:rPr>
          <w:rFonts w:cstheme="minorHAnsi"/>
          <w:color w:val="000000" w:themeColor="text1"/>
        </w:rPr>
        <w:t>Log book records.</w:t>
      </w:r>
    </w:p>
    <w:p w14:paraId="1068925C" w14:textId="1C31024D" w:rsidR="00310C71" w:rsidRPr="00CA4ABC" w:rsidRDefault="00310C71">
      <w:pPr>
        <w:pStyle w:val="ListParagraph"/>
        <w:numPr>
          <w:ilvl w:val="0"/>
          <w:numId w:val="27"/>
        </w:numPr>
        <w:spacing w:line="360" w:lineRule="auto"/>
        <w:rPr>
          <w:rFonts w:cstheme="minorHAnsi"/>
          <w:color w:val="000000" w:themeColor="text1"/>
        </w:rPr>
      </w:pPr>
      <w:r w:rsidRPr="00CA4ABC">
        <w:rPr>
          <w:rFonts w:cstheme="minorHAnsi"/>
          <w:color w:val="000000" w:themeColor="text1"/>
        </w:rPr>
        <w:t>Self-reported exercise session attendance and engagement – post</w:t>
      </w:r>
      <w:r w:rsidR="00343975" w:rsidRPr="00CA4ABC">
        <w:rPr>
          <w:rFonts w:cstheme="minorHAnsi"/>
          <w:color w:val="000000" w:themeColor="text1"/>
        </w:rPr>
        <w:t>-</w:t>
      </w:r>
      <w:r w:rsidRPr="00CA4ABC">
        <w:rPr>
          <w:rFonts w:cstheme="minorHAnsi"/>
          <w:color w:val="000000" w:themeColor="text1"/>
        </w:rPr>
        <w:t>session feedback forms, RPE measurements</w:t>
      </w:r>
      <w:r w:rsidR="002B6E6D" w:rsidRPr="00CA4ABC">
        <w:rPr>
          <w:rFonts w:cstheme="minorHAnsi"/>
          <w:color w:val="000000" w:themeColor="text1"/>
        </w:rPr>
        <w:t>.</w:t>
      </w:r>
      <w:r w:rsidRPr="00CA4ABC">
        <w:rPr>
          <w:rFonts w:cstheme="minorHAnsi"/>
          <w:color w:val="000000" w:themeColor="text1"/>
        </w:rPr>
        <w:t xml:space="preserve"> </w:t>
      </w:r>
    </w:p>
    <w:p w14:paraId="16C39A9B" w14:textId="0B5C3841" w:rsidR="00310C71" w:rsidRPr="00CA4ABC" w:rsidRDefault="00310C71">
      <w:pPr>
        <w:pStyle w:val="ListParagraph"/>
        <w:numPr>
          <w:ilvl w:val="0"/>
          <w:numId w:val="27"/>
        </w:numPr>
        <w:spacing w:line="360" w:lineRule="auto"/>
        <w:rPr>
          <w:rFonts w:cstheme="minorHAnsi"/>
          <w:color w:val="000000" w:themeColor="text1"/>
        </w:rPr>
      </w:pPr>
      <w:r w:rsidRPr="00CA4ABC">
        <w:rPr>
          <w:rFonts w:cstheme="minorHAnsi"/>
          <w:color w:val="000000" w:themeColor="text1"/>
        </w:rPr>
        <w:t>Self-reported supplement compliance</w:t>
      </w:r>
      <w:r w:rsidR="00330CF8" w:rsidRPr="00CA4ABC">
        <w:rPr>
          <w:rFonts w:cstheme="minorHAnsi"/>
          <w:color w:val="000000" w:themeColor="text1"/>
        </w:rPr>
        <w:t>.</w:t>
      </w:r>
    </w:p>
    <w:p w14:paraId="690EF536" w14:textId="77777777" w:rsidR="00310C71" w:rsidRPr="00CA4ABC" w:rsidRDefault="00310C71">
      <w:pPr>
        <w:pStyle w:val="ListParagraph"/>
        <w:numPr>
          <w:ilvl w:val="0"/>
          <w:numId w:val="27"/>
        </w:numPr>
        <w:spacing w:line="360" w:lineRule="auto"/>
        <w:rPr>
          <w:rFonts w:cstheme="minorHAnsi"/>
          <w:color w:val="000000" w:themeColor="text1"/>
        </w:rPr>
      </w:pPr>
      <w:r w:rsidRPr="00CA4ABC">
        <w:rPr>
          <w:rFonts w:cstheme="minorHAnsi"/>
          <w:color w:val="000000" w:themeColor="text1"/>
        </w:rPr>
        <w:t>Record of any adverse events reported.</w:t>
      </w:r>
    </w:p>
    <w:p w14:paraId="7DE20EB3" w14:textId="1F3216D8" w:rsidR="00310C71" w:rsidRPr="00CA4ABC" w:rsidRDefault="00310C71">
      <w:pPr>
        <w:pStyle w:val="ListParagraph"/>
        <w:numPr>
          <w:ilvl w:val="0"/>
          <w:numId w:val="27"/>
        </w:numPr>
        <w:spacing w:line="360" w:lineRule="auto"/>
        <w:rPr>
          <w:rFonts w:cstheme="minorHAnsi"/>
          <w:color w:val="000000" w:themeColor="text1"/>
        </w:rPr>
      </w:pPr>
      <w:r w:rsidRPr="00CA4ABC">
        <w:rPr>
          <w:rFonts w:cstheme="minorHAnsi"/>
          <w:color w:val="000000" w:themeColor="text1"/>
        </w:rPr>
        <w:t>2 month phone call follow</w:t>
      </w:r>
      <w:r w:rsidR="00343975" w:rsidRPr="00CA4ABC">
        <w:rPr>
          <w:rFonts w:cstheme="minorHAnsi"/>
          <w:color w:val="000000" w:themeColor="text1"/>
        </w:rPr>
        <w:t>-</w:t>
      </w:r>
      <w:r w:rsidRPr="00CA4ABC">
        <w:rPr>
          <w:rFonts w:cstheme="minorHAnsi"/>
          <w:color w:val="000000" w:themeColor="text1"/>
        </w:rPr>
        <w:t>up investigating as an indication of longer-term engagement</w:t>
      </w:r>
      <w:r w:rsidR="002B6E6D" w:rsidRPr="00CA4ABC">
        <w:rPr>
          <w:rFonts w:cstheme="minorHAnsi"/>
          <w:color w:val="000000" w:themeColor="text1"/>
        </w:rPr>
        <w:t>.</w:t>
      </w:r>
    </w:p>
    <w:p w14:paraId="78022F53" w14:textId="77777777" w:rsidR="00310C71" w:rsidRPr="00CA4ABC" w:rsidRDefault="00310C71" w:rsidP="00310C71">
      <w:pPr>
        <w:spacing w:line="360" w:lineRule="auto"/>
        <w:rPr>
          <w:rFonts w:cstheme="minorHAnsi"/>
          <w:color w:val="000000" w:themeColor="text1"/>
        </w:rPr>
      </w:pPr>
    </w:p>
    <w:p w14:paraId="06DE7725" w14:textId="4A081B01" w:rsidR="00310C71" w:rsidRPr="00CA4ABC" w:rsidRDefault="00310C71" w:rsidP="00310C71">
      <w:pPr>
        <w:pStyle w:val="Heading3"/>
        <w:spacing w:line="360" w:lineRule="auto"/>
        <w:rPr>
          <w:rFonts w:asciiTheme="minorHAnsi" w:hAnsiTheme="minorHAnsi" w:cstheme="minorHAnsi"/>
          <w:color w:val="000000" w:themeColor="text1"/>
        </w:rPr>
      </w:pPr>
      <w:bookmarkStart w:id="388" w:name="_Toc135384408"/>
      <w:r w:rsidRPr="00CA4ABC">
        <w:rPr>
          <w:rFonts w:asciiTheme="minorHAnsi" w:hAnsiTheme="minorHAnsi" w:cstheme="minorHAnsi"/>
          <w:color w:val="000000" w:themeColor="text1"/>
        </w:rPr>
        <w:t>6.4.1.3 Participant timeline</w:t>
      </w:r>
      <w:bookmarkEnd w:id="388"/>
    </w:p>
    <w:p w14:paraId="1F8D8C5A" w14:textId="26B73E06"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Participants will come to University facilities to provide informed consent and baseline measurements before the trial commences (week 0.) Participants will then conduct the remote intervention for 12 weeks whilst completing study-specific log books. Contact between researchers and participants will be continu</w:t>
      </w:r>
      <w:r w:rsidR="00343975" w:rsidRPr="00CA4ABC">
        <w:rPr>
          <w:rFonts w:cstheme="minorHAnsi"/>
          <w:color w:val="000000" w:themeColor="text1"/>
        </w:rPr>
        <w:t>ed</w:t>
      </w:r>
      <w:r w:rsidRPr="00CA4ABC">
        <w:rPr>
          <w:rFonts w:cstheme="minorHAnsi"/>
          <w:color w:val="000000" w:themeColor="text1"/>
        </w:rPr>
        <w:t xml:space="preserve"> during this time, including reminders about completing study documentation, well</w:t>
      </w:r>
      <w:r w:rsidR="00343975" w:rsidRPr="00CA4ABC">
        <w:rPr>
          <w:rFonts w:cstheme="minorHAnsi"/>
          <w:color w:val="000000" w:themeColor="text1"/>
        </w:rPr>
        <w:t>-</w:t>
      </w:r>
      <w:r w:rsidRPr="00CA4ABC">
        <w:rPr>
          <w:rFonts w:cstheme="minorHAnsi"/>
          <w:color w:val="000000" w:themeColor="text1"/>
        </w:rPr>
        <w:t>being check-ins and programme feedback. All participants will return to university sites after week 12 (week 13+) and return their study documentation, retake baseline measurements and provide feedback about their experience of trial participation. Permission to re-contact participants two months after</w:t>
      </w:r>
      <w:r w:rsidR="00330CF8" w:rsidRPr="00CA4ABC">
        <w:rPr>
          <w:rFonts w:cstheme="minorHAnsi"/>
          <w:color w:val="000000" w:themeColor="text1"/>
        </w:rPr>
        <w:t xml:space="preserve"> </w:t>
      </w:r>
      <w:r w:rsidR="00343975" w:rsidRPr="00CA4ABC">
        <w:rPr>
          <w:rFonts w:cstheme="minorHAnsi"/>
          <w:color w:val="000000" w:themeColor="text1"/>
        </w:rPr>
        <w:t>trial cessation</w:t>
      </w:r>
      <w:r w:rsidRPr="00CA4ABC">
        <w:rPr>
          <w:rFonts w:cstheme="minorHAnsi"/>
          <w:color w:val="000000" w:themeColor="text1"/>
        </w:rPr>
        <w:t xml:space="preserve"> will be requested. All participants will also be offered access to a gym</w:t>
      </w:r>
      <w:r w:rsidR="002B6E6D" w:rsidRPr="00CA4ABC">
        <w:rPr>
          <w:rFonts w:cstheme="minorHAnsi"/>
          <w:color w:val="000000" w:themeColor="text1"/>
        </w:rPr>
        <w:t xml:space="preserve"> membership (physical or remote)</w:t>
      </w:r>
      <w:r w:rsidRPr="00CA4ABC">
        <w:rPr>
          <w:rFonts w:cstheme="minorHAnsi"/>
          <w:color w:val="000000" w:themeColor="text1"/>
        </w:rPr>
        <w:t xml:space="preserve">, following intervention completion. </w:t>
      </w:r>
    </w:p>
    <w:p w14:paraId="5DE8865B" w14:textId="6E174163" w:rsidR="00330CF8" w:rsidRPr="00CA4ABC" w:rsidRDefault="00330CF8" w:rsidP="00310C71">
      <w:pPr>
        <w:spacing w:line="360" w:lineRule="auto"/>
        <w:ind w:firstLine="720"/>
        <w:rPr>
          <w:rFonts w:cstheme="minorHAnsi"/>
          <w:color w:val="000000" w:themeColor="text1"/>
        </w:rPr>
      </w:pPr>
    </w:p>
    <w:p w14:paraId="0D34587F" w14:textId="50FD72A5" w:rsidR="00330CF8" w:rsidRPr="00CA4ABC" w:rsidRDefault="00330CF8" w:rsidP="00310C71">
      <w:pPr>
        <w:spacing w:line="360" w:lineRule="auto"/>
        <w:ind w:firstLine="720"/>
        <w:rPr>
          <w:rFonts w:cstheme="minorHAnsi"/>
          <w:color w:val="000000" w:themeColor="text1"/>
        </w:rPr>
      </w:pPr>
    </w:p>
    <w:p w14:paraId="2623F47E" w14:textId="2606975E" w:rsidR="00330CF8" w:rsidRPr="00CA4ABC" w:rsidRDefault="00330CF8" w:rsidP="00310C71">
      <w:pPr>
        <w:spacing w:line="360" w:lineRule="auto"/>
        <w:ind w:firstLine="720"/>
        <w:rPr>
          <w:rFonts w:cstheme="minorHAnsi"/>
          <w:color w:val="000000" w:themeColor="text1"/>
        </w:rPr>
      </w:pPr>
    </w:p>
    <w:p w14:paraId="65E9A539" w14:textId="269CF459" w:rsidR="00330CF8" w:rsidRPr="00CA4ABC" w:rsidRDefault="00330CF8" w:rsidP="00310C71">
      <w:pPr>
        <w:spacing w:line="360" w:lineRule="auto"/>
        <w:ind w:firstLine="720"/>
        <w:rPr>
          <w:rFonts w:cstheme="minorHAnsi"/>
          <w:color w:val="000000" w:themeColor="text1"/>
        </w:rPr>
      </w:pPr>
    </w:p>
    <w:p w14:paraId="6E56D046" w14:textId="186B35A9" w:rsidR="00330CF8" w:rsidRPr="00CA4ABC" w:rsidRDefault="00330CF8" w:rsidP="00310C71">
      <w:pPr>
        <w:spacing w:line="360" w:lineRule="auto"/>
        <w:ind w:firstLine="720"/>
        <w:rPr>
          <w:rFonts w:cstheme="minorHAnsi"/>
          <w:color w:val="000000" w:themeColor="text1"/>
        </w:rPr>
      </w:pPr>
    </w:p>
    <w:p w14:paraId="63F64F36" w14:textId="26268EE7" w:rsidR="00330CF8" w:rsidRPr="00CA4ABC" w:rsidRDefault="00330CF8" w:rsidP="00310C71">
      <w:pPr>
        <w:spacing w:line="360" w:lineRule="auto"/>
        <w:ind w:firstLine="720"/>
        <w:rPr>
          <w:rFonts w:cstheme="minorHAnsi"/>
          <w:color w:val="000000" w:themeColor="text1"/>
        </w:rPr>
      </w:pPr>
    </w:p>
    <w:p w14:paraId="304506CA" w14:textId="7672ED87" w:rsidR="00330CF8" w:rsidRPr="00CA4ABC" w:rsidRDefault="00330CF8" w:rsidP="00310C71">
      <w:pPr>
        <w:spacing w:line="360" w:lineRule="auto"/>
        <w:ind w:firstLine="720"/>
        <w:rPr>
          <w:rFonts w:cstheme="minorHAnsi"/>
          <w:color w:val="000000" w:themeColor="text1"/>
        </w:rPr>
      </w:pPr>
    </w:p>
    <w:p w14:paraId="320F5AC4" w14:textId="77777777" w:rsidR="00330CF8" w:rsidRPr="00CA4ABC" w:rsidRDefault="00330CF8" w:rsidP="00310C71">
      <w:pPr>
        <w:spacing w:line="360" w:lineRule="auto"/>
        <w:ind w:firstLine="720"/>
        <w:rPr>
          <w:rFonts w:cstheme="minorHAnsi"/>
          <w:color w:val="000000" w:themeColor="text1"/>
        </w:rPr>
      </w:pPr>
    </w:p>
    <w:p w14:paraId="144E1E3B" w14:textId="510918E3" w:rsidR="00310C71" w:rsidRPr="00BC5AD5" w:rsidRDefault="00142282" w:rsidP="00310C71">
      <w:pPr>
        <w:spacing w:line="360" w:lineRule="auto"/>
        <w:ind w:left="360"/>
        <w:rPr>
          <w:rFonts w:cstheme="minorHAnsi"/>
          <w:color w:val="000000" w:themeColor="text1"/>
          <w:highlight w:val="green"/>
        </w:rPr>
      </w:pPr>
      <w:bookmarkStart w:id="389" w:name="_Ref125483458"/>
      <w:bookmarkStart w:id="390" w:name="_Ref122710925"/>
      <w:bookmarkStart w:id="391" w:name="_Toc127044201"/>
      <w:bookmarkStart w:id="392" w:name="_Toc127978485"/>
      <w:r w:rsidRPr="00BC5AD5">
        <w:rPr>
          <w:rFonts w:cstheme="minorHAnsi"/>
          <w:noProof/>
          <w:color w:val="000000" w:themeColor="text1"/>
          <w:lang w:eastAsia="zh-CN"/>
        </w:rPr>
        <w:lastRenderedPageBreak/>
        <w:drawing>
          <wp:anchor distT="0" distB="0" distL="114300" distR="114300" simplePos="0" relativeHeight="251712512" behindDoc="0" locked="0" layoutInCell="1" allowOverlap="1" wp14:anchorId="27B13823" wp14:editId="6373FB2E">
            <wp:simplePos x="0" y="0"/>
            <wp:positionH relativeFrom="column">
              <wp:posOffset>-623618</wp:posOffset>
            </wp:positionH>
            <wp:positionV relativeFrom="paragraph">
              <wp:posOffset>0</wp:posOffset>
            </wp:positionV>
            <wp:extent cx="6784975" cy="3813175"/>
            <wp:effectExtent l="0" t="0" r="0" b="0"/>
            <wp:wrapSquare wrapText="bothSides"/>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6784975" cy="3813175"/>
                    </a:xfrm>
                    <a:prstGeom prst="rect">
                      <a:avLst/>
                    </a:prstGeom>
                  </pic:spPr>
                </pic:pic>
              </a:graphicData>
            </a:graphic>
            <wp14:sizeRelH relativeFrom="page">
              <wp14:pctWidth>0</wp14:pctWidth>
            </wp14:sizeRelH>
            <wp14:sizeRelV relativeFrom="page">
              <wp14:pctHeight>0</wp14:pctHeight>
            </wp14:sizeRelV>
          </wp:anchor>
        </w:drawing>
      </w:r>
      <w:r w:rsidR="00310C71" w:rsidRPr="00BC5AD5">
        <w:rPr>
          <w:rFonts w:cstheme="minorHAnsi"/>
          <w:color w:val="000000" w:themeColor="text1"/>
        </w:rPr>
        <w:t xml:space="preserve">Figure </w:t>
      </w:r>
      <w:r w:rsidR="00310C71" w:rsidRPr="00BC5AD5">
        <w:rPr>
          <w:rFonts w:cstheme="minorHAnsi"/>
          <w:color w:val="000000" w:themeColor="text1"/>
        </w:rPr>
        <w:fldChar w:fldCharType="begin"/>
      </w:r>
      <w:r w:rsidR="00310C71" w:rsidRPr="00BC5AD5">
        <w:rPr>
          <w:rFonts w:cstheme="minorHAnsi"/>
          <w:color w:val="000000" w:themeColor="text1"/>
        </w:rPr>
        <w:instrText xml:space="preserve"> SEQ Figure \* ARABIC </w:instrText>
      </w:r>
      <w:r w:rsidR="00310C71" w:rsidRPr="00BC5AD5">
        <w:rPr>
          <w:rFonts w:cstheme="minorHAnsi"/>
          <w:color w:val="000000" w:themeColor="text1"/>
        </w:rPr>
        <w:fldChar w:fldCharType="separate"/>
      </w:r>
      <w:r w:rsidR="002B439C">
        <w:rPr>
          <w:rFonts w:cstheme="minorHAnsi"/>
          <w:noProof/>
          <w:color w:val="000000" w:themeColor="text1"/>
        </w:rPr>
        <w:t>25</w:t>
      </w:r>
      <w:r w:rsidR="00310C71" w:rsidRPr="00BC5AD5">
        <w:rPr>
          <w:rFonts w:cstheme="minorHAnsi"/>
          <w:color w:val="000000" w:themeColor="text1"/>
        </w:rPr>
        <w:fldChar w:fldCharType="end"/>
      </w:r>
      <w:bookmarkEnd w:id="389"/>
      <w:bookmarkEnd w:id="390"/>
      <w:r w:rsidR="00BC5AD5" w:rsidRPr="00BC5AD5">
        <w:rPr>
          <w:rFonts w:cstheme="minorHAnsi"/>
          <w:color w:val="000000" w:themeColor="text1"/>
        </w:rPr>
        <w:t xml:space="preserve">. </w:t>
      </w:r>
      <w:r w:rsidR="00310C71" w:rsidRPr="00BC5AD5">
        <w:rPr>
          <w:rFonts w:cstheme="minorHAnsi"/>
          <w:color w:val="000000" w:themeColor="text1"/>
        </w:rPr>
        <w:t>Protocol pathway, study measurements and requirements for participants</w:t>
      </w:r>
      <w:bookmarkEnd w:id="391"/>
      <w:r w:rsidR="002475F3" w:rsidRPr="00BC5AD5">
        <w:rPr>
          <w:rFonts w:cstheme="minorHAnsi"/>
          <w:color w:val="000000" w:themeColor="text1"/>
        </w:rPr>
        <w:t>.</w:t>
      </w:r>
      <w:bookmarkEnd w:id="392"/>
    </w:p>
    <w:p w14:paraId="27364713" w14:textId="67DEB717" w:rsidR="00310C71" w:rsidRPr="00CA4ABC" w:rsidRDefault="00310C71" w:rsidP="009B5B1E">
      <w:pPr>
        <w:pStyle w:val="Heading3"/>
        <w:spacing w:line="360" w:lineRule="auto"/>
        <w:rPr>
          <w:rFonts w:asciiTheme="minorHAnsi" w:hAnsiTheme="minorHAnsi" w:cstheme="minorHAnsi"/>
          <w:color w:val="000000" w:themeColor="text1"/>
        </w:rPr>
      </w:pPr>
      <w:bookmarkStart w:id="393" w:name="_Toc135384409"/>
      <w:r w:rsidRPr="00CA4ABC">
        <w:rPr>
          <w:rFonts w:asciiTheme="minorHAnsi" w:hAnsiTheme="minorHAnsi" w:cstheme="minorHAnsi"/>
          <w:color w:val="000000" w:themeColor="text1"/>
        </w:rPr>
        <w:t>6.4.1.4 Sample size:</w:t>
      </w:r>
      <w:bookmarkEnd w:id="393"/>
    </w:p>
    <w:p w14:paraId="13DCB28D" w14:textId="102AB77A" w:rsidR="00310C71" w:rsidRPr="00CA4ABC" w:rsidRDefault="00310C71" w:rsidP="00217C4B">
      <w:pPr>
        <w:pStyle w:val="ssc"/>
        <w:spacing w:before="0" w:beforeAutospacing="0" w:after="0" w:afterAutospacing="0" w:line="360" w:lineRule="auto"/>
        <w:ind w:firstLine="720"/>
        <w:textAlignment w:val="baseline"/>
        <w:rPr>
          <w:rFonts w:asciiTheme="minorHAnsi" w:hAnsiTheme="minorHAnsi" w:cstheme="minorHAnsi"/>
          <w:color w:val="000000" w:themeColor="text1"/>
          <w:spacing w:val="2"/>
        </w:rPr>
      </w:pPr>
      <w:r w:rsidRPr="00CA4ABC">
        <w:rPr>
          <w:rFonts w:asciiTheme="minorHAnsi" w:hAnsiTheme="minorHAnsi" w:cstheme="minorHAnsi"/>
          <w:color w:val="000000" w:themeColor="text1"/>
          <w:spacing w:val="2"/>
        </w:rPr>
        <w:t>Sample size was calculated using the online tool:</w:t>
      </w:r>
      <w:r w:rsidR="00217C4B" w:rsidRPr="00CA4ABC">
        <w:rPr>
          <w:rFonts w:asciiTheme="minorHAnsi" w:hAnsiTheme="minorHAnsi" w:cstheme="minorHAnsi"/>
          <w:color w:val="000000" w:themeColor="text1"/>
          <w:spacing w:val="2"/>
        </w:rPr>
        <w:t xml:space="preserve"> </w:t>
      </w:r>
      <w:r w:rsidRPr="00CA4ABC">
        <w:rPr>
          <w:rFonts w:asciiTheme="minorHAnsi" w:hAnsiTheme="minorHAnsi" w:cstheme="minorHAnsi"/>
          <w:color w:val="000000" w:themeColor="text1"/>
          <w:spacing w:val="2"/>
        </w:rPr>
        <w:t>(https://clincalc.com/stats/samplesize.aspx)</w:t>
      </w:r>
    </w:p>
    <w:p w14:paraId="14BA8632" w14:textId="1EF6A209" w:rsidR="00310C71" w:rsidRPr="00CA4ABC" w:rsidRDefault="00310C71" w:rsidP="00310C71">
      <w:pPr>
        <w:pStyle w:val="ssc"/>
        <w:spacing w:before="0" w:beforeAutospacing="0" w:after="0" w:afterAutospacing="0" w:line="360" w:lineRule="auto"/>
        <w:jc w:val="both"/>
        <w:textAlignment w:val="baseline"/>
        <w:rPr>
          <w:rFonts w:asciiTheme="minorHAnsi" w:hAnsiTheme="minorHAnsi" w:cstheme="minorHAnsi"/>
          <w:color w:val="000000" w:themeColor="text1"/>
        </w:rPr>
      </w:pPr>
      <w:r w:rsidRPr="00CA4ABC">
        <w:rPr>
          <w:rFonts w:asciiTheme="minorHAnsi" w:hAnsiTheme="minorHAnsi" w:cstheme="minorHAnsi"/>
          <w:color w:val="000000" w:themeColor="text1"/>
          <w:spacing w:val="2"/>
        </w:rPr>
        <w:t>Two independent study groups of continuous means were calculated, with Type I/II error rate of 0.05 (alpha) and 80% (power) and an enrolment ratio of 1. The anticipated means were based on the results of the findings of Kerksick et al</w:t>
      </w:r>
      <w:r w:rsidR="00BC5AD5">
        <w:rPr>
          <w:rFonts w:asciiTheme="minorHAnsi" w:hAnsiTheme="minorHAnsi" w:cstheme="minorHAnsi"/>
          <w:color w:val="000000" w:themeColor="text1"/>
          <w:spacing w:val="2"/>
        </w:rPr>
        <w:t>.</w:t>
      </w:r>
      <w:r w:rsidRPr="00CA4ABC">
        <w:rPr>
          <w:rFonts w:asciiTheme="minorHAnsi" w:hAnsiTheme="minorHAnsi" w:cstheme="minorHAnsi"/>
          <w:color w:val="000000" w:themeColor="text1"/>
          <w:spacing w:val="2"/>
        </w:rPr>
        <w:t xml:space="preserve"> </w:t>
      </w:r>
      <w:r w:rsidRPr="00CA4ABC">
        <w:rPr>
          <w:rFonts w:asciiTheme="minorHAnsi" w:hAnsiTheme="minorHAnsi" w:cstheme="minorHAnsi"/>
          <w:color w:val="000000" w:themeColor="text1"/>
          <w:spacing w:val="2"/>
        </w:rPr>
        <w:fldChar w:fldCharType="begin" w:fldLock="1"/>
      </w:r>
      <w:r w:rsidR="00821D82">
        <w:rPr>
          <w:rFonts w:asciiTheme="minorHAnsi" w:hAnsiTheme="minorHAnsi" w:cstheme="minorHAnsi"/>
          <w:color w:val="000000" w:themeColor="text1"/>
          <w:spacing w:val="2"/>
        </w:rPr>
        <w:instrText>ADDIN CSL_CITATION {"citationItems":[{"id":"ITEM-1","itemData":{"DOI":"10.1519/R-17695.1","ISSN":"1064-8011","PMID":"16937979","abstract":"The purpose of this study was to examine the effects of whey protein supplementation on body composition, muscular strength, muscular endurance, and anaerobic capacity during 10 weeks of resistance training. Thirty-six resistance-trained males (31.0 ± 8.0 years, 179.1 ± 8.0 cm, 84.0 ± 12.9 kg, 17.8 ± 6.6%) followed a 4 days-per-week split body part resistance training program for 10 weeks. Three groups of supplements were randomly assigned, prior to the beginning of the exercise program, in a double-blind manner to all subjects: 48 g per day (g·d-1) carbohydrate placebo (P), 40 g·d-1 of whey protein + 8 g·d-1 of casein (WC), or 40 g·d-1 of whey protein + 3 g·d-1 branched-chain amino acids + 5 g·d-1 L-glutamine (WBG). At 0, 5, and 10 weeks, subjects were tested for fasting blood samples, body mass, body composition using dual-energy x-ray absorptiometry (DEXA), 1 repetition maximum (1RM) bench and leg press, 80% 1RM maximal repetitions to fatigue for bench press and leg press, and 30-second Wingate anaerobic capacity tests. No changes (p &gt; 0.05) were noted in all groups for energy intake, training volume, blood parameters, and anaerobic capacity. WC experienced the greatest increases in DEXA lean mass (P = 0.0 ± 0.9; WC = 1.9 ± 0.6; WBG = -0.1 ± 0.3 kg, p &lt; 0.05) and DEXA fat-free mass (P = 0.1 ± 1.0; WC = 1.8 ± 0.6; WBG = -0.1 ± 0.2 kg, p &lt; 0.05). Significant increases in 1RM bench press and leg press were observed in all groups after 10 weeks. In this study, the combination of whey and casein protein promoted the greatest increases in fat-free mass after 10 weeks of heavy resistance training. Athletes, coaches, and nutritionists can use these findings to increase fat-free mass and to improve body composition during resistance training. © 2006 National Strength &amp; Conditioning Association.","author":[{"dropping-particle":"","family":"Kerksick","given":"Chad M.","non-dropping-particle":"","parse-names":false,"suffix":""},{"dropping-particle":"","family":"Rasmussen","given":"Christopher J.","non-dropping-particle":"","parse-names":false,"suffix":""},{"dropping-particle":"","family":"Lancaster","given":"Stacy L.","non-dropping-particle":"","parse-names":false,"suffix":""},{"dropping-particle":"","family":"Magu","given":"Bharat","non-dropping-particle":"","parse-names":false,"suffix":""},{"dropping-particle":"","family":"Smith","given":"Penney","non-dropping-particle":"","parse-names":false,"suffix":""},{"dropping-particle":"","family":"Melton","given":"Charles","non-dropping-particle":"","parse-names":false,"suffix":""},{"dropping-particle":"","family":"Greenwood","given":"Michael","non-dropping-particle":"","parse-names":false,"suffix":""},{"dropping-particle":"","family":"Almada","given":"Anthony L.","non-dropping-particle":"","parse-names":false,"suffix":""},{"dropping-particle":"","family":"Earnest","given":"Conrad P.","non-dropping-particle":"","parse-names":false,"suffix":""},{"dropping-particle":"","family":"Kreider","given":"Richard B.","non-dropping-particle":"","parse-names":false,"suffix":""}],"container-title":"Journal of strength and conditioning research","id":"ITEM-1","issue":"3","issued":{"date-parts":[["2006","8"]]},"page":"643-653","publisher":"J Strength Cond Res","title":"The effects of protein and amino acid supplementation on performance and training adaptations during ten weeks of resistance training","type":"article-journal","volume":"20"},"uris":["http://www.mendeley.com/documents/?uuid=f1ae3956-a633-3f87-b394-0477c436006a"]}],"mendeley":{"formattedCitation":"(346)","plainTextFormattedCitation":"(346)","previouslyFormattedCitation":"(345)"},"properties":{"noteIndex":0},"schema":"https://github.com/citation-style-language/schema/raw/master/csl-citation.json"}</w:instrText>
      </w:r>
      <w:r w:rsidRPr="00CA4ABC">
        <w:rPr>
          <w:rFonts w:asciiTheme="minorHAnsi" w:hAnsiTheme="minorHAnsi" w:cstheme="minorHAnsi"/>
          <w:color w:val="000000" w:themeColor="text1"/>
          <w:spacing w:val="2"/>
        </w:rPr>
        <w:fldChar w:fldCharType="separate"/>
      </w:r>
      <w:r w:rsidR="00821D82" w:rsidRPr="00821D82">
        <w:rPr>
          <w:rFonts w:asciiTheme="minorHAnsi" w:hAnsiTheme="minorHAnsi" w:cstheme="minorHAnsi"/>
          <w:noProof/>
          <w:color w:val="000000" w:themeColor="text1"/>
          <w:spacing w:val="2"/>
        </w:rPr>
        <w:t>(346)</w:t>
      </w:r>
      <w:r w:rsidRPr="00CA4ABC">
        <w:rPr>
          <w:rFonts w:asciiTheme="minorHAnsi" w:hAnsiTheme="minorHAnsi" w:cstheme="minorHAnsi"/>
          <w:color w:val="000000" w:themeColor="text1"/>
          <w:spacing w:val="2"/>
        </w:rPr>
        <w:fldChar w:fldCharType="end"/>
      </w:r>
      <w:r w:rsidRPr="00CA4ABC">
        <w:rPr>
          <w:rFonts w:asciiTheme="minorHAnsi" w:hAnsiTheme="minorHAnsi" w:cstheme="minorHAnsi"/>
          <w:color w:val="000000" w:themeColor="text1"/>
          <w:spacing w:val="2"/>
        </w:rPr>
        <w:t>, which explored t</w:t>
      </w:r>
      <w:r w:rsidRPr="00CA4ABC">
        <w:rPr>
          <w:rFonts w:asciiTheme="minorHAnsi" w:hAnsiTheme="minorHAnsi" w:cstheme="minorHAnsi"/>
          <w:color w:val="000000" w:themeColor="text1"/>
        </w:rPr>
        <w:t xml:space="preserve">he effects of protein and amino acid supplementation on performance and training adaptations during ten weeks of resistance training. The reported starting strength measurements (1RM) were mean (SD) of 99kg </w:t>
      </w:r>
      <w:r w:rsidR="00327BA5"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 22  (group 1) and end point of a strength increase (1RM) to 107kg </w:t>
      </w:r>
      <w:r w:rsidR="00327BA5" w:rsidRPr="00CA4ABC">
        <w:rPr>
          <w:rFonts w:asciiTheme="minorHAnsi" w:hAnsiTheme="minorHAnsi" w:cstheme="minorHAnsi"/>
          <w:color w:val="000000" w:themeColor="text1"/>
        </w:rPr>
        <w:t xml:space="preserve">± </w:t>
      </w:r>
      <w:r w:rsidRPr="00CA4ABC">
        <w:rPr>
          <w:rFonts w:asciiTheme="minorHAnsi" w:hAnsiTheme="minorHAnsi" w:cstheme="minorHAnsi"/>
          <w:color w:val="000000" w:themeColor="text1"/>
        </w:rPr>
        <w:t xml:space="preserve">16 (8%) (group 2). Based on the four arms of the trial, calculations dictate that 480 participants would need to be recruited, </w:t>
      </w:r>
      <w:r w:rsidRPr="00CA4ABC">
        <w:rPr>
          <w:rFonts w:asciiTheme="minorHAnsi" w:hAnsiTheme="minorHAnsi" w:cstheme="minorHAnsi"/>
          <w:color w:val="000000" w:themeColor="text1"/>
          <w:spacing w:val="2"/>
        </w:rPr>
        <w:t>split across the two research sites; 240 individuals per site.</w:t>
      </w:r>
    </w:p>
    <w:p w14:paraId="52BADDC4" w14:textId="77777777" w:rsidR="00310C71" w:rsidRPr="00CA4ABC" w:rsidRDefault="00310C71" w:rsidP="00310C71">
      <w:pPr>
        <w:pStyle w:val="ssc"/>
        <w:spacing w:before="0" w:beforeAutospacing="0" w:after="0" w:afterAutospacing="0" w:line="360" w:lineRule="auto"/>
        <w:jc w:val="both"/>
        <w:textAlignment w:val="baseline"/>
        <w:rPr>
          <w:rFonts w:asciiTheme="minorHAnsi" w:hAnsiTheme="minorHAnsi" w:cstheme="minorHAnsi"/>
          <w:color w:val="000000" w:themeColor="text1"/>
          <w:spacing w:val="2"/>
        </w:rPr>
      </w:pPr>
    </w:p>
    <w:p w14:paraId="65DA8B7B" w14:textId="0F126E83" w:rsidR="00310C71" w:rsidRPr="00CA4ABC" w:rsidRDefault="00310C71" w:rsidP="00310C71">
      <w:pPr>
        <w:pStyle w:val="Heading3"/>
        <w:spacing w:line="360" w:lineRule="auto"/>
        <w:rPr>
          <w:rFonts w:asciiTheme="minorHAnsi" w:hAnsiTheme="minorHAnsi" w:cstheme="minorHAnsi"/>
          <w:color w:val="000000" w:themeColor="text1"/>
        </w:rPr>
      </w:pPr>
      <w:bookmarkStart w:id="394" w:name="_Toc135384410"/>
      <w:r w:rsidRPr="00CA4ABC">
        <w:rPr>
          <w:rFonts w:asciiTheme="minorHAnsi" w:hAnsiTheme="minorHAnsi" w:cstheme="minorHAnsi"/>
          <w:color w:val="000000" w:themeColor="text1"/>
        </w:rPr>
        <w:t>6.4.1.5 Recruitment</w:t>
      </w:r>
      <w:bookmarkEnd w:id="394"/>
    </w:p>
    <w:p w14:paraId="0C25E160" w14:textId="2DE54125"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A recruitment campaign will be launched, which will provide details about the trial and eligibility criteria; this will be disseminated in physical and electronic formats. Physical posters will be placed in shops (including vegan and vegetarian cafes), local businesses, community halls and areas of high footfall, such as bus stops.  Information about the trial </w:t>
      </w:r>
      <w:r w:rsidRPr="00CA4ABC">
        <w:rPr>
          <w:rFonts w:cstheme="minorHAnsi"/>
          <w:color w:val="000000" w:themeColor="text1"/>
        </w:rPr>
        <w:lastRenderedPageBreak/>
        <w:t>will be circulated via email, using appropriate email networks and volunteer databases</w:t>
      </w:r>
      <w:r w:rsidR="002B6E6D" w:rsidRPr="00CA4ABC">
        <w:rPr>
          <w:rFonts w:cstheme="minorHAnsi"/>
          <w:color w:val="000000" w:themeColor="text1"/>
        </w:rPr>
        <w:t>. Social media posts</w:t>
      </w:r>
      <w:r w:rsidR="00110659" w:rsidRPr="00CA4ABC">
        <w:rPr>
          <w:rFonts w:cstheme="minorHAnsi"/>
          <w:color w:val="000000" w:themeColor="text1"/>
        </w:rPr>
        <w:t xml:space="preserve"> will be made</w:t>
      </w:r>
      <w:r w:rsidRPr="00CA4ABC">
        <w:rPr>
          <w:rFonts w:cstheme="minorHAnsi"/>
          <w:color w:val="000000" w:themeColor="text1"/>
        </w:rPr>
        <w:t xml:space="preserve">, including on specifically </w:t>
      </w:r>
      <w:r w:rsidR="00110659" w:rsidRPr="00CA4ABC">
        <w:rPr>
          <w:rFonts w:cstheme="minorHAnsi"/>
          <w:color w:val="000000" w:themeColor="text1"/>
        </w:rPr>
        <w:t>created</w:t>
      </w:r>
      <w:r w:rsidRPr="00CA4ABC">
        <w:rPr>
          <w:rFonts w:cstheme="minorHAnsi"/>
          <w:color w:val="000000" w:themeColor="text1"/>
        </w:rPr>
        <w:t xml:space="preserve"> research pages and pages targeted at individuals likely to meet the inclusion criteria i.e. vegan pages. These posts will also be boosted to maximise their reach. Local groups, hubs and communities including the University of Third Age, Age UK, Women’s Institute, working men’s clubs and other appropriate networks will be contacted by the research team to try and engage their members. Male</w:t>
      </w:r>
      <w:r w:rsidR="00343975" w:rsidRPr="00CA4ABC">
        <w:rPr>
          <w:rFonts w:cstheme="minorHAnsi"/>
          <w:color w:val="000000" w:themeColor="text1"/>
        </w:rPr>
        <w:t>-</w:t>
      </w:r>
      <w:r w:rsidRPr="00CA4ABC">
        <w:rPr>
          <w:rFonts w:cstheme="minorHAnsi"/>
          <w:color w:val="000000" w:themeColor="text1"/>
        </w:rPr>
        <w:t xml:space="preserve">dominant environments will also be targeted, to address the imbalance previously achieved in this population in the feasibility trial. This would include local sports clubs and teams. It will also be </w:t>
      </w:r>
      <w:r w:rsidR="00343975" w:rsidRPr="00CA4ABC">
        <w:rPr>
          <w:rFonts w:cstheme="minorHAnsi"/>
          <w:color w:val="000000" w:themeColor="text1"/>
        </w:rPr>
        <w:t>an</w:t>
      </w:r>
      <w:r w:rsidRPr="00CA4ABC">
        <w:rPr>
          <w:rFonts w:cstheme="minorHAnsi"/>
          <w:color w:val="000000" w:themeColor="text1"/>
        </w:rPr>
        <w:t xml:space="preserve"> aim to create links with community hubs, particularly those in deprived areas of the cities, to try and promote equality and diversity. An example is Zest in Sheffiel</w:t>
      </w:r>
      <w:r w:rsidR="00330CF8" w:rsidRPr="00CA4ABC">
        <w:rPr>
          <w:rFonts w:cstheme="minorHAnsi"/>
          <w:color w:val="000000" w:themeColor="text1"/>
        </w:rPr>
        <w:t>d; a community hub delivering a range of services to Sheffield residents including health, leisure and work facilities (</w:t>
      </w:r>
      <w:hyperlink r:id="rId59" w:history="1">
        <w:r w:rsidR="00330CF8" w:rsidRPr="00CA4ABC">
          <w:rPr>
            <w:rStyle w:val="Hyperlink"/>
            <w:rFonts w:cstheme="minorHAnsi"/>
          </w:rPr>
          <w:t>https://www.zestcommunity.co.uk/</w:t>
        </w:r>
      </w:hyperlink>
      <w:r w:rsidR="00330CF8" w:rsidRPr="00CA4ABC">
        <w:rPr>
          <w:rFonts w:cstheme="minorHAnsi"/>
          <w:color w:val="000000" w:themeColor="text1"/>
        </w:rPr>
        <w:t xml:space="preserve">). </w:t>
      </w:r>
      <w:r w:rsidRPr="00CA4ABC">
        <w:rPr>
          <w:rFonts w:cstheme="minorHAnsi"/>
          <w:color w:val="000000" w:themeColor="text1"/>
        </w:rPr>
        <w:t>Interested parties can contact the research team using contact details outlined in the email/on the poster, including a telephone number, email address and</w:t>
      </w:r>
      <w:r w:rsidR="0048506A" w:rsidRPr="00CA4ABC">
        <w:rPr>
          <w:rFonts w:cstheme="minorHAnsi"/>
          <w:color w:val="000000" w:themeColor="text1"/>
        </w:rPr>
        <w:t xml:space="preserve"> a</w:t>
      </w:r>
      <w:r w:rsidRPr="00CA4ABC">
        <w:rPr>
          <w:rFonts w:cstheme="minorHAnsi"/>
          <w:color w:val="000000" w:themeColor="text1"/>
        </w:rPr>
        <w:t xml:space="preserve"> QR code to scan which will take them to the research page. </w:t>
      </w:r>
    </w:p>
    <w:p w14:paraId="2443E4BC" w14:textId="332CF9D4"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GP sites will be contacted to suggest that they refer participants likely to meet the eligibility criteria, particularly if they are sedentary and/or have an inadequate diet (based on findings from chapter 4.) A research nurse </w:t>
      </w:r>
      <w:r w:rsidR="0048506A" w:rsidRPr="00CA4ABC">
        <w:rPr>
          <w:rFonts w:cstheme="minorHAnsi"/>
          <w:color w:val="000000" w:themeColor="text1"/>
        </w:rPr>
        <w:t>will also help manage</w:t>
      </w:r>
      <w:r w:rsidRPr="00CA4ABC">
        <w:rPr>
          <w:rFonts w:cstheme="minorHAnsi"/>
          <w:color w:val="000000" w:themeColor="text1"/>
        </w:rPr>
        <w:t xml:space="preserve"> this recruitment. Targeting males </w:t>
      </w:r>
      <w:r w:rsidR="0048506A" w:rsidRPr="00CA4ABC">
        <w:rPr>
          <w:rFonts w:cstheme="minorHAnsi"/>
          <w:color w:val="000000" w:themeColor="text1"/>
        </w:rPr>
        <w:t>w</w:t>
      </w:r>
      <w:r w:rsidRPr="00CA4ABC">
        <w:rPr>
          <w:rFonts w:cstheme="minorHAnsi"/>
          <w:color w:val="000000" w:themeColor="text1"/>
        </w:rPr>
        <w:t>ould also be a priority through these channels.</w:t>
      </w:r>
    </w:p>
    <w:p w14:paraId="5BAAD75D" w14:textId="77777777" w:rsidR="00310C71" w:rsidRPr="00CA4ABC" w:rsidRDefault="00310C71" w:rsidP="00310C71">
      <w:pPr>
        <w:spacing w:line="360" w:lineRule="auto"/>
        <w:rPr>
          <w:rFonts w:cstheme="minorHAnsi"/>
          <w:color w:val="000000" w:themeColor="text1"/>
        </w:rPr>
      </w:pPr>
      <w:r w:rsidRPr="00CA4ABC">
        <w:rPr>
          <w:rFonts w:cstheme="minorHAnsi"/>
          <w:color w:val="000000" w:themeColor="text1"/>
        </w:rPr>
        <w:t>Collaboration across two university sites will also be carried out to maximise participant recruitment.</w:t>
      </w:r>
    </w:p>
    <w:p w14:paraId="5D3559B1" w14:textId="77777777" w:rsidR="00310C71" w:rsidRPr="00CA4ABC" w:rsidRDefault="00310C71" w:rsidP="00310C71">
      <w:pPr>
        <w:pStyle w:val="Heading3"/>
        <w:spacing w:line="360" w:lineRule="auto"/>
        <w:rPr>
          <w:rFonts w:asciiTheme="minorHAnsi" w:hAnsiTheme="minorHAnsi" w:cstheme="minorHAnsi"/>
          <w:color w:val="000000" w:themeColor="text1"/>
        </w:rPr>
      </w:pPr>
    </w:p>
    <w:p w14:paraId="62BECFBD" w14:textId="039F8961" w:rsidR="00310C71" w:rsidRPr="00CA4ABC" w:rsidRDefault="00310C71" w:rsidP="00310C71">
      <w:pPr>
        <w:pStyle w:val="Heading3"/>
        <w:spacing w:line="360" w:lineRule="auto"/>
        <w:rPr>
          <w:rFonts w:asciiTheme="minorHAnsi" w:hAnsiTheme="minorHAnsi" w:cstheme="minorHAnsi"/>
          <w:color w:val="000000" w:themeColor="text1"/>
        </w:rPr>
      </w:pPr>
      <w:bookmarkStart w:id="395" w:name="_Toc135384411"/>
      <w:r w:rsidRPr="00CA4ABC">
        <w:rPr>
          <w:rFonts w:asciiTheme="minorHAnsi" w:hAnsiTheme="minorHAnsi" w:cstheme="minorHAnsi"/>
          <w:color w:val="000000" w:themeColor="text1"/>
        </w:rPr>
        <w:t>6.4.3 Data collection, management and analysis:</w:t>
      </w:r>
      <w:bookmarkEnd w:id="395"/>
    </w:p>
    <w:p w14:paraId="4D3469D7" w14:textId="674FD8A5" w:rsidR="00310C71" w:rsidRPr="00CA4ABC" w:rsidRDefault="00310C71" w:rsidP="00310C71">
      <w:pPr>
        <w:pStyle w:val="Heading3"/>
        <w:spacing w:line="360" w:lineRule="auto"/>
        <w:rPr>
          <w:rFonts w:asciiTheme="minorHAnsi" w:hAnsiTheme="minorHAnsi" w:cstheme="minorHAnsi"/>
          <w:color w:val="000000" w:themeColor="text1"/>
        </w:rPr>
      </w:pPr>
      <w:bookmarkStart w:id="396" w:name="_Toc135384412"/>
      <w:r w:rsidRPr="00CA4ABC">
        <w:rPr>
          <w:rFonts w:asciiTheme="minorHAnsi" w:hAnsiTheme="minorHAnsi" w:cstheme="minorHAnsi"/>
          <w:color w:val="000000" w:themeColor="text1"/>
        </w:rPr>
        <w:t>6.4.3.1 Data collection methods</w:t>
      </w:r>
      <w:bookmarkEnd w:id="396"/>
    </w:p>
    <w:p w14:paraId="6ECD3153" w14:textId="6C437C3B"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Baseline and follow</w:t>
      </w:r>
      <w:r w:rsidR="00343975" w:rsidRPr="00CA4ABC">
        <w:rPr>
          <w:rFonts w:cstheme="minorHAnsi"/>
          <w:color w:val="000000" w:themeColor="text1"/>
        </w:rPr>
        <w:t>-</w:t>
      </w:r>
      <w:r w:rsidRPr="00CA4ABC">
        <w:rPr>
          <w:rFonts w:cstheme="minorHAnsi"/>
          <w:color w:val="000000" w:themeColor="text1"/>
        </w:rPr>
        <w:t>up measurements will be collected via face</w:t>
      </w:r>
      <w:r w:rsidR="00343975" w:rsidRPr="00CA4ABC">
        <w:rPr>
          <w:rFonts w:cstheme="minorHAnsi"/>
          <w:color w:val="000000" w:themeColor="text1"/>
        </w:rPr>
        <w:t>-</w:t>
      </w:r>
      <w:r w:rsidRPr="00CA4ABC">
        <w:rPr>
          <w:rFonts w:cstheme="minorHAnsi"/>
          <w:color w:val="000000" w:themeColor="text1"/>
        </w:rPr>
        <w:t>to</w:t>
      </w:r>
      <w:r w:rsidR="00343975" w:rsidRPr="00CA4ABC">
        <w:rPr>
          <w:rFonts w:cstheme="minorHAnsi"/>
          <w:color w:val="000000" w:themeColor="text1"/>
        </w:rPr>
        <w:t>-</w:t>
      </w:r>
      <w:r w:rsidRPr="00CA4ABC">
        <w:rPr>
          <w:rFonts w:cstheme="minorHAnsi"/>
          <w:color w:val="000000" w:themeColor="text1"/>
        </w:rPr>
        <w:t>face measurements.  An excel database will be created to record all outcome measures</w:t>
      </w:r>
      <w:r w:rsidR="0048506A" w:rsidRPr="00CA4ABC">
        <w:rPr>
          <w:rFonts w:cstheme="minorHAnsi"/>
          <w:color w:val="000000" w:themeColor="text1"/>
        </w:rPr>
        <w:t xml:space="preserve"> (</w:t>
      </w:r>
      <w:r w:rsidR="0048506A" w:rsidRPr="00CA4ABC">
        <w:rPr>
          <w:rFonts w:cstheme="minorHAnsi"/>
          <w:color w:val="000000" w:themeColor="text1"/>
        </w:rPr>
        <w:fldChar w:fldCharType="begin"/>
      </w:r>
      <w:r w:rsidR="0048506A" w:rsidRPr="00CA4ABC">
        <w:rPr>
          <w:rFonts w:cstheme="minorHAnsi"/>
          <w:color w:val="000000" w:themeColor="text1"/>
        </w:rPr>
        <w:instrText xml:space="preserve"> REF _Ref127016157 \h </w:instrText>
      </w:r>
      <w:r w:rsidR="00CA4ABC">
        <w:rPr>
          <w:rFonts w:cstheme="minorHAnsi"/>
          <w:color w:val="000000" w:themeColor="text1"/>
        </w:rPr>
        <w:instrText xml:space="preserve"> \* MERGEFORMAT </w:instrText>
      </w:r>
      <w:r w:rsidR="0048506A" w:rsidRPr="00CA4ABC">
        <w:rPr>
          <w:rFonts w:cstheme="minorHAnsi"/>
          <w:color w:val="000000" w:themeColor="text1"/>
        </w:rPr>
      </w:r>
      <w:r w:rsidR="0048506A" w:rsidRPr="00CA4ABC">
        <w:rPr>
          <w:rFonts w:cstheme="minorHAnsi"/>
          <w:color w:val="000000" w:themeColor="text1"/>
        </w:rPr>
        <w:fldChar w:fldCharType="separate"/>
      </w:r>
      <w:r w:rsidR="0048506A" w:rsidRPr="00CA4ABC">
        <w:rPr>
          <w:rFonts w:cstheme="minorHAnsi"/>
          <w:color w:val="000000" w:themeColor="text1"/>
        </w:rPr>
        <w:t xml:space="preserve">Table </w:t>
      </w:r>
      <w:r w:rsidR="0048506A" w:rsidRPr="00CA4ABC">
        <w:rPr>
          <w:rFonts w:cstheme="minorHAnsi"/>
          <w:noProof/>
          <w:color w:val="000000" w:themeColor="text1"/>
        </w:rPr>
        <w:t>32</w:t>
      </w:r>
      <w:r w:rsidR="0048506A" w:rsidRPr="00CA4ABC">
        <w:rPr>
          <w:rFonts w:cstheme="minorHAnsi"/>
          <w:color w:val="000000" w:themeColor="text1"/>
        </w:rPr>
        <w:fldChar w:fldCharType="end"/>
      </w:r>
      <w:r w:rsidR="0048506A" w:rsidRPr="00CA4ABC">
        <w:rPr>
          <w:rFonts w:cstheme="minorHAnsi"/>
          <w:color w:val="000000" w:themeColor="text1"/>
        </w:rPr>
        <w:t>)</w:t>
      </w:r>
      <w:r w:rsidR="00217C4B" w:rsidRPr="00CA4ABC">
        <w:rPr>
          <w:rFonts w:cstheme="minorHAnsi"/>
          <w:color w:val="000000" w:themeColor="text1"/>
        </w:rPr>
        <w:t xml:space="preserve">, </w:t>
      </w:r>
      <w:r w:rsidRPr="00CA4ABC">
        <w:rPr>
          <w:rFonts w:cstheme="minorHAnsi"/>
          <w:color w:val="000000" w:themeColor="text1"/>
        </w:rPr>
        <w:t>recruitment rates, attendance registers and adverse events</w:t>
      </w:r>
      <w:r w:rsidR="0048506A" w:rsidRPr="00CA4ABC">
        <w:rPr>
          <w:rFonts w:cstheme="minorHAnsi"/>
          <w:color w:val="000000" w:themeColor="text1"/>
        </w:rPr>
        <w:t xml:space="preserve">. </w:t>
      </w:r>
      <w:r w:rsidRPr="00CA4ABC">
        <w:rPr>
          <w:rFonts w:cstheme="minorHAnsi"/>
          <w:color w:val="000000" w:themeColor="text1"/>
        </w:rPr>
        <w:t>Post</w:t>
      </w:r>
      <w:r w:rsidR="00343975" w:rsidRPr="00CA4ABC">
        <w:rPr>
          <w:rFonts w:cstheme="minorHAnsi"/>
          <w:color w:val="000000" w:themeColor="text1"/>
        </w:rPr>
        <w:t>-</w:t>
      </w:r>
      <w:r w:rsidRPr="00CA4ABC">
        <w:rPr>
          <w:rFonts w:cstheme="minorHAnsi"/>
          <w:color w:val="000000" w:themeColor="text1"/>
        </w:rPr>
        <w:t xml:space="preserve">exercise session feedback and engagement (RPE measurements) will be requested via </w:t>
      </w:r>
      <w:r w:rsidR="00343975" w:rsidRPr="00CA4ABC">
        <w:rPr>
          <w:rFonts w:cstheme="minorHAnsi"/>
          <w:color w:val="000000" w:themeColor="text1"/>
        </w:rPr>
        <w:t>G</w:t>
      </w:r>
      <w:r w:rsidRPr="00CA4ABC">
        <w:rPr>
          <w:rFonts w:cstheme="minorHAnsi"/>
          <w:color w:val="000000" w:themeColor="text1"/>
        </w:rPr>
        <w:t>oogle</w:t>
      </w:r>
      <w:r w:rsidR="00343975" w:rsidRPr="00CA4ABC">
        <w:rPr>
          <w:rFonts w:cstheme="minorHAnsi"/>
          <w:color w:val="000000" w:themeColor="text1"/>
        </w:rPr>
        <w:t xml:space="preserve"> F</w:t>
      </w:r>
      <w:r w:rsidRPr="00CA4ABC">
        <w:rPr>
          <w:rFonts w:cstheme="minorHAnsi"/>
          <w:color w:val="000000" w:themeColor="text1"/>
        </w:rPr>
        <w:t>orms</w:t>
      </w:r>
      <w:r w:rsidR="00343975" w:rsidRPr="00CA4ABC">
        <w:rPr>
          <w:rFonts w:cstheme="minorHAnsi"/>
          <w:color w:val="000000" w:themeColor="text1"/>
        </w:rPr>
        <w:t>,</w:t>
      </w:r>
      <w:r w:rsidRPr="00CA4ABC">
        <w:rPr>
          <w:rFonts w:cstheme="minorHAnsi"/>
          <w:color w:val="000000" w:themeColor="text1"/>
        </w:rPr>
        <w:t xml:space="preserve"> and this will be exported </w:t>
      </w:r>
      <w:r w:rsidR="00110659" w:rsidRPr="00CA4ABC">
        <w:rPr>
          <w:rFonts w:cstheme="minorHAnsi"/>
          <w:color w:val="000000" w:themeColor="text1"/>
        </w:rPr>
        <w:t>weekly</w:t>
      </w:r>
      <w:r w:rsidR="0048506A" w:rsidRPr="00CA4ABC">
        <w:rPr>
          <w:rFonts w:cstheme="minorHAnsi"/>
          <w:color w:val="000000" w:themeColor="text1"/>
        </w:rPr>
        <w:t xml:space="preserve"> and transferred to the main data collection document</w:t>
      </w:r>
      <w:r w:rsidRPr="00CA4ABC">
        <w:rPr>
          <w:rFonts w:cstheme="minorHAnsi"/>
          <w:color w:val="000000" w:themeColor="text1"/>
        </w:rPr>
        <w:t xml:space="preserve">. During the intervention, participants will collect self-reported data using study documentation designed specifically for this purpose, and these will be requested to be returned upon trial </w:t>
      </w:r>
      <w:r w:rsidRPr="00CA4ABC">
        <w:rPr>
          <w:rFonts w:cstheme="minorHAnsi"/>
          <w:color w:val="000000" w:themeColor="text1"/>
        </w:rPr>
        <w:lastRenderedPageBreak/>
        <w:t>completion</w:t>
      </w:r>
      <w:r w:rsidR="0048506A" w:rsidRPr="00CA4ABC">
        <w:rPr>
          <w:rFonts w:cstheme="minorHAnsi"/>
          <w:color w:val="000000" w:themeColor="text1"/>
        </w:rPr>
        <w:t xml:space="preserve"> and converted into electronic copies. </w:t>
      </w:r>
      <w:r w:rsidR="00217C4B" w:rsidRPr="00CA4ABC">
        <w:rPr>
          <w:rFonts w:cstheme="minorHAnsi"/>
          <w:color w:val="000000" w:themeColor="text1"/>
        </w:rPr>
        <w:t>This d</w:t>
      </w:r>
      <w:r w:rsidRPr="00CA4ABC">
        <w:rPr>
          <w:rFonts w:cstheme="minorHAnsi"/>
          <w:color w:val="000000" w:themeColor="text1"/>
        </w:rPr>
        <w:t xml:space="preserve">ata </w:t>
      </w:r>
      <w:r w:rsidRPr="00CA4ABC">
        <w:rPr>
          <w:rFonts w:cstheme="minorHAnsi"/>
          <w:color w:val="000000" w:themeColor="text1"/>
          <w:highlight w:val="white"/>
        </w:rPr>
        <w:t>will then be transferred to excel to collate responses from all participants</w:t>
      </w:r>
      <w:r w:rsidRPr="00CA4ABC">
        <w:rPr>
          <w:rFonts w:cstheme="minorHAnsi"/>
          <w:color w:val="000000" w:themeColor="text1"/>
        </w:rPr>
        <w:t xml:space="preserve">. </w:t>
      </w:r>
    </w:p>
    <w:p w14:paraId="50EA1D49" w14:textId="4167918E" w:rsidR="00310C71" w:rsidRPr="00CA4ABC" w:rsidRDefault="00310C71" w:rsidP="00310C71">
      <w:pPr>
        <w:spacing w:line="360" w:lineRule="auto"/>
        <w:rPr>
          <w:rFonts w:cstheme="minorHAnsi"/>
          <w:color w:val="000000" w:themeColor="text1"/>
        </w:rPr>
      </w:pPr>
      <w:r w:rsidRPr="00CA4ABC">
        <w:rPr>
          <w:rFonts w:cstheme="minorHAnsi"/>
          <w:color w:val="000000" w:themeColor="text1"/>
        </w:rPr>
        <w:t>All participant-facing documents for data collection will be developed by the research team and submitted for ethical approval.</w:t>
      </w:r>
    </w:p>
    <w:p w14:paraId="40725528" w14:textId="77777777" w:rsidR="00310C71" w:rsidRPr="00CA4ABC" w:rsidRDefault="00310C71" w:rsidP="00310C71">
      <w:pPr>
        <w:spacing w:line="360" w:lineRule="auto"/>
        <w:rPr>
          <w:rFonts w:cstheme="minorHAnsi"/>
          <w:color w:val="000000" w:themeColor="text1"/>
        </w:rPr>
      </w:pPr>
    </w:p>
    <w:p w14:paraId="585D8067" w14:textId="2F39E177" w:rsidR="00217C4B" w:rsidRPr="00CA4ABC" w:rsidRDefault="00310C71" w:rsidP="00217C4B">
      <w:pPr>
        <w:pStyle w:val="Heading3"/>
        <w:spacing w:line="360" w:lineRule="auto"/>
        <w:rPr>
          <w:rFonts w:asciiTheme="minorHAnsi" w:hAnsiTheme="minorHAnsi" w:cstheme="minorHAnsi"/>
          <w:color w:val="000000" w:themeColor="text1"/>
        </w:rPr>
      </w:pPr>
      <w:bookmarkStart w:id="397" w:name="_Toc135384413"/>
      <w:r w:rsidRPr="00CA4ABC">
        <w:rPr>
          <w:rFonts w:asciiTheme="minorHAnsi" w:hAnsiTheme="minorHAnsi" w:cstheme="minorHAnsi"/>
          <w:color w:val="000000" w:themeColor="text1"/>
        </w:rPr>
        <w:t>6.4.3.2  Data management</w:t>
      </w:r>
      <w:bookmarkEnd w:id="397"/>
    </w:p>
    <w:p w14:paraId="683DD66B" w14:textId="72E273A5" w:rsidR="003A5229" w:rsidRPr="00CA4ABC" w:rsidRDefault="003A5229" w:rsidP="003A5229">
      <w:pPr>
        <w:spacing w:line="360" w:lineRule="auto"/>
        <w:ind w:firstLine="720"/>
        <w:rPr>
          <w:rFonts w:eastAsia="Times New Roman" w:cstheme="minorHAnsi"/>
          <w:lang w:eastAsia="en-GB"/>
        </w:rPr>
      </w:pPr>
      <w:r w:rsidRPr="00CA4ABC">
        <w:rPr>
          <w:rFonts w:eastAsia="Times New Roman" w:cstheme="minorHAnsi"/>
          <w:color w:val="000000"/>
          <w:lang w:eastAsia="en-GB"/>
        </w:rPr>
        <w:t>Electronic data will be stored in chronologically organised folders and files on an encrypted, password-protected university computer and backed</w:t>
      </w:r>
      <w:r w:rsidR="00343975" w:rsidRPr="00CA4ABC">
        <w:rPr>
          <w:rFonts w:eastAsia="Times New Roman" w:cstheme="minorHAnsi"/>
          <w:color w:val="000000"/>
          <w:lang w:eastAsia="en-GB"/>
        </w:rPr>
        <w:t xml:space="preserve"> </w:t>
      </w:r>
      <w:r w:rsidRPr="00CA4ABC">
        <w:rPr>
          <w:rFonts w:eastAsia="Times New Roman" w:cstheme="minorHAnsi"/>
          <w:color w:val="000000"/>
          <w:lang w:eastAsia="en-GB"/>
        </w:rPr>
        <w:t>up on an encrypted University hard drive. Physical documents will be stored in a locked filing cabinet, also organised in a rational manner.</w:t>
      </w:r>
    </w:p>
    <w:p w14:paraId="2757B278" w14:textId="77777777" w:rsidR="003A5229" w:rsidRPr="00CA4ABC" w:rsidRDefault="003A5229" w:rsidP="003A5229">
      <w:pPr>
        <w:spacing w:line="360" w:lineRule="auto"/>
        <w:rPr>
          <w:rFonts w:eastAsia="Times New Roman" w:cstheme="minorHAnsi"/>
          <w:color w:val="000000"/>
          <w:lang w:eastAsia="en-GB"/>
        </w:rPr>
      </w:pPr>
    </w:p>
    <w:p w14:paraId="6A667923" w14:textId="0659C230" w:rsidR="003A5229" w:rsidRPr="00CA4ABC" w:rsidRDefault="003A5229" w:rsidP="003A5229">
      <w:pPr>
        <w:spacing w:line="360" w:lineRule="auto"/>
        <w:rPr>
          <w:rFonts w:eastAsia="Times New Roman" w:cstheme="minorHAnsi"/>
          <w:color w:val="000000"/>
          <w:lang w:eastAsia="en-GB"/>
        </w:rPr>
      </w:pPr>
      <w:r w:rsidRPr="00CA4ABC">
        <w:rPr>
          <w:rFonts w:eastAsia="Times New Roman" w:cstheme="minorHAnsi"/>
          <w:color w:val="000000"/>
          <w:lang w:eastAsia="en-GB"/>
        </w:rPr>
        <w:t>Following the completion of the study, files will be kept on University servers for 10 years. All persona</w:t>
      </w:r>
      <w:r w:rsidR="00343975" w:rsidRPr="00CA4ABC">
        <w:rPr>
          <w:rFonts w:eastAsia="Times New Roman" w:cstheme="minorHAnsi"/>
          <w:color w:val="000000"/>
          <w:lang w:eastAsia="en-GB"/>
        </w:rPr>
        <w:t>l</w:t>
      </w:r>
      <w:r w:rsidRPr="00CA4ABC">
        <w:rPr>
          <w:rFonts w:eastAsia="Times New Roman" w:cstheme="minorHAnsi"/>
          <w:color w:val="000000"/>
          <w:lang w:eastAsia="en-GB"/>
        </w:rPr>
        <w:t>l</w:t>
      </w:r>
      <w:r w:rsidR="00343975" w:rsidRPr="00CA4ABC">
        <w:rPr>
          <w:rFonts w:eastAsia="Times New Roman" w:cstheme="minorHAnsi"/>
          <w:color w:val="000000"/>
          <w:lang w:eastAsia="en-GB"/>
        </w:rPr>
        <w:t>y</w:t>
      </w:r>
      <w:r w:rsidRPr="00CA4ABC">
        <w:rPr>
          <w:rFonts w:eastAsia="Times New Roman" w:cstheme="minorHAnsi"/>
          <w:color w:val="000000"/>
          <w:lang w:eastAsia="en-GB"/>
        </w:rPr>
        <w:t xml:space="preserve"> identifiable data will be destroyed following </w:t>
      </w:r>
      <w:r w:rsidR="00DA2895" w:rsidRPr="00CA4ABC">
        <w:rPr>
          <w:rFonts w:eastAsia="Times New Roman" w:cstheme="minorHAnsi"/>
          <w:color w:val="000000"/>
          <w:lang w:eastAsia="en-GB"/>
        </w:rPr>
        <w:t xml:space="preserve">the </w:t>
      </w:r>
      <w:r w:rsidRPr="00CA4ABC">
        <w:rPr>
          <w:rFonts w:eastAsia="Times New Roman" w:cstheme="minorHAnsi"/>
          <w:color w:val="000000"/>
          <w:lang w:eastAsia="en-GB"/>
        </w:rPr>
        <w:t xml:space="preserve">completion of the trial and data analysis. Data will be shared with those in the research team via Google </w:t>
      </w:r>
      <w:r w:rsidR="00110659" w:rsidRPr="00CA4ABC">
        <w:rPr>
          <w:rFonts w:eastAsia="Times New Roman" w:cstheme="minorHAnsi"/>
          <w:color w:val="000000"/>
          <w:lang w:eastAsia="en-GB"/>
        </w:rPr>
        <w:t>D</w:t>
      </w:r>
      <w:r w:rsidRPr="00CA4ABC">
        <w:rPr>
          <w:rFonts w:eastAsia="Times New Roman" w:cstheme="minorHAnsi"/>
          <w:color w:val="000000"/>
          <w:lang w:eastAsia="en-GB"/>
        </w:rPr>
        <w:t>ocuments.</w:t>
      </w:r>
    </w:p>
    <w:p w14:paraId="5E7FC46F" w14:textId="77777777" w:rsidR="003A5229" w:rsidRPr="00CA4ABC" w:rsidRDefault="003A5229" w:rsidP="003A5229">
      <w:pPr>
        <w:spacing w:line="360" w:lineRule="auto"/>
        <w:rPr>
          <w:rFonts w:eastAsia="Times New Roman" w:cstheme="minorHAnsi"/>
          <w:color w:val="000000"/>
          <w:lang w:eastAsia="en-GB"/>
        </w:rPr>
      </w:pPr>
    </w:p>
    <w:p w14:paraId="65237579" w14:textId="083C90AE" w:rsidR="00310C71" w:rsidRPr="00CA4ABC" w:rsidRDefault="00310C71" w:rsidP="00310C71">
      <w:pPr>
        <w:pStyle w:val="Heading3"/>
        <w:spacing w:line="360" w:lineRule="auto"/>
        <w:rPr>
          <w:rFonts w:asciiTheme="minorHAnsi" w:hAnsiTheme="minorHAnsi" w:cstheme="minorHAnsi"/>
          <w:color w:val="000000" w:themeColor="text1"/>
        </w:rPr>
      </w:pPr>
      <w:bookmarkStart w:id="398" w:name="_Toc135384414"/>
      <w:r w:rsidRPr="00CA4ABC">
        <w:rPr>
          <w:rFonts w:asciiTheme="minorHAnsi" w:hAnsiTheme="minorHAnsi" w:cstheme="minorHAnsi"/>
          <w:color w:val="000000" w:themeColor="text1"/>
        </w:rPr>
        <w:t>6.4.3.3  Statistical methods</w:t>
      </w:r>
      <w:bookmarkEnd w:id="398"/>
    </w:p>
    <w:p w14:paraId="1C5E9F57" w14:textId="4A4524EE"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SPSS will be used to carry out statistical analysis. Data will be checked for normality using Shapiro-wilk tests and histogram graphs. It is anticipated that data will not be normally distributed</w:t>
      </w:r>
      <w:r w:rsidR="00343975" w:rsidRPr="00CA4ABC">
        <w:rPr>
          <w:rFonts w:cstheme="minorHAnsi"/>
          <w:color w:val="000000" w:themeColor="text1"/>
        </w:rPr>
        <w:t>. In this</w:t>
      </w:r>
      <w:r w:rsidRPr="00CA4ABC">
        <w:rPr>
          <w:rFonts w:cstheme="minorHAnsi"/>
          <w:color w:val="000000" w:themeColor="text1"/>
        </w:rPr>
        <w:t xml:space="preserve"> instance Wilcoxon signed rank test</w:t>
      </w:r>
      <w:r w:rsidR="00343975" w:rsidRPr="00CA4ABC">
        <w:rPr>
          <w:rFonts w:cstheme="minorHAnsi"/>
          <w:color w:val="000000" w:themeColor="text1"/>
        </w:rPr>
        <w:t>s</w:t>
      </w:r>
      <w:r w:rsidRPr="00CA4ABC">
        <w:rPr>
          <w:rFonts w:cstheme="minorHAnsi"/>
          <w:color w:val="000000" w:themeColor="text1"/>
        </w:rPr>
        <w:t xml:space="preserve"> will be used to determine differences between baseline and follow-up muscle parameter measurements (primary outcome.) If </w:t>
      </w:r>
      <w:r w:rsidR="00343975" w:rsidRPr="00CA4ABC">
        <w:rPr>
          <w:rFonts w:cstheme="minorHAnsi"/>
          <w:color w:val="000000" w:themeColor="text1"/>
        </w:rPr>
        <w:t xml:space="preserve">a </w:t>
      </w:r>
      <w:r w:rsidRPr="00CA4ABC">
        <w:rPr>
          <w:rFonts w:cstheme="minorHAnsi"/>
          <w:color w:val="000000" w:themeColor="text1"/>
        </w:rPr>
        <w:t>normal distribution is established, however, t-test</w:t>
      </w:r>
      <w:r w:rsidR="00343975" w:rsidRPr="00CA4ABC">
        <w:rPr>
          <w:rFonts w:cstheme="minorHAnsi"/>
          <w:color w:val="000000" w:themeColor="text1"/>
        </w:rPr>
        <w:t>s</w:t>
      </w:r>
      <w:r w:rsidRPr="00CA4ABC">
        <w:rPr>
          <w:rFonts w:cstheme="minorHAnsi"/>
          <w:color w:val="000000" w:themeColor="text1"/>
        </w:rPr>
        <w:t xml:space="preserve"> will be used. </w:t>
      </w:r>
      <w:r w:rsidR="00343975" w:rsidRPr="00CA4ABC">
        <w:rPr>
          <w:rFonts w:cstheme="minorHAnsi"/>
          <w:color w:val="000000"/>
          <w:shd w:val="clear" w:color="auto" w:fill="FFFFFF"/>
        </w:rPr>
        <w:t xml:space="preserve">Similar tests will be used to review all participants' QoL, RAPA, appetite and dietary intake measures. </w:t>
      </w:r>
      <w:r w:rsidRPr="00CA4ABC">
        <w:rPr>
          <w:rFonts w:cstheme="minorHAnsi"/>
          <w:color w:val="000000" w:themeColor="text1"/>
        </w:rPr>
        <w:t xml:space="preserve">A 3-way ANOVA will also be used to test differences between treatment arms. Further comparisons between pre-trial, end of </w:t>
      </w:r>
      <w:r w:rsidR="00343975" w:rsidRPr="00CA4ABC">
        <w:rPr>
          <w:rFonts w:cstheme="minorHAnsi"/>
          <w:color w:val="000000" w:themeColor="text1"/>
        </w:rPr>
        <w:t xml:space="preserve">the </w:t>
      </w:r>
      <w:r w:rsidRPr="00CA4ABC">
        <w:rPr>
          <w:rFonts w:cstheme="minorHAnsi"/>
          <w:color w:val="000000" w:themeColor="text1"/>
        </w:rPr>
        <w:t>trial and post-trial follow</w:t>
      </w:r>
      <w:r w:rsidR="00343975" w:rsidRPr="00CA4ABC">
        <w:rPr>
          <w:rFonts w:cstheme="minorHAnsi"/>
          <w:color w:val="000000" w:themeColor="text1"/>
        </w:rPr>
        <w:t>-</w:t>
      </w:r>
      <w:r w:rsidRPr="00CA4ABC">
        <w:rPr>
          <w:rFonts w:cstheme="minorHAnsi"/>
          <w:color w:val="000000" w:themeColor="text1"/>
        </w:rPr>
        <w:t xml:space="preserve">up will also be compared using relevant checks, depending on normality checks. </w:t>
      </w:r>
    </w:p>
    <w:p w14:paraId="7B1A511B" w14:textId="77777777" w:rsidR="0048506A" w:rsidRPr="00CA4ABC" w:rsidRDefault="0048506A" w:rsidP="00310C71">
      <w:pPr>
        <w:pStyle w:val="Heading3"/>
        <w:spacing w:line="360" w:lineRule="auto"/>
        <w:rPr>
          <w:rFonts w:asciiTheme="minorHAnsi" w:hAnsiTheme="minorHAnsi" w:cstheme="minorHAnsi"/>
          <w:color w:val="000000" w:themeColor="text1"/>
        </w:rPr>
      </w:pPr>
    </w:p>
    <w:p w14:paraId="75139429" w14:textId="774C8DAE" w:rsidR="00310C71" w:rsidRPr="00CA4ABC" w:rsidRDefault="00310C71" w:rsidP="00310C71">
      <w:pPr>
        <w:pStyle w:val="Heading3"/>
        <w:spacing w:line="360" w:lineRule="auto"/>
        <w:rPr>
          <w:rFonts w:asciiTheme="minorHAnsi" w:hAnsiTheme="minorHAnsi" w:cstheme="minorHAnsi"/>
          <w:color w:val="000000" w:themeColor="text1"/>
        </w:rPr>
      </w:pPr>
      <w:bookmarkStart w:id="399" w:name="_Toc135384415"/>
      <w:r w:rsidRPr="00CA4ABC">
        <w:rPr>
          <w:rFonts w:asciiTheme="minorHAnsi" w:hAnsiTheme="minorHAnsi" w:cstheme="minorHAnsi"/>
          <w:color w:val="000000" w:themeColor="text1"/>
        </w:rPr>
        <w:t>6.4.4  Ethics and dissemination:</w:t>
      </w:r>
      <w:bookmarkEnd w:id="399"/>
    </w:p>
    <w:p w14:paraId="0B27D4A5" w14:textId="428451F2" w:rsidR="00310C71" w:rsidRPr="00CA4ABC" w:rsidRDefault="00310C71" w:rsidP="00310C71">
      <w:pPr>
        <w:pStyle w:val="Heading3"/>
        <w:spacing w:line="360" w:lineRule="auto"/>
        <w:rPr>
          <w:rFonts w:asciiTheme="minorHAnsi" w:hAnsiTheme="minorHAnsi" w:cstheme="minorHAnsi"/>
          <w:color w:val="000000" w:themeColor="text1"/>
        </w:rPr>
      </w:pPr>
      <w:bookmarkStart w:id="400" w:name="_Toc135384416"/>
      <w:r w:rsidRPr="00CA4ABC">
        <w:rPr>
          <w:rFonts w:asciiTheme="minorHAnsi" w:hAnsiTheme="minorHAnsi" w:cstheme="minorHAnsi"/>
          <w:color w:val="000000" w:themeColor="text1"/>
        </w:rPr>
        <w:t>6.4.4.1 Research ethics approval</w:t>
      </w:r>
      <w:bookmarkEnd w:id="400"/>
    </w:p>
    <w:p w14:paraId="12157936" w14:textId="3679FC58" w:rsidR="00310C71" w:rsidRPr="00CA4ABC" w:rsidRDefault="00110659" w:rsidP="00310C71">
      <w:pPr>
        <w:spacing w:line="360" w:lineRule="auto"/>
        <w:ind w:firstLine="720"/>
        <w:rPr>
          <w:rFonts w:cstheme="minorHAnsi"/>
          <w:color w:val="000000" w:themeColor="text1"/>
        </w:rPr>
      </w:pPr>
      <w:r w:rsidRPr="00CA4ABC">
        <w:rPr>
          <w:rFonts w:cstheme="minorHAnsi"/>
          <w:color w:val="000000" w:themeColor="text1"/>
        </w:rPr>
        <w:t>To</w:t>
      </w:r>
      <w:r w:rsidR="00310C71" w:rsidRPr="00CA4ABC">
        <w:rPr>
          <w:rFonts w:cstheme="minorHAnsi"/>
          <w:color w:val="000000" w:themeColor="text1"/>
        </w:rPr>
        <w:t xml:space="preserve"> be able to access participants via GP referral, NHS, Health Research Authority (HRA) ethical approval will also be obtained, for the final trial, via the integrated research </w:t>
      </w:r>
      <w:r w:rsidR="00310C71" w:rsidRPr="00CA4ABC">
        <w:rPr>
          <w:rFonts w:cstheme="minorHAnsi"/>
          <w:color w:val="000000" w:themeColor="text1"/>
        </w:rPr>
        <w:lastRenderedPageBreak/>
        <w:t>application system (IRAS) process (</w:t>
      </w:r>
      <w:hyperlink r:id="rId60" w:history="1">
        <w:r w:rsidR="001E0D71" w:rsidRPr="00CA4ABC">
          <w:rPr>
            <w:rStyle w:val="Hyperlink"/>
            <w:rFonts w:cstheme="minorHAnsi"/>
          </w:rPr>
          <w:t>https://www.myresearchproject.org.uk/</w:t>
        </w:r>
      </w:hyperlink>
      <w:r w:rsidR="00310C71" w:rsidRPr="00CA4ABC">
        <w:rPr>
          <w:rFonts w:cstheme="minorHAnsi"/>
          <w:color w:val="000000" w:themeColor="text1"/>
        </w:rPr>
        <w:t>).</w:t>
      </w:r>
      <w:r w:rsidR="001E0D71" w:rsidRPr="00CA4ABC">
        <w:rPr>
          <w:rFonts w:cstheme="minorHAnsi"/>
          <w:color w:val="000000" w:themeColor="text1"/>
        </w:rPr>
        <w:t xml:space="preserve"> The trial will also be registered on the </w:t>
      </w:r>
      <w:r w:rsidRPr="00CA4ABC">
        <w:rPr>
          <w:rFonts w:cstheme="minorHAnsi"/>
          <w:color w:val="000000" w:themeColor="text1"/>
        </w:rPr>
        <w:t>ISRCTN registry.</w:t>
      </w:r>
    </w:p>
    <w:p w14:paraId="79DF780B" w14:textId="77777777" w:rsidR="0048506A" w:rsidRPr="00CA4ABC" w:rsidRDefault="0048506A" w:rsidP="00310C71">
      <w:pPr>
        <w:spacing w:line="360" w:lineRule="auto"/>
        <w:ind w:firstLine="720"/>
        <w:rPr>
          <w:rFonts w:cstheme="minorHAnsi"/>
          <w:color w:val="000000" w:themeColor="text1"/>
        </w:rPr>
      </w:pPr>
    </w:p>
    <w:p w14:paraId="5CD7DA17" w14:textId="0027E7A0" w:rsidR="00310C71" w:rsidRPr="00CA4ABC" w:rsidRDefault="00310C71" w:rsidP="00310C71">
      <w:pPr>
        <w:pStyle w:val="Heading3"/>
        <w:spacing w:line="360" w:lineRule="auto"/>
        <w:rPr>
          <w:rFonts w:asciiTheme="minorHAnsi" w:hAnsiTheme="minorHAnsi" w:cstheme="minorHAnsi"/>
          <w:color w:val="000000" w:themeColor="text1"/>
        </w:rPr>
      </w:pPr>
      <w:bookmarkStart w:id="401" w:name="_Toc135384417"/>
      <w:r w:rsidRPr="00CA4ABC">
        <w:rPr>
          <w:rFonts w:asciiTheme="minorHAnsi" w:hAnsiTheme="minorHAnsi" w:cstheme="minorHAnsi"/>
          <w:color w:val="000000" w:themeColor="text1"/>
        </w:rPr>
        <w:t>6.4.4.2 Confidentiality</w:t>
      </w:r>
      <w:bookmarkEnd w:id="401"/>
      <w:r w:rsidR="00B83A35" w:rsidRPr="00CA4ABC">
        <w:rPr>
          <w:rFonts w:asciiTheme="minorHAnsi" w:hAnsiTheme="minorHAnsi" w:cstheme="minorHAnsi"/>
          <w:color w:val="000000" w:themeColor="text1"/>
        </w:rPr>
        <w:t xml:space="preserve"> </w:t>
      </w:r>
    </w:p>
    <w:p w14:paraId="5FD69D83" w14:textId="77777777"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All data will be pseudonymised and stored on an encrypted laptop, which is password protected. Only the research team will have access to the original file which denotes participant information to their unique study identification code assigned to them for participation.</w:t>
      </w:r>
    </w:p>
    <w:p w14:paraId="47659FC7" w14:textId="77777777" w:rsidR="00310C71" w:rsidRPr="00CA4ABC" w:rsidRDefault="00310C71" w:rsidP="00310C71">
      <w:pPr>
        <w:spacing w:line="360" w:lineRule="auto"/>
        <w:ind w:firstLine="720"/>
        <w:rPr>
          <w:rFonts w:cstheme="minorHAnsi"/>
          <w:color w:val="000000" w:themeColor="text1"/>
        </w:rPr>
      </w:pPr>
    </w:p>
    <w:p w14:paraId="44FF9A0A" w14:textId="41D756C8" w:rsidR="00217C4B" w:rsidRPr="00CA4ABC" w:rsidRDefault="00310C71" w:rsidP="00217C4B">
      <w:pPr>
        <w:pStyle w:val="Heading3"/>
        <w:spacing w:line="360" w:lineRule="auto"/>
        <w:rPr>
          <w:rFonts w:asciiTheme="minorHAnsi" w:hAnsiTheme="minorHAnsi" w:cstheme="minorHAnsi"/>
          <w:color w:val="000000" w:themeColor="text1"/>
        </w:rPr>
      </w:pPr>
      <w:bookmarkStart w:id="402" w:name="_Toc135384418"/>
      <w:r w:rsidRPr="00CA4ABC">
        <w:rPr>
          <w:rFonts w:asciiTheme="minorHAnsi" w:hAnsiTheme="minorHAnsi" w:cstheme="minorHAnsi"/>
          <w:color w:val="000000" w:themeColor="text1"/>
        </w:rPr>
        <w:t>6.4.4.3 Access to data</w:t>
      </w:r>
      <w:bookmarkEnd w:id="402"/>
    </w:p>
    <w:p w14:paraId="05C5B756" w14:textId="5FE5FA1F" w:rsidR="00310C71" w:rsidRPr="00CA4ABC" w:rsidRDefault="002473D7" w:rsidP="00217C4B">
      <w:pPr>
        <w:pStyle w:val="Heading3"/>
        <w:spacing w:line="360" w:lineRule="auto"/>
        <w:ind w:firstLine="720"/>
        <w:rPr>
          <w:rFonts w:asciiTheme="minorHAnsi" w:hAnsiTheme="minorHAnsi" w:cstheme="minorHAnsi"/>
          <w:color w:val="000000" w:themeColor="text1"/>
        </w:rPr>
      </w:pPr>
      <w:r w:rsidRPr="00CA4ABC">
        <w:rPr>
          <w:rFonts w:asciiTheme="minorHAnsi" w:hAnsiTheme="minorHAnsi" w:cstheme="minorHAnsi"/>
          <w:color w:val="000000" w:themeColor="text1"/>
          <w:highlight w:val="white"/>
        </w:rPr>
        <w:t xml:space="preserve"> </w:t>
      </w:r>
      <w:bookmarkStart w:id="403" w:name="_Toc127044520"/>
      <w:bookmarkStart w:id="404" w:name="_Toc127527553"/>
      <w:bookmarkStart w:id="405" w:name="_Toc127967709"/>
      <w:bookmarkStart w:id="406" w:name="_Toc135384419"/>
      <w:r w:rsidR="0048506A" w:rsidRPr="00CA4ABC">
        <w:rPr>
          <w:rFonts w:asciiTheme="minorHAnsi" w:hAnsiTheme="minorHAnsi" w:cstheme="minorHAnsi"/>
          <w:color w:val="000000" w:themeColor="text1"/>
          <w:highlight w:val="white"/>
        </w:rPr>
        <w:t>If the data is published in peer-reviewed journals, raw data could be made available on request</w:t>
      </w:r>
      <w:r w:rsidR="00B170DC" w:rsidRPr="00CA4ABC">
        <w:rPr>
          <w:rFonts w:asciiTheme="minorHAnsi" w:hAnsiTheme="minorHAnsi" w:cstheme="minorHAnsi"/>
          <w:color w:val="000000" w:themeColor="text1"/>
          <w:highlight w:val="white"/>
        </w:rPr>
        <w:t xml:space="preserve">. All </w:t>
      </w:r>
      <w:r w:rsidR="0048506A" w:rsidRPr="00CA4ABC">
        <w:rPr>
          <w:rFonts w:asciiTheme="minorHAnsi" w:hAnsiTheme="minorHAnsi" w:cstheme="minorHAnsi"/>
          <w:color w:val="000000" w:themeColor="text1"/>
          <w:highlight w:val="white"/>
        </w:rPr>
        <w:t>data will be anonymous and no participants' details will be revealed</w:t>
      </w:r>
      <w:r w:rsidRPr="00CA4ABC">
        <w:rPr>
          <w:rFonts w:asciiTheme="minorHAnsi" w:hAnsiTheme="minorHAnsi" w:cstheme="minorHAnsi"/>
          <w:color w:val="000000" w:themeColor="text1"/>
        </w:rPr>
        <w:t>. T</w:t>
      </w:r>
      <w:r w:rsidR="00310C71" w:rsidRPr="00CA4ABC">
        <w:rPr>
          <w:rFonts w:asciiTheme="minorHAnsi" w:hAnsiTheme="minorHAnsi" w:cstheme="minorHAnsi"/>
          <w:color w:val="000000" w:themeColor="text1"/>
        </w:rPr>
        <w:t xml:space="preserve">he data will be made available in excel/SPSS format. Data will become available after </w:t>
      </w:r>
      <w:r w:rsidR="00B170DC" w:rsidRPr="00CA4ABC">
        <w:rPr>
          <w:rFonts w:asciiTheme="minorHAnsi" w:hAnsiTheme="minorHAnsi" w:cstheme="minorHAnsi"/>
          <w:color w:val="000000" w:themeColor="text1"/>
        </w:rPr>
        <w:t xml:space="preserve">the </w:t>
      </w:r>
      <w:r w:rsidR="00310C71" w:rsidRPr="00CA4ABC">
        <w:rPr>
          <w:rFonts w:asciiTheme="minorHAnsi" w:hAnsiTheme="minorHAnsi" w:cstheme="minorHAnsi"/>
          <w:color w:val="000000" w:themeColor="text1"/>
        </w:rPr>
        <w:t>publication of the research and will be available for 10 years (beyond that time, it is unknown whether investigators would have the resources/capacity to make data available to others).</w:t>
      </w:r>
      <w:bookmarkEnd w:id="403"/>
      <w:bookmarkEnd w:id="404"/>
      <w:bookmarkEnd w:id="405"/>
      <w:bookmarkEnd w:id="406"/>
    </w:p>
    <w:p w14:paraId="0D171BC3" w14:textId="77777777" w:rsidR="00310C71" w:rsidRPr="00CA4ABC" w:rsidRDefault="00310C71" w:rsidP="00310C71">
      <w:pPr>
        <w:spacing w:line="360" w:lineRule="auto"/>
        <w:rPr>
          <w:rFonts w:cstheme="minorHAnsi"/>
          <w:color w:val="000000" w:themeColor="text1"/>
        </w:rPr>
      </w:pPr>
    </w:p>
    <w:p w14:paraId="4A90C030" w14:textId="78B829D1" w:rsidR="00310C71" w:rsidRPr="00CA4ABC" w:rsidRDefault="00310C71" w:rsidP="00310C71">
      <w:pPr>
        <w:pStyle w:val="Heading3"/>
        <w:spacing w:line="360" w:lineRule="auto"/>
        <w:rPr>
          <w:rFonts w:asciiTheme="minorHAnsi" w:hAnsiTheme="minorHAnsi" w:cstheme="minorHAnsi"/>
          <w:color w:val="000000" w:themeColor="text1"/>
        </w:rPr>
      </w:pPr>
      <w:bookmarkStart w:id="407" w:name="_Toc135384420"/>
      <w:r w:rsidRPr="00CA4ABC">
        <w:rPr>
          <w:rFonts w:asciiTheme="minorHAnsi" w:hAnsiTheme="minorHAnsi" w:cstheme="minorHAnsi"/>
          <w:color w:val="000000" w:themeColor="text1"/>
        </w:rPr>
        <w:t>6.4.4.5 Ancillary and post-trial care</w:t>
      </w:r>
      <w:bookmarkEnd w:id="407"/>
    </w:p>
    <w:p w14:paraId="2E29BBB1" w14:textId="1AF730D0"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All participants will be able to keep the resistance bands they were provided with for the intervention and will be encouraged to continue to use them. </w:t>
      </w:r>
      <w:r w:rsidR="002473D7" w:rsidRPr="00CA4ABC">
        <w:rPr>
          <w:rFonts w:cstheme="minorHAnsi"/>
          <w:color w:val="000000" w:themeColor="text1"/>
        </w:rPr>
        <w:t xml:space="preserve">Gym membership and facilities will be provided </w:t>
      </w:r>
      <w:r w:rsidR="00B170DC" w:rsidRPr="00CA4ABC">
        <w:rPr>
          <w:rFonts w:cstheme="minorHAnsi"/>
          <w:color w:val="000000" w:themeColor="text1"/>
        </w:rPr>
        <w:t>by</w:t>
      </w:r>
      <w:r w:rsidR="002473D7" w:rsidRPr="00CA4ABC">
        <w:rPr>
          <w:rFonts w:cstheme="minorHAnsi"/>
          <w:color w:val="000000" w:themeColor="text1"/>
        </w:rPr>
        <w:t xml:space="preserve"> partnered University health sports facilities. </w:t>
      </w:r>
      <w:r w:rsidRPr="00CA4ABC">
        <w:rPr>
          <w:rFonts w:cstheme="minorHAnsi"/>
          <w:color w:val="000000" w:themeColor="text1"/>
        </w:rPr>
        <w:t>Those who do not want a gym</w:t>
      </w:r>
      <w:r w:rsidR="002473D7" w:rsidRPr="00CA4ABC">
        <w:rPr>
          <w:rFonts w:cstheme="minorHAnsi"/>
          <w:color w:val="000000" w:themeColor="text1"/>
        </w:rPr>
        <w:t>-</w:t>
      </w:r>
      <w:r w:rsidRPr="00CA4ABC">
        <w:rPr>
          <w:rFonts w:cstheme="minorHAnsi"/>
          <w:color w:val="000000" w:themeColor="text1"/>
        </w:rPr>
        <w:t>based membership will also be given the option to obtain a virtual gym membership, with access to recorded classes. A record will be kept about who has taken up each option. This will not be compulsory, however. Contact will remain</w:t>
      </w:r>
      <w:r w:rsidR="002473D7" w:rsidRPr="00CA4ABC">
        <w:rPr>
          <w:rFonts w:cstheme="minorHAnsi"/>
          <w:color w:val="000000" w:themeColor="text1"/>
        </w:rPr>
        <w:t xml:space="preserve"> between</w:t>
      </w:r>
      <w:r w:rsidRPr="00CA4ABC">
        <w:rPr>
          <w:rFonts w:cstheme="minorHAnsi"/>
          <w:color w:val="000000" w:themeColor="text1"/>
        </w:rPr>
        <w:t xml:space="preserve"> the participants and researcher via email/telephone correspondence. Following the two</w:t>
      </w:r>
      <w:r w:rsidR="00B170DC" w:rsidRPr="00CA4ABC">
        <w:rPr>
          <w:rFonts w:cstheme="minorHAnsi"/>
          <w:color w:val="000000" w:themeColor="text1"/>
        </w:rPr>
        <w:t xml:space="preserve"> </w:t>
      </w:r>
      <w:r w:rsidRPr="00CA4ABC">
        <w:rPr>
          <w:rFonts w:cstheme="minorHAnsi"/>
          <w:color w:val="000000" w:themeColor="text1"/>
        </w:rPr>
        <w:t>months post</w:t>
      </w:r>
      <w:r w:rsidR="00B170DC" w:rsidRPr="00CA4ABC">
        <w:rPr>
          <w:rFonts w:cstheme="minorHAnsi"/>
          <w:color w:val="000000" w:themeColor="text1"/>
        </w:rPr>
        <w:t>-</w:t>
      </w:r>
      <w:r w:rsidRPr="00CA4ABC">
        <w:rPr>
          <w:rFonts w:cstheme="minorHAnsi"/>
          <w:color w:val="000000" w:themeColor="text1"/>
        </w:rPr>
        <w:t>intervention period, participants will be re-contacted to complete a</w:t>
      </w:r>
      <w:r w:rsidR="002473D7" w:rsidRPr="00CA4ABC">
        <w:rPr>
          <w:rFonts w:cstheme="minorHAnsi"/>
          <w:color w:val="000000" w:themeColor="text1"/>
        </w:rPr>
        <w:t xml:space="preserve"> further RAPA</w:t>
      </w:r>
      <w:r w:rsidRPr="00CA4ABC">
        <w:rPr>
          <w:rFonts w:cstheme="minorHAnsi"/>
          <w:color w:val="000000" w:themeColor="text1"/>
        </w:rPr>
        <w:t xml:space="preserve"> physical activity level questionnaire</w:t>
      </w:r>
      <w:r w:rsidR="002473D7" w:rsidRPr="00CA4ABC">
        <w:rPr>
          <w:rFonts w:cstheme="minorHAnsi"/>
          <w:color w:val="000000" w:themeColor="text1"/>
        </w:rPr>
        <w:t xml:space="preserve"> </w:t>
      </w:r>
      <w:r w:rsidR="002473D7"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{"citationItems":[{"id":"ITEM-1","itemData":{"URL":"https://depts.washington.edu/hprc/programs-tools/tools-guides/rapa/","accessed":{"date-parts":[["2023","2","10"]]},"id":"ITEM-1","issued":{"date-parts":[["0"]]},"title":"Rapid Assessment of Physical Activity (RAPA) | Health Promotion Research Center","type":"webpage"},"uris":["http://www.mendeley.com/documents/?uuid=7dfa0c09-3e86-3c5c-8cbf-eed774bf4431"]}],"mendeley":{"formattedCitation":"(344)","plainTextFormattedCitation":"(344)","previouslyFormattedCitation":"(343)"},"properties":{"noteIndex":0},"schema":"https://github.com/citation-style-language/schema/raw/master/csl-citation.json"}</w:instrText>
      </w:r>
      <w:r w:rsidR="002473D7" w:rsidRPr="00CA4ABC">
        <w:rPr>
          <w:rFonts w:cstheme="minorHAnsi"/>
          <w:color w:val="000000" w:themeColor="text1"/>
        </w:rPr>
        <w:fldChar w:fldCharType="separate"/>
      </w:r>
      <w:r w:rsidR="00821D82" w:rsidRPr="00821D82">
        <w:rPr>
          <w:rFonts w:cstheme="minorHAnsi"/>
          <w:noProof/>
          <w:color w:val="000000" w:themeColor="text1"/>
        </w:rPr>
        <w:t>(344)</w:t>
      </w:r>
      <w:r w:rsidR="002473D7" w:rsidRPr="00CA4ABC">
        <w:rPr>
          <w:rFonts w:cstheme="minorHAnsi"/>
          <w:color w:val="000000" w:themeColor="text1"/>
        </w:rPr>
        <w:fldChar w:fldCharType="end"/>
      </w:r>
      <w:r w:rsidRPr="00CA4ABC">
        <w:rPr>
          <w:rFonts w:cstheme="minorHAnsi"/>
          <w:color w:val="000000" w:themeColor="text1"/>
        </w:rPr>
        <w:t>. Before research-based contact is removed, the well</w:t>
      </w:r>
      <w:r w:rsidR="00B170DC" w:rsidRPr="00CA4ABC">
        <w:rPr>
          <w:rFonts w:cstheme="minorHAnsi"/>
          <w:color w:val="000000" w:themeColor="text1"/>
        </w:rPr>
        <w:t>-</w:t>
      </w:r>
      <w:r w:rsidRPr="00CA4ABC">
        <w:rPr>
          <w:rFonts w:cstheme="minorHAnsi"/>
          <w:color w:val="000000" w:themeColor="text1"/>
        </w:rPr>
        <w:t xml:space="preserve">being and health of the participants will be enquired about and participants will also be encouraged to contact a health professional if they are concerned about any aspects of the diet and/or health. </w:t>
      </w:r>
    </w:p>
    <w:p w14:paraId="12124F5E" w14:textId="77777777" w:rsidR="00310C71" w:rsidRPr="00CA4ABC" w:rsidRDefault="00310C71" w:rsidP="00310C71">
      <w:pPr>
        <w:spacing w:line="360" w:lineRule="auto"/>
        <w:rPr>
          <w:rFonts w:cstheme="minorHAnsi"/>
          <w:color w:val="000000" w:themeColor="text1"/>
        </w:rPr>
      </w:pPr>
    </w:p>
    <w:p w14:paraId="637B895C" w14:textId="470AE276" w:rsidR="00310C71" w:rsidRPr="00CA4ABC" w:rsidRDefault="00310C71" w:rsidP="00310C71">
      <w:pPr>
        <w:pStyle w:val="Heading3"/>
        <w:spacing w:line="360" w:lineRule="auto"/>
        <w:rPr>
          <w:rFonts w:asciiTheme="minorHAnsi" w:hAnsiTheme="minorHAnsi" w:cstheme="minorHAnsi"/>
          <w:color w:val="000000" w:themeColor="text1"/>
        </w:rPr>
      </w:pPr>
      <w:bookmarkStart w:id="408" w:name="_Toc135384421"/>
      <w:r w:rsidRPr="00CA4ABC">
        <w:rPr>
          <w:rFonts w:asciiTheme="minorHAnsi" w:hAnsiTheme="minorHAnsi" w:cstheme="minorHAnsi"/>
          <w:color w:val="000000" w:themeColor="text1"/>
        </w:rPr>
        <w:lastRenderedPageBreak/>
        <w:t>6.4.4.6 Dissemination Plan</w:t>
      </w:r>
      <w:bookmarkEnd w:id="408"/>
    </w:p>
    <w:p w14:paraId="155181D0" w14:textId="6F4A8690"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CONSORT guidelines will be used to report the trial. It is aimed to report the results of this research at international conferences and in peer-reviewed journals, including the disclosure of positive and negative results. </w:t>
      </w:r>
      <w:r w:rsidR="00B170DC" w:rsidRPr="00CA4ABC">
        <w:rPr>
          <w:rFonts w:cstheme="minorHAnsi"/>
          <w:color w:val="000000" w:themeColor="text1"/>
        </w:rPr>
        <w:t>The s</w:t>
      </w:r>
      <w:r w:rsidRPr="00CA4ABC">
        <w:rPr>
          <w:rFonts w:cstheme="minorHAnsi"/>
          <w:color w:val="000000" w:themeColor="text1"/>
        </w:rPr>
        <w:t xml:space="preserve">tatus of the trial will be updated on ISRCTN registry.  </w:t>
      </w:r>
    </w:p>
    <w:p w14:paraId="72EDD7E9" w14:textId="77777777" w:rsidR="00310C71" w:rsidRPr="00CA4ABC" w:rsidRDefault="00310C71" w:rsidP="00310C71">
      <w:pPr>
        <w:spacing w:line="360" w:lineRule="auto"/>
        <w:ind w:firstLine="720"/>
        <w:rPr>
          <w:rFonts w:cstheme="minorHAnsi"/>
          <w:color w:val="000000" w:themeColor="text1"/>
        </w:rPr>
      </w:pPr>
    </w:p>
    <w:p w14:paraId="2980ED32" w14:textId="66C15065" w:rsidR="00310C71" w:rsidRPr="00CA4ABC" w:rsidRDefault="00310C71" w:rsidP="00310C71">
      <w:pPr>
        <w:pStyle w:val="Heading2"/>
        <w:spacing w:line="360" w:lineRule="auto"/>
        <w:rPr>
          <w:rFonts w:asciiTheme="minorHAnsi" w:hAnsiTheme="minorHAnsi" w:cstheme="minorHAnsi"/>
          <w:b/>
          <w:bCs/>
          <w:color w:val="000000" w:themeColor="text1"/>
        </w:rPr>
      </w:pPr>
      <w:bookmarkStart w:id="409" w:name="_Toc135384422"/>
      <w:r w:rsidRPr="00CA4ABC">
        <w:rPr>
          <w:rFonts w:asciiTheme="minorHAnsi" w:hAnsiTheme="minorHAnsi" w:cstheme="minorHAnsi"/>
          <w:b/>
          <w:bCs/>
          <w:color w:val="000000" w:themeColor="text1"/>
        </w:rPr>
        <w:t>6.5 Discussion</w:t>
      </w:r>
      <w:bookmarkEnd w:id="409"/>
    </w:p>
    <w:p w14:paraId="52187233" w14:textId="2545EE96" w:rsidR="00310C71" w:rsidRPr="00CA4ABC" w:rsidRDefault="00310C71" w:rsidP="00310C71">
      <w:pPr>
        <w:spacing w:line="360" w:lineRule="auto"/>
        <w:ind w:firstLine="720"/>
        <w:rPr>
          <w:rFonts w:cstheme="minorHAnsi"/>
          <w:color w:val="000000" w:themeColor="text1"/>
        </w:rPr>
        <w:sectPr w:rsidR="00310C71" w:rsidRPr="00CA4ABC" w:rsidSect="00D45D0F">
          <w:pgSz w:w="11900" w:h="16840"/>
          <w:pgMar w:top="1440" w:right="1440" w:bottom="1440" w:left="1440" w:header="708" w:footer="708" w:gutter="0"/>
          <w:cols w:space="708"/>
          <w:docGrid w:linePitch="360"/>
        </w:sectPr>
      </w:pPr>
      <w:r w:rsidRPr="00CA4ABC">
        <w:rPr>
          <w:rFonts w:cstheme="minorHAnsi"/>
          <w:color w:val="000000" w:themeColor="text1"/>
        </w:rPr>
        <w:t xml:space="preserve">Previous feasibility study work supports the design of a trial for rolling out and testing in larger cohorts (chapter 5.) Taking this forward, the proposed study has been designed to address the niche in the literature of exercise and nutrition interventions aimed at middle-aged adults. </w:t>
      </w:r>
      <w:r w:rsidR="00B170DC" w:rsidRPr="00CA4ABC">
        <w:rPr>
          <w:rFonts w:cstheme="minorHAnsi"/>
          <w:color w:val="000000"/>
          <w:shd w:val="clear" w:color="auto" w:fill="FFFFFF"/>
        </w:rPr>
        <w:t xml:space="preserve">Moreover, the interventions will be delivered remotely, requiring little equipment and resources. This also aligns with the recent increased popularity of digital health tools </w:t>
      </w:r>
      <w:r w:rsidR="00217C4B"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{"citationItems":[{"id":"ITEM-1","itemData":{"DOI":"10.1136/BMJOPEN-2021-053891","ISSN":"2044-6055","PMID":"34635531","abstract":"Objectives To explore if consumer interest in digital health products (DHPs), changed following the COVID-19 pandemic and the lockdown measures that ensued. Design Retrospective time-series analysis of web-based internet searches for DHPs in the UK, split over two periods, pre-COVID-19 lockdown (January 2019-23 March 2020) and post-COVID-19 lockdown (24 March 2020-31 December 2020). Setting The UK. Participants Members of the UK general population using health-app libraries provided by the Organisation for the Review of Care and Health Applications. Primary and secondary outcome measures The primary outcome was volume of searches for DHPs. Secondary outcomes considered search volumes for 25 different therapeutic areas. Outcomes were assessed for significance using a two-stage Poisson test. Results There were 126 640 searches for DHPs over the study period. Searches for DHPs increased by 343% from 2446 per month prior to COVID-19 lockdown measures being introduced to 8996 per month in the period following the first COVID-19 lockdown in the UK. In total, 23/25 (92%) of condition areas experienced a significant increase in searches for DHPs, with the greatest increases occurring in the first 2 months following lockdown. Musculoskeletal conditions (2.036%), allergy (1.253%) and healthy living DHPs (1.051%) experienced the greatest increases in searches compared with pre-lockdown. Increased search volumes for DHPs were sustained in the 9 months following the introduction of lockdown measures, with 21/25 (84%) of condition areas experiencing monthly search volumes at least 50% greater than pre-lockdown levels. Conclusions The COVID-19 pandemic has profoundly disrupted the routine delivery of healthcare, making face-to-face interaction difficult, and contributing to unmet clinical needs. This study has demonstrated significant increases in internet searches for DHPs by members of the UK population since COVID-19, signifying an increased interest in this potential therapeutic medium. Future research should clarify whether this increased interest has resulted in increased acceptance and utilisation of these technologies also.","author":[{"dropping-particle":"","family":"Leigh","given":"Simon","non-dropping-particle":"","parse-names":false,"suffix":""},{"dropping-particle":"","family":"Daly","given":"Rob","non-dropping-particle":"","parse-names":false,"suffix":""},{"dropping-particle":"","family":"Stevens","given":"Sebastian","non-dropping-particle":"","parse-names":false,"suffix":""},{"dropping-particle":"","family":"Lapajne","given":"Luka","non-dropping-particle":"","parse-names":false,"suffix":""},{"dropping-particle":"","family":"Clayton","given":"Charlotte","non-dropping-particle":"","parse-names":false,"suffix":""},{"dropping-particle":"","family":"Andrews","given":"Tim","non-dropping-particle":"","parse-names":false,"suffix":""},{"dropping-particle":"","family":"Ashall-Payne","given":"Liz","non-dropping-particle":"","parse-names":false,"suffix":""}],"container-title":"BMJ open","id":"ITEM-1","issue":"10","issued":{"date-parts":[["2021","10","11"]]},"publisher":"BMJ Open","title":"Web-based internet searches for digital health products in the United Kingdom before and during the COVID-19 pandemic: a time-series analysis using app libraries from the Organisation for the Review of Care and Health Applications (ORCHA)","type":"article-journal","volume":"11"},"uris":["http://www.mendeley.com/documents/?uuid=fbeb7300-4cfe-36ea-bcd6-fb66aaba0370"]},{"id":"ITEM-2","itemData":{"DOI":"10.4103/JRMS.JRMS_1255_20","ISSN":"17357136","PMID":"34084190","abstract":"Digital health as a rapidly growing medical field relies comprehensively on human health data. Conventionally, the collection of health data is mediated by officially diagnostic instruments, operated by health professionals in clinical environments and under strict regulatory conditions. Mobile health, telemedicine, and other smart devices with Internet connections are becoming the future choices for collecting patient information. Progress of technologies has facilitated smartphones, wearable devices, and miniaturized health-care devices. These devices allow the gathering of an individual's health-care information at the patient's home. The data from these devices will be huge, and by integrating such enormous data using Artificial Intelligence, more detailed phenotyping of disease and more personalized medicine will be realistic. The future of medicine will be progressively more digital, and recognizing the importance of digital technology in this field and pandemic preparedness planning has become urgent.","author":[{"dropping-particle":"","family":"Manteghinejad","given":"Amirreza","non-dropping-particle":"","parse-names":false,"suffix":""},{"dropping-particle":"","family":"Javanmard","given":"Shaghayegh Haghjooy","non-dropping-particle":"","parse-names":false,"suffix":""}],"container-title":"Journal of Research in Medical Sciences : The Official Journal of Isfahan University of Medical Sciences","id":"ITEM-2","issue":"1","issued":{"date-parts":[["2021"]]},"publisher":"Wolters Kluwer -- Medknow Publications","title":"Challenges and opportunities of digital health in a post-COVID19 world","type":"article-journal","volume":"26"},"uris":["http://www.mendeley.com/documents/?uuid=09ae2d31-cd66-39b2-914e-3a6de6086f5f"]}],"mendeley":{"formattedCitation":"(313,314)","plainTextFormattedCitation":"(313,314)","previouslyFormattedCitation":"(313,314)"},"properties":{"noteIndex":0},"schema":"https://github.com/citation-style-language/schema/raw/master/csl-citation.json"}</w:instrText>
      </w:r>
      <w:r w:rsidR="00217C4B" w:rsidRPr="00CA4ABC">
        <w:rPr>
          <w:rFonts w:cstheme="minorHAnsi"/>
          <w:color w:val="000000" w:themeColor="text1"/>
        </w:rPr>
        <w:fldChar w:fldCharType="separate"/>
      </w:r>
      <w:r w:rsidR="00FF0BCE" w:rsidRPr="00FF0BCE">
        <w:rPr>
          <w:rFonts w:cstheme="minorHAnsi"/>
          <w:noProof/>
          <w:color w:val="000000" w:themeColor="text1"/>
        </w:rPr>
        <w:t>(313,314)</w:t>
      </w:r>
      <w:r w:rsidR="00217C4B" w:rsidRPr="00CA4ABC">
        <w:rPr>
          <w:rFonts w:cstheme="minorHAnsi"/>
          <w:color w:val="000000" w:themeColor="text1"/>
        </w:rPr>
        <w:fldChar w:fldCharType="end"/>
      </w:r>
      <w:r w:rsidRPr="00CA4ABC">
        <w:rPr>
          <w:rFonts w:cstheme="minorHAnsi"/>
          <w:color w:val="000000" w:themeColor="text1"/>
        </w:rPr>
        <w:t>. Establishing the effectiveness of home-based resistance training programmes needs testing</w:t>
      </w:r>
      <w:r w:rsidR="00217C4B" w:rsidRPr="00CA4ABC">
        <w:rPr>
          <w:rFonts w:cstheme="minorHAnsi"/>
          <w:color w:val="000000" w:themeColor="text1"/>
        </w:rPr>
        <w:t>,</w:t>
      </w:r>
      <w:r w:rsidRPr="00CA4ABC">
        <w:rPr>
          <w:rFonts w:cstheme="minorHAnsi"/>
          <w:color w:val="000000" w:themeColor="text1"/>
        </w:rPr>
        <w:t xml:space="preserve"> which is the primary aim of the protocol. As such, muscle parameters will be tested.  Monitoring adherence and engagement rates will also provide insights into the reproducibility and feasibility of this research in the real world. Moreover, measures linked to dietary intakes, physical activity levels and QoL can help understand overspill behaviours. Lastly, understanding the impact factor of the research in the long term is warranted. A post-intervention follow</w:t>
      </w:r>
      <w:r w:rsidR="00B170DC" w:rsidRPr="00CA4ABC">
        <w:rPr>
          <w:rFonts w:cstheme="minorHAnsi"/>
          <w:color w:val="000000" w:themeColor="text1"/>
        </w:rPr>
        <w:t>-</w:t>
      </w:r>
      <w:r w:rsidRPr="00CA4ABC">
        <w:rPr>
          <w:rFonts w:cstheme="minorHAnsi"/>
          <w:color w:val="000000" w:themeColor="text1"/>
        </w:rPr>
        <w:t>up has also been factored into the study design with the aim of understanding this further.</w:t>
      </w:r>
    </w:p>
    <w:p w14:paraId="0EE202F8" w14:textId="44ABB7FD" w:rsidR="00310C71" w:rsidRPr="00CA4ABC" w:rsidRDefault="00310C71" w:rsidP="00310C71">
      <w:pPr>
        <w:pStyle w:val="Heading1"/>
        <w:spacing w:line="360" w:lineRule="auto"/>
        <w:rPr>
          <w:rFonts w:asciiTheme="minorHAnsi" w:hAnsiTheme="minorHAnsi" w:cstheme="minorHAnsi"/>
          <w:color w:val="000000" w:themeColor="text1"/>
          <w:sz w:val="32"/>
          <w:szCs w:val="32"/>
        </w:rPr>
      </w:pPr>
      <w:bookmarkStart w:id="410" w:name="_Toc135384423"/>
      <w:r w:rsidRPr="00CA4ABC">
        <w:rPr>
          <w:rFonts w:asciiTheme="minorHAnsi" w:hAnsiTheme="minorHAnsi" w:cstheme="minorHAnsi"/>
          <w:color w:val="000000" w:themeColor="text1"/>
          <w:sz w:val="32"/>
          <w:szCs w:val="32"/>
        </w:rPr>
        <w:lastRenderedPageBreak/>
        <w:t>Chapter 7: Discussion</w:t>
      </w:r>
      <w:bookmarkEnd w:id="410"/>
    </w:p>
    <w:p w14:paraId="0F98A1EA" w14:textId="0F879304" w:rsidR="00310C71" w:rsidRPr="00CA4ABC" w:rsidRDefault="00310C71" w:rsidP="00310C71">
      <w:pPr>
        <w:pStyle w:val="Heading2"/>
        <w:spacing w:line="360" w:lineRule="auto"/>
        <w:rPr>
          <w:rFonts w:asciiTheme="minorHAnsi" w:hAnsiTheme="minorHAnsi" w:cstheme="minorHAnsi"/>
          <w:b/>
          <w:bCs/>
          <w:color w:val="000000" w:themeColor="text1"/>
        </w:rPr>
      </w:pPr>
      <w:bookmarkStart w:id="411" w:name="_Toc135384424"/>
      <w:r w:rsidRPr="00CA4ABC">
        <w:rPr>
          <w:rFonts w:asciiTheme="minorHAnsi" w:hAnsiTheme="minorHAnsi" w:cstheme="minorHAnsi"/>
          <w:b/>
          <w:bCs/>
          <w:color w:val="000000" w:themeColor="text1"/>
        </w:rPr>
        <w:t>7.1. Overall findings</w:t>
      </w:r>
      <w:bookmarkEnd w:id="411"/>
    </w:p>
    <w:p w14:paraId="6D883BDD" w14:textId="7401C43D"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The thesis culminated in the design of a study protocol to investigate </w:t>
      </w:r>
      <w:r w:rsidR="00701167" w:rsidRPr="00CA4ABC">
        <w:rPr>
          <w:rFonts w:cstheme="minorHAnsi"/>
          <w:color w:val="000000" w:themeColor="text1"/>
        </w:rPr>
        <w:t xml:space="preserve">a </w:t>
      </w:r>
      <w:r w:rsidRPr="00CA4ABC">
        <w:rPr>
          <w:rFonts w:cstheme="minorHAnsi"/>
          <w:color w:val="000000" w:themeColor="text1"/>
        </w:rPr>
        <w:t xml:space="preserve">resistance exercise training and protein intervention with the objective of preventing muscle loss that occurs as we age (chapter 6.) </w:t>
      </w:r>
      <w:r w:rsidR="00DA2895" w:rsidRPr="00CA4ABC">
        <w:rPr>
          <w:rFonts w:cstheme="minorHAnsi"/>
          <w:color w:val="000000" w:themeColor="text1"/>
        </w:rPr>
        <w:t>Overall, t</w:t>
      </w:r>
      <w:r w:rsidRPr="00CA4ABC">
        <w:rPr>
          <w:rFonts w:cstheme="minorHAnsi"/>
          <w:color w:val="000000" w:themeColor="text1"/>
        </w:rPr>
        <w:t xml:space="preserve">he </w:t>
      </w:r>
      <w:r w:rsidR="00DA2895" w:rsidRPr="00CA4ABC">
        <w:rPr>
          <w:rFonts w:cstheme="minorHAnsi"/>
          <w:color w:val="000000" w:themeColor="text1"/>
        </w:rPr>
        <w:t>thesis work</w:t>
      </w:r>
      <w:r w:rsidRPr="00CA4ABC">
        <w:rPr>
          <w:rFonts w:cstheme="minorHAnsi"/>
          <w:color w:val="000000" w:themeColor="text1"/>
        </w:rPr>
        <w:t xml:space="preserve"> had several distinct but inter-related objectives </w:t>
      </w:r>
      <w:r w:rsidR="00D268FF" w:rsidRPr="00CA4ABC">
        <w:rPr>
          <w:rFonts w:cstheme="minorHAnsi"/>
          <w:color w:val="000000" w:themeColor="text1"/>
        </w:rPr>
        <w:t>(</w:t>
      </w:r>
      <w:r w:rsidR="00D268FF" w:rsidRPr="00CA4ABC">
        <w:rPr>
          <w:rFonts w:cstheme="minorHAnsi"/>
          <w:color w:val="000000" w:themeColor="text1"/>
        </w:rPr>
        <w:fldChar w:fldCharType="begin"/>
      </w:r>
      <w:r w:rsidR="00D268FF" w:rsidRPr="00CA4ABC">
        <w:rPr>
          <w:rFonts w:cstheme="minorHAnsi"/>
          <w:color w:val="000000" w:themeColor="text1"/>
        </w:rPr>
        <w:instrText xml:space="preserve"> REF _Ref127041038 \h </w:instrText>
      </w:r>
      <w:r w:rsidR="00CA4ABC">
        <w:rPr>
          <w:rFonts w:cstheme="minorHAnsi"/>
          <w:color w:val="000000" w:themeColor="text1"/>
        </w:rPr>
        <w:instrText xml:space="preserve"> \* MERGEFORMAT </w:instrText>
      </w:r>
      <w:r w:rsidR="00D268FF" w:rsidRPr="00CA4ABC">
        <w:rPr>
          <w:rFonts w:cstheme="minorHAnsi"/>
          <w:color w:val="000000" w:themeColor="text1"/>
        </w:rPr>
      </w:r>
      <w:r w:rsidR="00D268FF" w:rsidRPr="00CA4ABC">
        <w:rPr>
          <w:rFonts w:cstheme="minorHAnsi"/>
          <w:color w:val="000000" w:themeColor="text1"/>
        </w:rPr>
        <w:fldChar w:fldCharType="separate"/>
      </w:r>
      <w:r w:rsidR="00D268FF" w:rsidRPr="00CA4ABC">
        <w:rPr>
          <w:rFonts w:cstheme="minorHAnsi"/>
          <w:color w:val="000000" w:themeColor="text1"/>
        </w:rPr>
        <w:t xml:space="preserve">Figure </w:t>
      </w:r>
      <w:r w:rsidR="00D268FF" w:rsidRPr="00CA4ABC">
        <w:rPr>
          <w:rFonts w:cstheme="minorHAnsi"/>
          <w:noProof/>
          <w:color w:val="000000" w:themeColor="text1"/>
        </w:rPr>
        <w:t>7</w:t>
      </w:r>
      <w:r w:rsidR="00D268FF" w:rsidRPr="00CA4ABC">
        <w:rPr>
          <w:rFonts w:cstheme="minorHAnsi"/>
          <w:color w:val="000000" w:themeColor="text1"/>
        </w:rPr>
        <w:fldChar w:fldCharType="end"/>
      </w:r>
      <w:r w:rsidR="00D268FF" w:rsidRPr="00CA4ABC">
        <w:rPr>
          <w:rFonts w:cstheme="minorHAnsi"/>
          <w:color w:val="000000" w:themeColor="text1"/>
        </w:rPr>
        <w:t xml:space="preserve">.) </w:t>
      </w:r>
      <w:r w:rsidRPr="00CA4ABC">
        <w:rPr>
          <w:rFonts w:cstheme="minorHAnsi"/>
          <w:color w:val="000000" w:themeColor="text1"/>
        </w:rPr>
        <w:t>The main findings of the studies will be summarised and discussed. Although the protocol outlined in chapter 6 is the primary recommendation for future work, reflections surrounding the impact of this thesis work, particularly extending beyond the scope of</w:t>
      </w:r>
      <w:r w:rsidR="00DA2895" w:rsidRPr="00CA4ABC">
        <w:rPr>
          <w:rFonts w:cstheme="minorHAnsi"/>
          <w:color w:val="000000" w:themeColor="text1"/>
        </w:rPr>
        <w:t xml:space="preserve"> the</w:t>
      </w:r>
      <w:r w:rsidRPr="00CA4ABC">
        <w:rPr>
          <w:rFonts w:cstheme="minorHAnsi"/>
          <w:color w:val="000000" w:themeColor="text1"/>
        </w:rPr>
        <w:t xml:space="preserve"> research will be discussed. Finally, conclusions relating to this thesis work will be drawn. </w:t>
      </w:r>
    </w:p>
    <w:p w14:paraId="0EC20277" w14:textId="77777777" w:rsidR="00310C71" w:rsidRPr="00CA4ABC" w:rsidRDefault="00310C71" w:rsidP="00310C71">
      <w:pPr>
        <w:pStyle w:val="NormalWeb"/>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The main findings from these studies were: </w:t>
      </w:r>
    </w:p>
    <w:p w14:paraId="43E54FAB" w14:textId="1DCE1672" w:rsidR="00310C71" w:rsidRPr="00CA4ABC" w:rsidRDefault="00310C71">
      <w:pPr>
        <w:pStyle w:val="NormalWeb"/>
        <w:numPr>
          <w:ilvl w:val="0"/>
          <w:numId w:val="28"/>
        </w:numPr>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 xml:space="preserve">A protein screener tool, previously validated in a Dutch cohort, is not valid in a UK population, despite some amendments to the questions being carried out to reflect foods commonly consumed in the UK. Although comparisons using an FFQ tool as the reference to obtain readouts for protein intakes led to a “fair” AUC being achieved, further </w:t>
      </w:r>
      <w:r w:rsidR="00DA2895" w:rsidRPr="00CA4ABC">
        <w:rPr>
          <w:rFonts w:asciiTheme="minorHAnsi" w:hAnsiTheme="minorHAnsi" w:cstheme="minorHAnsi"/>
          <w:color w:val="000000" w:themeColor="text1"/>
        </w:rPr>
        <w:t>follow-up</w:t>
      </w:r>
      <w:r w:rsidRPr="00CA4ABC">
        <w:rPr>
          <w:rFonts w:asciiTheme="minorHAnsi" w:hAnsiTheme="minorHAnsi" w:cstheme="minorHAnsi"/>
          <w:color w:val="000000" w:themeColor="text1"/>
        </w:rPr>
        <w:t xml:space="preserve"> analysis in a larger cohort using a 24-hour recall to</w:t>
      </w:r>
      <w:r w:rsidR="00DA2895" w:rsidRPr="00CA4ABC">
        <w:rPr>
          <w:rFonts w:asciiTheme="minorHAnsi" w:hAnsiTheme="minorHAnsi" w:cstheme="minorHAnsi"/>
          <w:color w:val="000000" w:themeColor="text1"/>
        </w:rPr>
        <w:t xml:space="preserve"> </w:t>
      </w:r>
      <w:r w:rsidRPr="00CA4ABC">
        <w:rPr>
          <w:rFonts w:asciiTheme="minorHAnsi" w:hAnsiTheme="minorHAnsi" w:cstheme="minorHAnsi"/>
          <w:color w:val="000000" w:themeColor="text1"/>
        </w:rPr>
        <w:t>obtain protein intakes did not achieve sufficient AUC. As such, it is likely that further refinement of the questions on the protein screener (SheffProScreener) is required. This tool may still have research applications, however.</w:t>
      </w:r>
    </w:p>
    <w:p w14:paraId="4F2E350D" w14:textId="5904E2D7" w:rsidR="00310C71" w:rsidRPr="00CA4ABC" w:rsidRDefault="00310C71">
      <w:pPr>
        <w:pStyle w:val="NormalWeb"/>
        <w:numPr>
          <w:ilvl w:val="0"/>
          <w:numId w:val="28"/>
        </w:numPr>
        <w:spacing w:line="360" w:lineRule="auto"/>
        <w:rPr>
          <w:rFonts w:asciiTheme="minorHAnsi" w:hAnsiTheme="minorHAnsi" w:cstheme="minorHAnsi"/>
          <w:color w:val="000000" w:themeColor="text1"/>
        </w:rPr>
      </w:pPr>
      <w:r w:rsidRPr="00CA4ABC">
        <w:rPr>
          <w:rFonts w:asciiTheme="minorHAnsi" w:hAnsiTheme="minorHAnsi" w:cstheme="minorHAnsi"/>
          <w:color w:val="000000" w:themeColor="text1"/>
        </w:rPr>
        <w:t>Protein knowledge did not correlate with protein intakes in adults aged 18 years or older, residing in the UK</w:t>
      </w:r>
      <w:r w:rsidR="00DA2895" w:rsidRPr="00CA4ABC">
        <w:rPr>
          <w:rFonts w:asciiTheme="minorHAnsi" w:hAnsiTheme="minorHAnsi" w:cstheme="minorHAnsi"/>
          <w:color w:val="000000" w:themeColor="text1"/>
        </w:rPr>
        <w:t>. There was, however,</w:t>
      </w:r>
      <w:r w:rsidRPr="00CA4ABC">
        <w:rPr>
          <w:rFonts w:asciiTheme="minorHAnsi" w:hAnsiTheme="minorHAnsi" w:cstheme="minorHAnsi"/>
          <w:color w:val="000000" w:themeColor="text1"/>
        </w:rPr>
        <w:t xml:space="preserve"> a correlation between protein knowledge and protein intakes in the older adults (aged 55 years+)</w:t>
      </w:r>
      <w:r w:rsidR="00DA2895" w:rsidRPr="00CA4ABC">
        <w:rPr>
          <w:rFonts w:asciiTheme="minorHAnsi" w:hAnsiTheme="minorHAnsi" w:cstheme="minorHAnsi"/>
          <w:color w:val="000000" w:themeColor="text1"/>
        </w:rPr>
        <w:t>,</w:t>
      </w:r>
      <w:r w:rsidRPr="00CA4ABC">
        <w:rPr>
          <w:rFonts w:asciiTheme="minorHAnsi" w:hAnsiTheme="minorHAnsi" w:cstheme="minorHAnsi"/>
          <w:color w:val="000000" w:themeColor="text1"/>
        </w:rPr>
        <w:t xml:space="preserve"> which was not present in the younger adults (18-54 years). There also appears to be </w:t>
      </w:r>
      <w:r w:rsidR="00DA2895" w:rsidRPr="00CA4ABC">
        <w:rPr>
          <w:rFonts w:asciiTheme="minorHAnsi" w:hAnsiTheme="minorHAnsi" w:cstheme="minorHAnsi"/>
          <w:color w:val="000000" w:themeColor="text1"/>
        </w:rPr>
        <w:t xml:space="preserve">a </w:t>
      </w:r>
      <w:r w:rsidRPr="00CA4ABC">
        <w:rPr>
          <w:rFonts w:asciiTheme="minorHAnsi" w:hAnsiTheme="minorHAnsi" w:cstheme="minorHAnsi"/>
          <w:color w:val="000000" w:themeColor="text1"/>
        </w:rPr>
        <w:t xml:space="preserve">relationship between protein intake and the factors: age, BMI, physical activity levels and not eating meat/fish. This information is beneficial for helping to determine individuals who may not be achieving intakes that </w:t>
      </w:r>
      <w:r w:rsidR="00072898" w:rsidRPr="00CA4ABC">
        <w:rPr>
          <w:rFonts w:asciiTheme="minorHAnsi" w:hAnsiTheme="minorHAnsi" w:cstheme="minorHAnsi"/>
          <w:color w:val="000000" w:themeColor="text1"/>
        </w:rPr>
        <w:t>align</w:t>
      </w:r>
      <w:r w:rsidRPr="00CA4ABC">
        <w:rPr>
          <w:rFonts w:asciiTheme="minorHAnsi" w:hAnsiTheme="minorHAnsi" w:cstheme="minorHAnsi"/>
          <w:color w:val="000000" w:themeColor="text1"/>
        </w:rPr>
        <w:t xml:space="preserve"> with protein guidelines and potentially targeting them with interventions to address this.</w:t>
      </w:r>
    </w:p>
    <w:p w14:paraId="3AB61D13" w14:textId="29DF01F1" w:rsidR="00310C71" w:rsidRPr="00CA4ABC" w:rsidRDefault="00DA2895">
      <w:pPr>
        <w:pStyle w:val="NormalWeb"/>
        <w:numPr>
          <w:ilvl w:val="0"/>
          <w:numId w:val="28"/>
        </w:numPr>
        <w:spacing w:line="360" w:lineRule="auto"/>
        <w:rPr>
          <w:rFonts w:asciiTheme="minorHAnsi" w:hAnsiTheme="minorHAnsi" w:cstheme="minorHAnsi"/>
          <w:color w:val="000000" w:themeColor="text1"/>
        </w:rPr>
      </w:pPr>
      <w:r w:rsidRPr="00CA4ABC">
        <w:rPr>
          <w:rFonts w:asciiTheme="minorHAnsi" w:hAnsiTheme="minorHAnsi" w:cstheme="minorHAnsi"/>
          <w:color w:val="000000"/>
          <w:shd w:val="clear" w:color="auto" w:fill="FFFFFF"/>
        </w:rPr>
        <w:t xml:space="preserve">An intervention trial designed to be delivered remotely to middle-aged adults and consisted of a resistance training programme, alongside protein supplementation, </w:t>
      </w:r>
      <w:r w:rsidRPr="00CA4ABC">
        <w:rPr>
          <w:rFonts w:asciiTheme="minorHAnsi" w:hAnsiTheme="minorHAnsi" w:cstheme="minorHAnsi"/>
          <w:color w:val="000000"/>
          <w:shd w:val="clear" w:color="auto" w:fill="FFFFFF"/>
        </w:rPr>
        <w:lastRenderedPageBreak/>
        <w:t xml:space="preserve">was classed as feasible and met the criteria to progress to a full-scale trial. </w:t>
      </w:r>
      <w:r w:rsidR="00310C71" w:rsidRPr="00CA4ABC">
        <w:rPr>
          <w:rFonts w:asciiTheme="minorHAnsi" w:hAnsiTheme="minorHAnsi" w:cstheme="minorHAnsi"/>
          <w:color w:val="000000" w:themeColor="text1"/>
        </w:rPr>
        <w:t xml:space="preserve">Nevertheless, based on feasibility trial measurements, including qualitative analysis of semi-structured interviews, some amendments to the study design would be favourable for promoting trial acceptability and adherence. </w:t>
      </w:r>
    </w:p>
    <w:p w14:paraId="77862436" w14:textId="61360821"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412" w:name="_Toc135384425"/>
      <w:r w:rsidRPr="00CA4ABC">
        <w:rPr>
          <w:rFonts w:asciiTheme="minorHAnsi" w:hAnsiTheme="minorHAnsi" w:cstheme="minorHAnsi"/>
          <w:b/>
          <w:bCs/>
          <w:color w:val="000000" w:themeColor="text1"/>
        </w:rPr>
        <w:t xml:space="preserve">7.2 </w:t>
      </w:r>
      <w:r w:rsidRPr="00CA4ABC">
        <w:rPr>
          <w:rFonts w:asciiTheme="minorHAnsi" w:hAnsiTheme="minorHAnsi" w:cstheme="minorHAnsi"/>
          <w:b/>
          <w:bCs/>
          <w:color w:val="000000" w:themeColor="text1"/>
          <w:sz w:val="24"/>
          <w:szCs w:val="24"/>
        </w:rPr>
        <w:t>Novelty/niches and strengths of the work</w:t>
      </w:r>
      <w:bookmarkEnd w:id="412"/>
    </w:p>
    <w:p w14:paraId="7028224D" w14:textId="34B1F4C1"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The remotely delivered intervention is novel within this space, although it is anticipated that more work will be published looking at remote delivery, coming off the back of the pandemic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{"citationItems":[{"id":"ITEM-1","itemData":{"DOI":"10.1177/20597991211008581","ISSN":"20597991","abstract":"In March 2020, the UK Research and Innovation announced an emergency call for research to inform policy and practice responses to the COVID-19 pandemic. This call implicitly and explicitly required...","author":[{"dropping-particle":"","family":"Richardson","given":"Jane","non-dropping-particle":"","parse-names":false,"suffix":""},{"dropping-particle":"","family":"Godfrey","given":"Barry","non-dropping-particle":"","parse-names":false,"suffix":""},{"dropping-particle":"","family":"Walklate","given":"Sandra","non-dropping-particle":"","parse-names":false,"suffix":""}],"container-title":"https://doi.org/10.1177/20597991211008581","id":"ITEM-1","issue":"1","issued":{"date-parts":[["2021","4","15"]]},"publisher":"SAGE PublicationsSage UK: London, England","title":"Rapid, remote and responsive research during COVID-19","type":"article-journal","volume":"14"},"uris":["http://www.mendeley.com/documents/?uuid=466e23c9-10c8-3f11-9466-982170403e6d"]}],"mendeley":{"formattedCitation":"(347)","plainTextFormattedCitation":"(347)","previouslyFormattedCitation":"(346)"},"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(347)</w:t>
      </w:r>
      <w:r w:rsidRPr="00CA4ABC">
        <w:rPr>
          <w:rFonts w:cstheme="minorHAnsi"/>
          <w:color w:val="000000" w:themeColor="text1"/>
        </w:rPr>
        <w:fldChar w:fldCharType="end"/>
      </w:r>
      <w:r w:rsidRPr="00CA4ABC">
        <w:rPr>
          <w:rFonts w:cstheme="minorHAnsi"/>
          <w:color w:val="000000" w:themeColor="text1"/>
        </w:rPr>
        <w:t xml:space="preserve">. Feasibility work </w:t>
      </w:r>
      <w:r w:rsidR="00255262" w:rsidRPr="00CA4ABC">
        <w:rPr>
          <w:rFonts w:cstheme="minorHAnsi"/>
          <w:color w:val="000000" w:themeColor="text1"/>
        </w:rPr>
        <w:t>can potentially save</w:t>
      </w:r>
      <w:r w:rsidRPr="00CA4ABC">
        <w:rPr>
          <w:rFonts w:cstheme="minorHAnsi"/>
          <w:color w:val="000000" w:themeColor="text1"/>
        </w:rPr>
        <w:t xml:space="preserve"> time and resources if the proposed study design does not work effectively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{"citationItems":[{"id":"ITEM-1","itemData":{"DOI":"10.1371/JOURNAL.PONE.0150205","ISSN":"19326203","PMID":"26978655","abstract":"We describe a framework for defining pilot and feasibility studies focusing on studies conducted in preparation for a randomised controlled trial. To develop the framework, we undertook a Delphi survey; ran an open meeting at a trial methodology conference; conducted a review of definitions outside the health research context; consulted experts at an international consensus meeting; and reviewed 27 empirical pilot or feasibility studies. We initially adopted mutually exclusive definitions of pilot and feasibility studies. However, some Delphi survey respondents and the majority of open meeting attendees disagreed with the idea of mutually exclusive definitions. Their viewpoint was supported by definitions outside the health research context, the use of the terms 'pilot' and 'feasibility' in the literature, and participants at the international consensus meeting. In our framework, pilot studies are a subset of feasibility studies, rather than the two being mutually exclusive. A feasibility study asks whether something can be done, should we proceed with it, and if so, how. A pilot study asks the same questions but also has a specific design feature: in a pilot study a future study, or part of a future study, is conducted on a smaller scale. We suggest that to facilitate their identification, these studies should be clearly identified using the terms 'feasibility' or 'pilot' as appropriate. This should include feasibility studies that are largely qualitative; we found these difficult to identify in electronic searches because researchers rarely used the term 'feasibility' in the title or abstract of such studies. Investigators should also report appropriate objectives and methods related to feasibility; and give clear confirmation that their study is in preparation for a future randomised controlled trial designed to assess the effect of an intervention.","author":[{"dropping-particle":"","family":"Eldridge","given":"Sandra M.","non-dropping-particle":"","parse-names":false,"suffix":""},{"dropping-particle":"","family":"Lancaster","given":"Gillian A.","non-dropping-particle":"","parse-names":false,"suffix":""},{"dropping-particle":"","family":"Campbell","given":"Michael J.","non-dropping-particle":"","parse-names":false,"suffix":""},{"dropping-particle":"","family":"Thabane","given":"Lehana","non-dropping-particle":"","parse-names":false,"suffix":""},{"dropping-particle":"","family":"Hopewell","given":"Sally","non-dropping-particle":"","parse-names":false,"suffix":""},{"dropping-particle":"","family":"Coleman","given":"Claire L.","non-dropping-particle":"","parse-names":false,"suffix":""},{"dropping-particle":"","family":"Bond","given":"Christine M.","non-dropping-particle":"","parse-names":false,"suffix":""}],"container-title":"PLoS ONE","id":"ITEM-1","issue":"3","issued":{"date-parts":[["2016","3","1"]]},"publisher":"Public Library of Science","title":"Defining feasibility and pilot studies in preparation for randomised controlled trials: Development of a conceptual framework","type":"article-journal","volume":"11"},"uris":["http://www.mendeley.com/documents/?uuid=63723647-3146-34c4-a1e5-9b433e494933"]}],"mendeley":{"formattedCitation":"(348)","plainTextFormattedCitation":"(348)","previouslyFormattedCitation":"(347)"},"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(348)</w:t>
      </w:r>
      <w:r w:rsidRPr="00CA4ABC">
        <w:rPr>
          <w:rFonts w:cstheme="minorHAnsi"/>
          <w:color w:val="000000" w:themeColor="text1"/>
        </w:rPr>
        <w:fldChar w:fldCharType="end"/>
      </w:r>
      <w:r w:rsidRPr="00CA4ABC">
        <w:rPr>
          <w:rFonts w:cstheme="minorHAnsi"/>
          <w:color w:val="000000" w:themeColor="text1"/>
        </w:rPr>
        <w:t xml:space="preserve">. Due to its novel nature, </w:t>
      </w:r>
      <w:r w:rsidR="00255262" w:rsidRPr="00CA4ABC">
        <w:rPr>
          <w:rFonts w:cstheme="minorHAnsi"/>
          <w:color w:val="000000" w:themeColor="text1"/>
        </w:rPr>
        <w:t xml:space="preserve">gaining further insights into the trial design was necessary </w:t>
      </w:r>
      <w:r w:rsidRPr="00CA4ABC">
        <w:rPr>
          <w:rFonts w:cstheme="minorHAnsi"/>
          <w:color w:val="000000" w:themeColor="text1"/>
        </w:rPr>
        <w:t xml:space="preserve">before larger numbers were recruited. </w:t>
      </w:r>
    </w:p>
    <w:p w14:paraId="4EB8D962" w14:textId="77777777" w:rsidR="00310C71" w:rsidRPr="00CA4ABC" w:rsidRDefault="00310C71" w:rsidP="00310C71">
      <w:pPr>
        <w:spacing w:line="360" w:lineRule="auto"/>
        <w:rPr>
          <w:rFonts w:cstheme="minorHAnsi"/>
          <w:color w:val="000000" w:themeColor="text1"/>
        </w:rPr>
      </w:pPr>
    </w:p>
    <w:p w14:paraId="247876B8" w14:textId="5CF5D10B"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Another strength of the work is </w:t>
      </w:r>
      <w:r w:rsidR="00255262" w:rsidRPr="00CA4ABC">
        <w:rPr>
          <w:rFonts w:cstheme="minorHAnsi"/>
          <w:color w:val="000000" w:themeColor="text1"/>
        </w:rPr>
        <w:t>using</w:t>
      </w:r>
      <w:r w:rsidRPr="00CA4ABC">
        <w:rPr>
          <w:rFonts w:cstheme="minorHAnsi"/>
          <w:color w:val="000000" w:themeColor="text1"/>
        </w:rPr>
        <w:t xml:space="preserve"> quantitative and qualitative analysis methods to gain a richer understanding and obtain </w:t>
      </w:r>
      <w:r w:rsidR="00255262" w:rsidRPr="00CA4ABC">
        <w:rPr>
          <w:rFonts w:cstheme="minorHAnsi"/>
          <w:color w:val="000000" w:themeColor="text1"/>
        </w:rPr>
        <w:t xml:space="preserve">greater </w:t>
      </w:r>
      <w:r w:rsidRPr="00CA4ABC">
        <w:rPr>
          <w:rFonts w:cstheme="minorHAnsi"/>
          <w:color w:val="000000" w:themeColor="text1"/>
        </w:rPr>
        <w:t xml:space="preserve">detail about the feasibility study design so this can be optimised, moving forward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{"citationItems":[{"id":"ITEM-1","itemData":{"DOI":"10.1186/S41687-018-0043-8","ISSN":"25098020","PMID":"29757311","abstract":"Mixed methods research (MMR) has found an increased interest in the field of health outcomes research. Consideration for both qualitative and quantitative perspectives has become key to contextualising patient experiences in a clinically meaningful measurement framework. The purpose of this paper is to outline a process for incorporating MMR in health outcomes research to guide stakeholders in their understanding of the essence of mixed methods inquiry. In addition, this paper will outline the benefits and challenges of MMR and describe the types of support needed for designing and conducting robust MMR measurement studies. MMR involves the application of a well-defined and pre-specified research design that articulates purposely and prospectively, qualitative and quantitative components to generate an integrated set of evidence addressing a single research question. Various methodological design options are possible depending on the research question. MMR designs allow a research question to be studied thoroughly from different perspectives. When applied, it allows the strengths of one approach to complement the restrictions of another. Among other applications, MMR can be used to enhance the creation of conceptual models and development of new instruments, to interpret the meaningfulness of outcomes in a clinical study from the patient perspective, and inform health care policy. Robust MMR requires research teams with experience in both qualitative and quantitative research. Moreover, a thorough understanding of the underlying principles of MMR is recommended at the point of study conception all the way through to implementation and knowledge dissemination. The framework outlined in this paper is designed to encourage health outcomes researchers to apply MMR to their research and to facilitate innovative, patient-centred methodological solutions to address the complex challenges of the field.","author":[{"dropping-particle":"","family":"Regnault","given":"Antoine","non-dropping-particle":"","parse-names":false,"suffix":""},{"dropping-particle":"","family":"Willgoss","given":"Tom","non-dropping-particle":"","parse-names":false,"suffix":""},{"dropping-particle":"","family":"Barbic","given":"Skye","non-dropping-particle":"","parse-names":false,"suffix":""},{"dropping-particle":"","family":"(SIG)","given":"On behalf of the International Society for Quality of Life Research (ISOQOL) Mixed Methods Special Interest Group","non-dropping-particle":"","parse-names":false,"suffix":""}],"container-title":"Journal of Patient-Reported Outcomes","id":"ITEM-1","issued":{"date-parts":[["2018"]]},"publisher":"Springer","title":"Towards the use of mixed methods inquiry as best practice in health outcomes research","type":"article-journal","volume":"2"},"uris":["http://www.mendeley.com/documents/?uuid=f6eae7fd-6091-3eb6-8262-fdff9e5dd15c"]}],"mendeley":{"formattedCitation":"(349)","plainTextFormattedCitation":"(349)","previouslyFormattedCitation":"(348)"},"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(349)</w:t>
      </w:r>
      <w:r w:rsidRPr="00CA4ABC">
        <w:rPr>
          <w:rFonts w:cstheme="minorHAnsi"/>
          <w:color w:val="000000" w:themeColor="text1"/>
        </w:rPr>
        <w:fldChar w:fldCharType="end"/>
      </w:r>
      <w:r w:rsidRPr="00CA4ABC">
        <w:rPr>
          <w:rFonts w:cstheme="minorHAnsi"/>
          <w:color w:val="000000" w:themeColor="text1"/>
        </w:rPr>
        <w:t>. Harnessing this information can maximise the effectiveness and success rates of larger</w:t>
      </w:r>
      <w:r w:rsidR="005A193B" w:rsidRPr="00CA4ABC">
        <w:rPr>
          <w:rFonts w:cstheme="minorHAnsi"/>
          <w:color w:val="000000" w:themeColor="text1"/>
        </w:rPr>
        <w:t>-</w:t>
      </w:r>
      <w:r w:rsidRPr="00CA4ABC">
        <w:rPr>
          <w:rFonts w:cstheme="minorHAnsi"/>
          <w:color w:val="000000" w:themeColor="text1"/>
        </w:rPr>
        <w:t xml:space="preserve">scale trial designs. Although qualitative research is sometimes criticised for lacking objectivity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{"citationItems":[{"id":"ITEM-1","itemData":{"DOI":"10.1136/EB-2015-102054","ISSN":"1367-6539","PMID":"25653237","abstract":"Evaluating the quality of research is essential if findings are to be utilised in practice and incorporated into care delivery. In a previous article we explored ‘bias’ across research designs and outlined strategies to minimise bias.1 The aim of this article is to further outline rigour, or the integrity in which a study is conducted, and ensure the credibility of findings in relation to qualitative research. Concepts such as reliability, validity and generalisability typically associated with quantitative research and alternative terminology will be compared in relation to their application to qualitative research. In addition, some of the strategies adopted by qualitative researchers to enhance the credibility of their research are outlined.\n\nAssessing the reliability of study findings requires researchers and health professionals to make judgements about the ‘soundness’ of the research in relation to …","author":[{"dropping-particle":"","family":"Noble","given":"Helen","non-dropping-particle":"","parse-names":false,"suffix":""},{"dropping-particle":"","family":"Smith","given":"Joanna","non-dropping-particle":"","parse-names":false,"suffix":""}],"container-title":"Evidence-Based Nursing","id":"ITEM-1","issue":"2","issued":{"date-parts":[["2015","4","1"]]},"page":"34-35","publisher":"Royal College of Nursing","title":"Issues of validity and reliability in qualitative research","type":"article-journal","volume":"18"},"uris":["http://www.mendeley.com/documents/?uuid=65569036-d093-329c-ba57-4386338062e5"]}],"mendeley":{"formattedCitation":"(328)","plainTextFormattedCitation":"(328)","previouslyFormattedCitation":"(327)"},"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(328)</w:t>
      </w:r>
      <w:r w:rsidRPr="00CA4ABC">
        <w:rPr>
          <w:rFonts w:cstheme="minorHAnsi"/>
          <w:color w:val="000000" w:themeColor="text1"/>
        </w:rPr>
        <w:fldChar w:fldCharType="end"/>
      </w:r>
      <w:r w:rsidR="00255262" w:rsidRPr="00CA4ABC">
        <w:rPr>
          <w:rFonts w:cstheme="minorHAnsi"/>
          <w:color w:val="000000" w:themeColor="text1"/>
        </w:rPr>
        <w:t xml:space="preserve">, the </w:t>
      </w:r>
      <w:r w:rsidRPr="00CA4ABC">
        <w:rPr>
          <w:rFonts w:cstheme="minorHAnsi"/>
          <w:color w:val="000000" w:themeColor="text1"/>
        </w:rPr>
        <w:t xml:space="preserve">semi-structured interviews conducted in chapter 5 helped obtain valuable </w:t>
      </w:r>
      <w:r w:rsidR="00255262" w:rsidRPr="00CA4ABC">
        <w:rPr>
          <w:rFonts w:cstheme="minorHAnsi"/>
          <w:color w:val="000000" w:themeColor="text1"/>
        </w:rPr>
        <w:t>participant feedback</w:t>
      </w:r>
      <w:r w:rsidRPr="00CA4ABC">
        <w:rPr>
          <w:rFonts w:cstheme="minorHAnsi"/>
          <w:color w:val="000000" w:themeColor="text1"/>
        </w:rPr>
        <w:t xml:space="preserve">. </w:t>
      </w:r>
      <w:r w:rsidR="005A193B" w:rsidRPr="00CA4ABC">
        <w:rPr>
          <w:rFonts w:cstheme="minorHAnsi"/>
          <w:color w:val="000000"/>
          <w:shd w:val="clear" w:color="auto" w:fill="FFFFFF"/>
        </w:rPr>
        <w:t xml:space="preserve">The themes generated also identified some unexpected findings and behaviours, including psychological well-being outcomes. </w:t>
      </w:r>
      <w:r w:rsidRPr="00CA4ABC">
        <w:rPr>
          <w:rFonts w:cstheme="minorHAnsi"/>
          <w:color w:val="000000" w:themeColor="text1"/>
        </w:rPr>
        <w:t xml:space="preserve">The benefit of psychological impacts of physical exercise was not a focus for this thesis but may be an important area to explore. The positive impact of resistance training for improving quality of life has been supported by a systematic review and meta-analysis that found resistance training improved mental health measures in 15 out of 16 included studies </w:t>
      </w:r>
      <w:r w:rsidRPr="00CA4ABC">
        <w:rPr>
          <w:rFonts w:cstheme="minorHAnsi"/>
          <w:color w:val="212121"/>
          <w:shd w:val="clear" w:color="auto" w:fill="FFFFFF"/>
        </w:rPr>
        <w:t>(Effect size=0.64, 95% CI: 0.30-0.99)</w:t>
      </w:r>
      <w:r w:rsidR="007023B7" w:rsidRPr="00CA4ABC">
        <w:rPr>
          <w:rFonts w:cstheme="minorHAnsi"/>
          <w:color w:val="212121"/>
          <w:shd w:val="clear" w:color="auto" w:fill="FFFFFF"/>
        </w:rPr>
        <w:t xml:space="preserve"> </w:t>
      </w:r>
      <w:r w:rsidR="007023B7" w:rsidRPr="00CA4ABC">
        <w:rPr>
          <w:rFonts w:cstheme="minorHAnsi"/>
          <w:color w:val="212121"/>
          <w:shd w:val="clear" w:color="auto" w:fill="FFFFFF"/>
        </w:rPr>
        <w:fldChar w:fldCharType="begin" w:fldLock="1"/>
      </w:r>
      <w:r w:rsidR="00821D82">
        <w:rPr>
          <w:rFonts w:cstheme="minorHAnsi"/>
          <w:color w:val="212121"/>
          <w:shd w:val="clear" w:color="auto" w:fill="FFFFFF"/>
        </w:rPr>
        <w:instrText>ADDIN CSL_CITATION {"citationItems":[{"id":"ITEM-1","itemData":{"DOI":"10.15171/hpp.2019.01","abstract":"Background: Resistance training (RT) is recommended as part of our national physical activity guidelines which includes working all major muscle groups on two or more days a week. Older adults can gain many health benefits from RT, such as increased muscle strength, increased muscle mass, and maintenance of bone density. Additionally, certain dimensions of health-related quality of life (HRQOL) have been shown to improve in older adults due to RT intervention. The purpose of this study was to use systematic review and meta-analytic techniques to examine the effect of RT on HRQOL in older adults. Methods: A systematic review of current studies (2008 thru 2017) was conducted using PubMed. Studies were included if they used a randomized controlled design, had RT as an intervention, measured HRQOL using the SF-36/12 assessment, and included adults 50+ years of age. Eight dimension scores (physical functioning, bodily pain, physical role function, general health, mental health, emotional role function, social function, and vitality) and two summary scores (physical component and mental component) were extracted. Ten meta-analyses were performed using standardized mean effect sizes and random effects models. Study quality, moderator and sensitivity analyses were conducted. Results: A total of 16 studies were included in the analyses with a mean Physiotherapy Evidence Database (PEDro) score of 4.9 (SD=1.0). Among the mental health measures, RT had the greatest effect on mental health (Effect size [ES]=0.64, 95% CI: 0.30-0.99, I 2 =79.7). Among the physical health measures, RT had the largest effect on body pain (ES=0.81, 95% CI: 0.26-1.35, I 2 =85.9). Initially, RT did not significantly affect measures of emotional role function, social function or physical role function. However, after removing a single study, RT significantly increased all HRQOL measures. Conclusion: The meta-analytic evidence presented in this research clearly supports the promotion of RT in improving HRQOL in older adults.","author":[{"dropping-particle":"","family":"Hart","given":"Peter D","non-dropping-particle":"","parse-names":false,"suffix":""},{"dropping-particle":"","family":"Buck","given":"Diona J","non-dropping-particle":"","parse-names":false,"suffix":""}],"container-title":"Health Promotion Perspectives","id":"ITEM-1","issue":"1","issued":{"date-parts":[["2019"]]},"page":"1-12","title":"The effect of resistance training on health-related quality of life in older adults: Systematic review and meta-analysis","type":"article-journal","volume":"9"},"uris":["http://www.mendeley.com/documents/?uuid=80f306a9-2bb5-36a8-bb4e-4c8d38836110"]}],"mendeley":{"formattedCitation":"(350)","plainTextFormattedCitation":"(350)","previouslyFormattedCitation":"(349)"},"properties":{"noteIndex":0},"schema":"https://github.com/citation-style-language/schema/raw/master/csl-citation.json"}</w:instrText>
      </w:r>
      <w:r w:rsidR="007023B7" w:rsidRPr="00CA4ABC">
        <w:rPr>
          <w:rFonts w:cstheme="minorHAnsi"/>
          <w:color w:val="212121"/>
          <w:shd w:val="clear" w:color="auto" w:fill="FFFFFF"/>
        </w:rPr>
        <w:fldChar w:fldCharType="separate"/>
      </w:r>
      <w:r w:rsidR="00821D82" w:rsidRPr="00821D82">
        <w:rPr>
          <w:rFonts w:cstheme="minorHAnsi"/>
          <w:noProof/>
          <w:color w:val="212121"/>
          <w:shd w:val="clear" w:color="auto" w:fill="FFFFFF"/>
        </w:rPr>
        <w:t>(350)</w:t>
      </w:r>
      <w:r w:rsidR="007023B7" w:rsidRPr="00CA4ABC">
        <w:rPr>
          <w:rFonts w:cstheme="minorHAnsi"/>
          <w:color w:val="212121"/>
          <w:shd w:val="clear" w:color="auto" w:fill="FFFFFF"/>
        </w:rPr>
        <w:fldChar w:fldCharType="end"/>
      </w:r>
      <w:r w:rsidR="007023B7" w:rsidRPr="00CA4ABC">
        <w:rPr>
          <w:rFonts w:cstheme="minorHAnsi"/>
          <w:color w:val="212121"/>
          <w:shd w:val="clear" w:color="auto" w:fill="FFFFFF"/>
        </w:rPr>
        <w:t xml:space="preserve">. </w:t>
      </w:r>
      <w:r w:rsidRPr="00CA4ABC">
        <w:rPr>
          <w:rFonts w:cstheme="minorHAnsi"/>
          <w:color w:val="000000" w:themeColor="text1"/>
        </w:rPr>
        <w:t xml:space="preserve"> The qualitative research also flagged areas where caution should be paid and means measures can be undertaken to address these factors in the future. This included the dislike of the taste of the protein supplement. It also highlighted that individuals should be targeted who will benefit maximally from trial engagement and consideration of this should be factored into recruitment strategies</w:t>
      </w:r>
      <w:r w:rsidR="007023B7" w:rsidRPr="00CA4ABC">
        <w:rPr>
          <w:rFonts w:cstheme="minorHAnsi"/>
          <w:color w:val="000000" w:themeColor="text1"/>
        </w:rPr>
        <w:t xml:space="preserve"> </w:t>
      </w:r>
      <w:r w:rsidR="007023B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{"citationItems":[{"id":"ITEM-1","itemData":{"DOI":"10.1002/14651858.MR000036.PUB2","ISSN":"1469493X","abstract":"Background: Identifying and approaching eligible participants for recruitment to research studies usually relies on healthcare professionals. This process is sometimes hampered by deliberate or inadvertent gatekeeping that can introduce bias into patient selection. Objectives: Our primary objective was to identify and assess the effect of strategies designed to help healthcare professionals to recruit participants to research studies. Search methods: We performed searches on 5 January 2015 in the following electronic databases: Cochrane Methodology Register, CENTRAL, MEDLINE, EMBASE, CINAHL, British Nursing Index, PsycINFO, ASSIA and Web of Science (SSCI, SCI-EXPANDED) from 1985 onwards. We checked the reference lists of all included studies and relevant review articles and did citation tracking through Web of Science for all included studies. Selection criteria: We selected all studies that evaluated a strategy to identify and recruit participants for research via healthcare professionals and provided pre-post comparison data on recruitment rates. Data collection and analysis: Two review authors independently screened search results for potential eligibility, read full papers, applied the selection criteria and extracted data. We calculated risk ratios for each study to indicate the effect of each strategy. Main results: Eleven studies met our eligibility criteria and all were at medium or high risk of bias. Only five studies gave the total number of participants (totalling 7372 participants). Three studies used a randomised design, with the others using pre-post comparisons. Several different strategies were investigated. Four studies examined the impact of additional visits or information for the study site, with no increases in recruitment demonstrated. Increased recruitment rates were reported in two studies that used a dedicated clinical recruiter, and five studies that introduced an automated alert system for identifying eligible participants. The studies were embedded into trials evaluating care in oncology mainly but also in emergency departments, diabetes and lower back pain. Authors' conclusions: There is no strong evidence for any single strategy to help healthcare professionals to recruit participants in research studies. Additional visits or information did not appear to increase recruitment by healthcare professionals. The most promising strategies appear to be those with a dedicated resource (e.g. a clinical recruiter or automated alert …","author":[{"dropping-particle":"","family":"Preston","given":"Nancy J.","non-dropping-particle":"","parse-names":false,"suffix":""},{"dropping-particle":"","family":"Farquhar","given":"Morag C.","non-dropping-particle":"","parse-names":false,"suffix":""},{"dropping-particle":"","family":"Walshe","given":"Catherine E.","non-dropping-particle":"","parse-names":false,"suffix":""},{"dropping-particle":"","family":"Stevinson","given":"Clare","non-dropping-particle":"","parse-names":false,"suffix":""},{"dropping-particle":"","family":"Ewing","given":"Gail","non-dropping-particle":"","parse-names":false,"suffix":""},{"dropping-particle":"","family":"Calman","given":"Lynn A.","non-dropping-particle":"","parse-names":false,"suffix":""},{"dropping-particle":"","family":"Burden","given":"Sorrel","non-dropping-particle":"","parse-names":false,"suffix":""},{"dropping-particle":"","family":"Brown Wilson","given":"Christine","non-dropping-particle":"","parse-names":false,"suffix":""},{"dropping-particle":"","family":"Hopkinson","given":"Jane B.","non-dropping-particle":"","parse-names":false,"suffix":""},{"dropping-particle":"","family":"Todd","given":"Chris","non-dropping-particle":"","parse-names":false,"suffix":""}],"container-title":"Cochrane Database of Systematic Reviews","id":"ITEM-1","issue":"2","issued":{"date-parts":[["2016","2","29"]]},"publisher":"John Wiley and Sons Ltd","title":"Strategies designed to help healthcare professionals to recruit participants to research studies","type":"article-journal","volume":"2016"},"uris":["http://www.mendeley.com/documents/?uuid=854be442-17bb-3c0c-aa99-9b97b6fe1611"]}],"mendeley":{"formattedCitation":"(320)","plainTextFormattedCitation":"(320)","previouslyFormattedCitation":"(320)"},"properties":{"noteIndex":0},"schema":"https://github.com/citation-style-language/schema/raw/master/csl-citation.json"}</w:instrText>
      </w:r>
      <w:r w:rsidR="007023B7" w:rsidRPr="00CA4ABC">
        <w:rPr>
          <w:rFonts w:cstheme="minorHAnsi"/>
          <w:color w:val="000000" w:themeColor="text1"/>
        </w:rPr>
        <w:fldChar w:fldCharType="separate"/>
      </w:r>
      <w:r w:rsidR="00FF0BCE" w:rsidRPr="00FF0BCE">
        <w:rPr>
          <w:rFonts w:cstheme="minorHAnsi"/>
          <w:noProof/>
          <w:color w:val="000000" w:themeColor="text1"/>
        </w:rPr>
        <w:t>(320)</w:t>
      </w:r>
      <w:r w:rsidR="007023B7" w:rsidRPr="00CA4ABC">
        <w:rPr>
          <w:rFonts w:cstheme="minorHAnsi"/>
          <w:color w:val="000000" w:themeColor="text1"/>
        </w:rPr>
        <w:fldChar w:fldCharType="end"/>
      </w:r>
      <w:r w:rsidR="007023B7" w:rsidRPr="00CA4ABC">
        <w:rPr>
          <w:rFonts w:cstheme="minorHAnsi"/>
          <w:color w:val="000000" w:themeColor="text1"/>
        </w:rPr>
        <w:t>.</w:t>
      </w:r>
      <w:r w:rsidRPr="00CA4ABC">
        <w:rPr>
          <w:rFonts w:cstheme="minorHAnsi"/>
          <w:color w:val="000000" w:themeColor="text1"/>
        </w:rPr>
        <w:t xml:space="preserve"> </w:t>
      </w:r>
    </w:p>
    <w:p w14:paraId="3C6F3CD2" w14:textId="77777777" w:rsidR="00310C71" w:rsidRPr="00CA4ABC" w:rsidRDefault="00310C71" w:rsidP="00310C71">
      <w:pPr>
        <w:spacing w:line="360" w:lineRule="auto"/>
        <w:rPr>
          <w:rFonts w:cstheme="minorHAnsi"/>
          <w:color w:val="000000" w:themeColor="text1"/>
        </w:rPr>
      </w:pPr>
    </w:p>
    <w:p w14:paraId="127D252D" w14:textId="408945DF"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413" w:name="_Toc135384426"/>
      <w:r w:rsidRPr="00CA4ABC">
        <w:rPr>
          <w:rFonts w:asciiTheme="minorHAnsi" w:hAnsiTheme="minorHAnsi" w:cstheme="minorHAnsi"/>
          <w:b/>
          <w:bCs/>
          <w:color w:val="000000" w:themeColor="text1"/>
        </w:rPr>
        <w:t xml:space="preserve">7.3 </w:t>
      </w:r>
      <w:r w:rsidRPr="00CA4ABC">
        <w:rPr>
          <w:rFonts w:asciiTheme="minorHAnsi" w:hAnsiTheme="minorHAnsi" w:cstheme="minorHAnsi"/>
          <w:b/>
          <w:bCs/>
          <w:color w:val="000000" w:themeColor="text1"/>
          <w:sz w:val="24"/>
          <w:szCs w:val="24"/>
        </w:rPr>
        <w:t>Study limitations</w:t>
      </w:r>
      <w:bookmarkEnd w:id="413"/>
    </w:p>
    <w:p w14:paraId="6607DD80" w14:textId="6C53D1BA"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The rationale and reasoning regarding conducting FFQ and one 24-hour recall ha</w:t>
      </w:r>
      <w:r w:rsidR="005A193B" w:rsidRPr="00CA4ABC">
        <w:rPr>
          <w:rFonts w:cstheme="minorHAnsi"/>
          <w:color w:val="000000" w:themeColor="text1"/>
        </w:rPr>
        <w:t>ve</w:t>
      </w:r>
      <w:r w:rsidRPr="00CA4ABC">
        <w:rPr>
          <w:rFonts w:cstheme="minorHAnsi"/>
          <w:color w:val="000000" w:themeColor="text1"/>
        </w:rPr>
        <w:t xml:space="preserve"> been outlined in chapter 3. It is acknowledged that these are not best</w:t>
      </w:r>
      <w:r w:rsidR="005A193B" w:rsidRPr="00CA4ABC">
        <w:rPr>
          <w:rFonts w:cstheme="minorHAnsi"/>
          <w:color w:val="000000" w:themeColor="text1"/>
        </w:rPr>
        <w:t>-</w:t>
      </w:r>
      <w:r w:rsidRPr="00CA4ABC">
        <w:rPr>
          <w:rFonts w:cstheme="minorHAnsi"/>
          <w:color w:val="000000" w:themeColor="text1"/>
        </w:rPr>
        <w:t xml:space="preserve">practice dietary </w:t>
      </w:r>
      <w:r w:rsidRPr="00CA4ABC">
        <w:rPr>
          <w:rFonts w:cstheme="minorHAnsi"/>
          <w:color w:val="000000" w:themeColor="text1"/>
        </w:rPr>
        <w:lastRenderedPageBreak/>
        <w:t xml:space="preserve">intake protocols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{"citationItems":[{"id":"ITEM-1","itemData":{"DOI":"10.1093/IJE/DYG264","ISSN":"0300-5771","PMID":"14681273","abstract":"Background. Most large cohort studies have used a food frequency questionnaire (FFQ) for assessing dietary intake. Several biomarker studies, however, have cast doubt on whether the FFQ has sufficient precision to allow detection of moderate but important diet-disease associations. We use data from the Observing Protein and Energy Nutrition (OPEN) study to compare the performance of a FFQ with that of a 24-hour recall (24HR). Methods. The OPEN study included 484 healthy volunteer participants (261 men, 223 women) from Montgomery County, Maryland, aged 40-69. Each participant was asked to complete a FFQ and 24HR on two occasions 3 months apart, and a doubly labelled water (DLW) assessment and two 24-hour urine collections during the 2 weeks after the first FFQ and 24HR assessment. For both the FFQ and 24HR and for both men and women, we calculated attenuation factors for absolute energy, absolute protein, and protein density. Results. For absolute energy and protein, a single FFQs attenuation factor is 0.04-0.16. Repeat administrations lead to little improvement (0.08-0.19). Attenuation factors for a single 24HR are 0.10-0.20, but four repeats would yield attenuations of 0.20-0.37. For protein density a single FFQ has an attenuation of 0.3-0.4; for a single 24HR the attenuation factor is 0.15-0.25 but would increase to 0.35-0.50 with four repeats. Conclusions. Because of severe attenuation, the FFQ cannot be recommended as an instrument for evaluating relations between absolute intake of energy or protein and disease. Although this attenuation is lessened in analyses of energy-adjusted protein, it remains substantial for both FFQ and multiple 24HR. The utility of either of these instruments for detecting important but moderate relative risks (between 1.5 and 2.0), even for energy-adjusted dietary factors, is questionable.","author":[{"dropping-particle":"","family":"Schatzkin","given":"Arthur","non-dropping-particle":"","parse-names":false,"suffix":""},{"dropping-particle":"","family":"Kipnis","given":"Victor","non-dropping-particle":"","parse-names":false,"suffix":""},{"dropping-particle":"","family":"Carroll","given":"Raymond J.","non-dropping-particle":"","parse-names":false,"suffix":""},{"dropping-particle":"","family":"Midthune","given":"Douglas","non-dropping-particle":"","parse-names":false,"suffix":""},{"dropping-particle":"","family":"Subar","given":"Amy F.","non-dropping-particle":"","parse-names":false,"suffix":""},{"dropping-particle":"","family":"Bingham","given":"Sheila","non-dropping-particle":"","parse-names":false,"suffix":""},{"dropping-particle":"","family":"Schoeller","given":"Dale A.","non-dropping-particle":"","parse-names":false,"suffix":""},{"dropping-particle":"","family":"Troiano","given":"Richard P.","non-dropping-particle":"","parse-names":false,"suffix":""},{"dropping-particle":"","family":"Freedman","given":"Laurence S.","non-dropping-particle":"","parse-names":false,"suffix":""}],"container-title":"International journal of epidemiology","id":"ITEM-1","issue":"6","issued":{"date-parts":[["2003","12"]]},"page":"1054-1062","publisher":"Int J Epidemiol","title":"A comparison of a food frequency questionnaire with a 24-hour recall for use in an epidemiological cohort study: results from the biomarker-based Observing Protein and Energy Nutrition (OPEN) study","type":"article-journal","volume":"32"},"uris":["http://www.mendeley.com/documents/?uuid=3bfeb467-62fb-3b33-89cc-6aea46c47b71"]}],"mendeley":{"formattedCitation":"(206)","plainTextFormattedCitation":"(206)","previouslyFormattedCitation":"(206)"},"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(206)</w:t>
      </w:r>
      <w:r w:rsidRPr="00CA4ABC">
        <w:rPr>
          <w:rFonts w:cstheme="minorHAnsi"/>
          <w:color w:val="000000" w:themeColor="text1"/>
        </w:rPr>
        <w:fldChar w:fldCharType="end"/>
      </w:r>
      <w:r w:rsidRPr="00CA4ABC">
        <w:rPr>
          <w:rFonts w:cstheme="minorHAnsi"/>
          <w:color w:val="000000" w:themeColor="text1"/>
        </w:rPr>
        <w:t xml:space="preserve"> but a compromise was required between the detail of data and participant responses. Future work would benefit from collecting multiple pass 24-hour recalls and seeking ways to ensure participants do not drop out between recalls. </w:t>
      </w:r>
    </w:p>
    <w:p w14:paraId="56C97381" w14:textId="77777777" w:rsidR="00310C71" w:rsidRPr="00CA4ABC" w:rsidRDefault="00310C71" w:rsidP="00310C71">
      <w:pPr>
        <w:spacing w:line="360" w:lineRule="auto"/>
        <w:rPr>
          <w:rFonts w:cstheme="minorHAnsi"/>
          <w:color w:val="000000" w:themeColor="text1"/>
        </w:rPr>
      </w:pPr>
    </w:p>
    <w:p w14:paraId="09610D4F" w14:textId="64BB120A"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The research conducted in chapter five captured data from an under-represented cohort in the population, particularly middle-aged women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{"citationItems":[{"id":"ITEM-1","itemData":{"URL":"https://orwh.od.nih.gov/toolkit/welcome/introduction","accessed":{"date-parts":[["2022","12","16"]]},"id":"ITEM-1","issued":{"date-parts":[["0"]]},"title":"Introduction | Office of Research on Women's Health","type":"webpage"},"uris":["http://www.mendeley.com/documents/?uuid=a10ccbb6-c8a6-35f4-a28d-d25d6171c549"]}],"mendeley":{"formattedCitation":"(351)","plainTextFormattedCitation":"(351)","previouslyFormattedCitation":"(350)"},"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(351)</w:t>
      </w:r>
      <w:r w:rsidRPr="00CA4ABC">
        <w:rPr>
          <w:rFonts w:cstheme="minorHAnsi"/>
          <w:color w:val="000000" w:themeColor="text1"/>
        </w:rPr>
        <w:fldChar w:fldCharType="end"/>
      </w:r>
      <w:r w:rsidRPr="00CA4ABC">
        <w:rPr>
          <w:rFonts w:cstheme="minorHAnsi"/>
          <w:color w:val="000000" w:themeColor="text1"/>
        </w:rPr>
        <w:t xml:space="preserve">. Whilst </w:t>
      </w:r>
      <w:r w:rsidR="007023B7" w:rsidRPr="00CA4ABC">
        <w:rPr>
          <w:rFonts w:cstheme="minorHAnsi"/>
          <w:color w:val="000000" w:themeColor="text1"/>
        </w:rPr>
        <w:t xml:space="preserve">capturing a valuable cohort </w:t>
      </w:r>
      <w:r w:rsidR="007023B7"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{"citationItems":[{"id":"ITEM-1","itemData":{"URL":"https://orwh.od.nih.gov/toolkit/welcome/introduction","accessed":{"date-parts":[["2022","12","16"]]},"id":"ITEM-1","issued":{"date-parts":[["0"]]},"title":"Introduction | Office of Research on Women's Health","type":"webpage"},"uris":["http://www.mendeley.com/documents/?uuid=a10ccbb6-c8a6-35f4-a28d-d25d6171c549"]}],"mendeley":{"formattedCitation":"(351)","plainTextFormattedCitation":"(351)","previouslyFormattedCitation":"(350)"},"properties":{"noteIndex":0},"schema":"https://github.com/citation-style-language/schema/raw/master/csl-citation.json"}</w:instrText>
      </w:r>
      <w:r w:rsidR="007023B7" w:rsidRPr="00CA4ABC">
        <w:rPr>
          <w:rFonts w:cstheme="minorHAnsi"/>
          <w:color w:val="000000" w:themeColor="text1"/>
        </w:rPr>
        <w:fldChar w:fldCharType="separate"/>
      </w:r>
      <w:r w:rsidR="00821D82" w:rsidRPr="00821D82">
        <w:rPr>
          <w:rFonts w:cstheme="minorHAnsi"/>
          <w:noProof/>
          <w:color w:val="000000" w:themeColor="text1"/>
        </w:rPr>
        <w:t>(351)</w:t>
      </w:r>
      <w:r w:rsidR="007023B7" w:rsidRPr="00CA4ABC">
        <w:rPr>
          <w:rFonts w:cstheme="minorHAnsi"/>
          <w:color w:val="000000" w:themeColor="text1"/>
        </w:rPr>
        <w:fldChar w:fldCharType="end"/>
      </w:r>
      <w:r w:rsidR="007023B7" w:rsidRPr="00CA4ABC">
        <w:rPr>
          <w:rFonts w:cstheme="minorHAnsi"/>
          <w:color w:val="000000" w:themeColor="text1"/>
        </w:rPr>
        <w:t xml:space="preserve">, </w:t>
      </w:r>
      <w:r w:rsidRPr="00CA4ABC">
        <w:rPr>
          <w:rFonts w:cstheme="minorHAnsi"/>
          <w:color w:val="000000" w:themeColor="text1"/>
        </w:rPr>
        <w:t>addressing this sex imbalance is necessary</w:t>
      </w:r>
      <w:r w:rsidR="007023B7" w:rsidRPr="00CA4ABC">
        <w:rPr>
          <w:rFonts w:cstheme="minorHAnsi"/>
          <w:color w:val="000000" w:themeColor="text1"/>
        </w:rPr>
        <w:t xml:space="preserve">. This is </w:t>
      </w:r>
      <w:r w:rsidR="005A193B" w:rsidRPr="00CA4ABC">
        <w:rPr>
          <w:rFonts w:cstheme="minorHAnsi"/>
          <w:color w:val="000000" w:themeColor="text1"/>
        </w:rPr>
        <w:t>particularly important</w:t>
      </w:r>
      <w:r w:rsidRPr="00CA4ABC">
        <w:rPr>
          <w:rFonts w:cstheme="minorHAnsi"/>
          <w:color w:val="000000" w:themeColor="text1"/>
        </w:rPr>
        <w:t xml:space="preserve"> as men </w:t>
      </w:r>
      <w:r w:rsidR="007023B7" w:rsidRPr="00CA4ABC">
        <w:rPr>
          <w:rFonts w:cstheme="minorHAnsi"/>
          <w:color w:val="000000" w:themeColor="text1"/>
        </w:rPr>
        <w:t>and women are likely to</w:t>
      </w:r>
      <w:r w:rsidRPr="00CA4ABC">
        <w:rPr>
          <w:rFonts w:cstheme="minorHAnsi"/>
          <w:color w:val="000000" w:themeColor="text1"/>
        </w:rPr>
        <w:t xml:space="preserve"> react differently to anabolic stimuli</w:t>
      </w:r>
      <w:r w:rsidR="007023B7" w:rsidRPr="00CA4ABC">
        <w:rPr>
          <w:rFonts w:cstheme="minorHAnsi"/>
          <w:color w:val="000000" w:themeColor="text1"/>
        </w:rPr>
        <w:t xml:space="preserve"> </w:t>
      </w:r>
      <w:r w:rsidR="007023B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{"citationItems":[{"id":"ITEM-1","itemData":{"DOI":"10.1097/MCO.0B013E3283412343","ISSN":"13631950","PMID":"21088570","abstract":"Purpose of review: To provide an objective and comprehensive review of the recent literature addressing the effects of sex on protein metabolism. We also evaluate whether these differences can be attributed to physiology or methodology. Because of the developmental changes in hormonal milieu and body composition that occur across life, the literature has been examined in a longitudinal manner across the lifespan. Recent findings: Throughout most points of life, men and women of similar health status and BMI display fairly similar protein turnover rates. However, some investigators have reported sexual dimorphism in protein metabolism, which may be partly attributable to differences in fat-free mass and/or methodology. In periods of significant changes in the hormonal milieu (puberty and menopause), sex differences may become more evident. Finally, anabolic stimuli such as feeding and exercise may help highlight any discrepancies in protein turnover between men and women. Summary: Sex differences in protein metabolism, if any, are most evident during the main phases of hormonal changes, and may be also due to differences in body composition. However, methodological issues and sample size must be considered when designing and evaluating these studies. © 2010 Wolters Kluwer Health | Lippincott Williams &amp; Wilkins.","author":[{"dropping-particle":"","family":"Markofski","given":"Melissa M.","non-dropping-particle":"","parse-names":false,"suffix":""},{"dropping-particle":"","family":"Volpi","given":"Elena","non-dropping-particle":"","parse-names":false,"suffix":""}],"container-title":"Current opinion in clinical nutrition and metabolic care","id":"ITEM-1","issue":"1","issued":{"date-parts":[["2011","1"]]},"page":"93","publisher":"NIH Public Access","title":"Protein metabolism in women and men: similarities and disparities","type":"article-journal","volume":"14"},"uris":["http://www.mendeley.com/documents/?uuid=54f8b3c7-22ce-37dc-97a1-b6f1d4c9190a"]},{"id":"ITEM-2","itemData":{"DOI":"10.1519/JSC.0000000000003521","ISSN":"1533-4287","PMID":"32218059","abstract":"Roberts, BM, Nuckols, G, and Krieger, JW. Sex differences in resistance training: A systematic review and meta-analysis. J Strength Cond Res 34(5): 1448-1460, 2020-The purpose of this study was to determine whether there are different responses to resistance training for strength or hypertrophy in young to middle-aged males and females using the same resistance training protocol. The protocol was pre-registered with PROSPERO (CRD42018094276). Meta-analyses were performed using robust variance random effects modeling for multilevel data structures, with adjustments for small samples using package robumeta in R. Statistical significance was set at P &lt; 0.05. The analysis of hypertrophy comprised 12 outcomes from 10 studies with no significant difference between males and females (effect size [ES] = 0.07 ± 0.06; P = 0.31; I = 0). The analysis of upper-body strength comprised 19 outcomes from 17 studies with a significant effect favoring females (ES = -0.60 ± 0.16; P = 0.002; I = 72.1). The analysis of lower-body strength comprised 23 outcomes from 23 studies with no significant difference between sexes (ES = -0.21 ± 0.16; P = 0.20; I = 74.7). We found that males and females adapted to resistance training with similar effect sizes for hypertrophy and lower-body strength, but females had a larger effect for relative upper-body strength. Given the moderate effect size favoring females in the upper-body strength analysis, it is possible that untrained females display a higher capacity to increase upper-body strength than males. Further research is required to clarify why this difference occurs only in the upper body and whether the differences are due to neural, muscular, motor learning, or are an artifact of the short duration of studies included.","author":[{"dropping-particle":"","family":"Roberts","given":"Brandon M.","non-dropping-particle":"","parse-names":false,"suffix":""},{"dropping-particle":"","family":"Nuckols","given":"Greg","non-dropping-particle":"","parse-names":false,"suffix":""},{"dropping-particle":"","family":"Krieger","given":"James W.","non-dropping-particle":"","parse-names":false,"suffix":""}],"container-title":"Journal of strength and conditioning research","id":"ITEM-2","issue":"5","issued":{"date-parts":[["2020","5","1"]]},"page":"1448-1460","publisher":"J Strength Cond Res","title":"Sex Differences in Resistance Training: A Systematic Review and Meta-Analysis","type":"article-journal","volume":"34"},"uris":["http://www.mendeley.com/documents/?uuid=8490de0b-80a4-3c11-9d3a-352320bac46c"]}],"mendeley":{"formattedCitation":"(352,353)","plainTextFormattedCitation":"(352,353)","previouslyFormattedCitation":"(351,352)"},"properties":{"noteIndex":0},"schema":"https://github.com/citation-style-language/schema/raw/master/csl-citation.json"}</w:instrText>
      </w:r>
      <w:r w:rsidR="007023B7" w:rsidRPr="00CA4ABC">
        <w:rPr>
          <w:rFonts w:cstheme="minorHAnsi"/>
          <w:color w:val="000000" w:themeColor="text1"/>
        </w:rPr>
        <w:fldChar w:fldCharType="separate"/>
      </w:r>
      <w:r w:rsidR="00821D82" w:rsidRPr="00821D82">
        <w:rPr>
          <w:rFonts w:cstheme="minorHAnsi"/>
          <w:noProof/>
          <w:color w:val="000000" w:themeColor="text1"/>
        </w:rPr>
        <w:t>(352,353)</w:t>
      </w:r>
      <w:r w:rsidR="007023B7" w:rsidRPr="00CA4ABC">
        <w:rPr>
          <w:rFonts w:cstheme="minorHAnsi"/>
          <w:color w:val="000000" w:themeColor="text1"/>
        </w:rPr>
        <w:fldChar w:fldCharType="end"/>
      </w:r>
      <w:r w:rsidRPr="00CA4ABC">
        <w:rPr>
          <w:rFonts w:cstheme="minorHAnsi"/>
          <w:color w:val="000000" w:themeColor="text1"/>
        </w:rPr>
        <w:t xml:space="preserve"> and thus the </w:t>
      </w:r>
      <w:r w:rsidR="00255262" w:rsidRPr="00CA4ABC">
        <w:rPr>
          <w:rFonts w:cstheme="minorHAnsi"/>
          <w:color w:val="000000" w:themeColor="text1"/>
        </w:rPr>
        <w:t xml:space="preserve">intervention </w:t>
      </w:r>
      <w:r w:rsidRPr="00CA4ABC">
        <w:rPr>
          <w:rFonts w:cstheme="minorHAnsi"/>
          <w:color w:val="000000" w:themeColor="text1"/>
        </w:rPr>
        <w:t xml:space="preserve">protocols.  </w:t>
      </w:r>
      <w:r w:rsidRPr="00CA4ABC">
        <w:rPr>
          <w:rFonts w:cstheme="minorHAnsi"/>
          <w:color w:val="000000" w:themeColor="text1"/>
          <w:highlight w:val="green"/>
        </w:rPr>
        <w:t xml:space="preserve"> </w:t>
      </w:r>
    </w:p>
    <w:p w14:paraId="6B484353" w14:textId="77777777" w:rsidR="00310C71" w:rsidRPr="00CA4ABC" w:rsidRDefault="00310C71" w:rsidP="00310C71">
      <w:pPr>
        <w:spacing w:line="360" w:lineRule="auto"/>
        <w:rPr>
          <w:rFonts w:cstheme="minorHAnsi"/>
          <w:color w:val="000000" w:themeColor="text1"/>
        </w:rPr>
      </w:pPr>
    </w:p>
    <w:p w14:paraId="4E4BA6C3" w14:textId="7DC06F99"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One area not addressed in the </w:t>
      </w:r>
      <w:r w:rsidR="00255262" w:rsidRPr="00CA4ABC">
        <w:rPr>
          <w:rFonts w:cstheme="minorHAnsi"/>
          <w:color w:val="000000" w:themeColor="text1"/>
        </w:rPr>
        <w:t xml:space="preserve">outlined </w:t>
      </w:r>
      <w:r w:rsidRPr="00CA4ABC">
        <w:rPr>
          <w:rFonts w:cstheme="minorHAnsi"/>
          <w:color w:val="000000" w:themeColor="text1"/>
        </w:rPr>
        <w:t xml:space="preserve">study protocol is digital accessibility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ofcom.org.uk/about-ofcom/latest/media/media-releases/2021/digital-divide-narrowed-but-around-1.5m-homes-offline","accessed":{"date-parts":[["2022","12","16"]]},"id":"ITEM-1","issued":{"date-parts":[["0"]]},"title":"Digital divide narrowed by pandemic, but around 1.5m homes remain offline - Ofcom","type":"webpage"},"uris":["http://www.mendeley.com/documents/?uuid=3a3d4162-f851-39d0-a975-9a46a4dac165"]}],"mendeley":{"formattedCitation":"(354)","plainTextFormattedCitation":"(354)","previouslyFormattedCitation":"(353)"},"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(354)</w:t>
      </w:r>
      <w:r w:rsidRPr="00CA4ABC">
        <w:rPr>
          <w:rFonts w:cstheme="minorHAnsi"/>
          <w:color w:val="000000" w:themeColor="text1"/>
        </w:rPr>
        <w:fldChar w:fldCharType="end"/>
      </w:r>
      <w:r w:rsidRPr="00CA4ABC">
        <w:rPr>
          <w:rFonts w:cstheme="minorHAnsi"/>
          <w:color w:val="000000" w:themeColor="text1"/>
        </w:rPr>
        <w:t>.  Seeking ways to provide the necessary resources, where relevant, to help ensure the research is inclusive and promotes equal opportunities is important</w:t>
      </w:r>
      <w:r w:rsidR="007023B7" w:rsidRPr="00CA4ABC">
        <w:rPr>
          <w:rFonts w:cstheme="minorHAnsi"/>
          <w:color w:val="000000" w:themeColor="text1"/>
        </w:rPr>
        <w:t xml:space="preserve"> </w:t>
      </w:r>
      <w:r w:rsidR="007023B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{"citationItems":[{"id":"ITEM-1","itemData":{"DOI":"10.1016/S2352-3026(21)00210-6","ISSN":"23523026","PMID":"34329569","author":[{"dropping-particle":"","family":"The Lancet Haematology","given":"","non-dropping-particle":"","parse-names":false,"suffix":""}],"container-title":"The Lancet Haematology","id":"ITEM-1","issue":"8","issued":{"date-parts":[["2021","8","1"]]},"page":"e535","publisher":"Elsevier Ltd","title":"Equal opportunities for clinical trial participation","type":"article-journal","volume":"8"},"uris":["http://www.mendeley.com/documents/?uuid=b5a91bab-7379-3bb5-8ff8-ff851cf64aa3"]}],"mendeley":{"formattedCitation":"(355)","plainTextFormattedCitation":"(355)","previouslyFormattedCitation":"(354)"},"properties":{"noteIndex":0},"schema":"https://github.com/citation-style-language/schema/raw/master/csl-citation.json"}</w:instrText>
      </w:r>
      <w:r w:rsidR="007023B7" w:rsidRPr="00CA4ABC">
        <w:rPr>
          <w:rFonts w:cstheme="minorHAnsi"/>
          <w:color w:val="000000" w:themeColor="text1"/>
        </w:rPr>
        <w:fldChar w:fldCharType="separate"/>
      </w:r>
      <w:r w:rsidR="00821D82" w:rsidRPr="00821D82">
        <w:rPr>
          <w:rFonts w:cstheme="minorHAnsi"/>
          <w:noProof/>
          <w:color w:val="000000" w:themeColor="text1"/>
        </w:rPr>
        <w:t>(355)</w:t>
      </w:r>
      <w:r w:rsidR="007023B7" w:rsidRPr="00CA4ABC">
        <w:rPr>
          <w:rFonts w:cstheme="minorHAnsi"/>
          <w:color w:val="000000" w:themeColor="text1"/>
        </w:rPr>
        <w:fldChar w:fldCharType="end"/>
      </w:r>
      <w:r w:rsidRPr="00CA4ABC">
        <w:rPr>
          <w:rFonts w:cstheme="minorHAnsi"/>
          <w:color w:val="000000" w:themeColor="text1"/>
        </w:rPr>
        <w:t xml:space="preserve"> but potentially difficult to navigate</w:t>
      </w:r>
      <w:r w:rsidR="007023B7" w:rsidRPr="00CA4ABC">
        <w:rPr>
          <w:rFonts w:cstheme="minorHAnsi"/>
          <w:color w:val="000000" w:themeColor="text1"/>
        </w:rPr>
        <w:t xml:space="preserve">. </w:t>
      </w:r>
      <w:r w:rsidRPr="00CA4ABC">
        <w:rPr>
          <w:rFonts w:cstheme="minorHAnsi"/>
          <w:color w:val="000000" w:themeColor="text1"/>
        </w:rPr>
        <w:t>It may be possible to loan or provide a laptop and internet USB stick device to participants, but the logistics of this and associated costs of hardware purchasing and computer training need further consideration. Conducting internet research in hard</w:t>
      </w:r>
      <w:r w:rsidR="005A193B" w:rsidRPr="00CA4ABC">
        <w:rPr>
          <w:rFonts w:cstheme="minorHAnsi"/>
          <w:color w:val="000000" w:themeColor="text1"/>
        </w:rPr>
        <w:t>-</w:t>
      </w:r>
      <w:r w:rsidRPr="00CA4ABC">
        <w:rPr>
          <w:rFonts w:cstheme="minorHAnsi"/>
          <w:color w:val="000000" w:themeColor="text1"/>
        </w:rPr>
        <w:t>to</w:t>
      </w:r>
      <w:r w:rsidR="005A193B" w:rsidRPr="00CA4ABC">
        <w:rPr>
          <w:rFonts w:cstheme="minorHAnsi"/>
          <w:color w:val="000000" w:themeColor="text1"/>
        </w:rPr>
        <w:t>-</w:t>
      </w:r>
      <w:r w:rsidRPr="00CA4ABC">
        <w:rPr>
          <w:rFonts w:cstheme="minorHAnsi"/>
          <w:color w:val="000000" w:themeColor="text1"/>
        </w:rPr>
        <w:t>reach communities needs</w:t>
      </w:r>
      <w:r w:rsidR="005A193B" w:rsidRPr="00CA4ABC">
        <w:rPr>
          <w:rFonts w:cstheme="minorHAnsi"/>
          <w:color w:val="000000" w:themeColor="text1"/>
        </w:rPr>
        <w:t xml:space="preserve"> to be </w:t>
      </w:r>
      <w:r w:rsidRPr="00CA4ABC">
        <w:rPr>
          <w:rFonts w:cstheme="minorHAnsi"/>
          <w:color w:val="000000" w:themeColor="text1"/>
        </w:rPr>
        <w:t>conside</w:t>
      </w:r>
      <w:r w:rsidR="005A193B" w:rsidRPr="00CA4ABC">
        <w:rPr>
          <w:rFonts w:cstheme="minorHAnsi"/>
          <w:color w:val="000000" w:themeColor="text1"/>
        </w:rPr>
        <w:t>red</w:t>
      </w:r>
      <w:r w:rsidR="007023B7" w:rsidRPr="00CA4ABC">
        <w:rPr>
          <w:rFonts w:cstheme="minorHAnsi"/>
          <w:color w:val="000000" w:themeColor="text1"/>
        </w:rPr>
        <w:t xml:space="preserve"> </w:t>
      </w:r>
      <w:r w:rsidR="007023B7"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{"citationItems":[{"id":"ITEM-1","itemData":{"DOI":"10.1177/1468794120904898","ISSN":"17413109","PMID":"33281502","abstract":"This article contributes to scholarship on digital sociology by addressing the methodological challenge of gaining access to hard-to-reach online communities. We use assemblage theory to argue how collaborative efforts of human participants, digital technologies, techniques, authorities, cultural codes and the human researcher co-determine aspects of gaining access to online subjects. In particular, we analyse how credibility and reflexivity are assembled in an online research context. This is exemplified by our own experiences of researching hackers that dispute surveillance and the social embeddedness of darknet drug market users. In this article, we demonstrate the utility of an assemblage perspective for understanding the complexities involved in negotiating access to hard-to-reach communities in digital spaces.","author":[{"dropping-particle":"","family":"Kaufmann","given":"Mareile","non-dropping-particle":"","parse-names":false,"suffix":""},{"dropping-particle":"","family":"Tzanetakis","given":"Meropi","non-dropping-particle":"","parse-names":false,"suffix":""}],"container-title":"Qualitative Research","id":"ITEM-1","issue":"6","issued":{"date-parts":[["2020","12","1"]]},"page":"927","publisher":"SAGE Publications","title":"Doing Internet research with hard-to-reach communities: methodological reflections on gaining meaningful access","type":"article-journal","volume":"20"},"uris":["http://www.mendeley.com/documents/?uuid=ae80846a-d8f1-3ad7-a5ac-70fa643011c7"]}],"mendeley":{"formattedCitation":"(356)","plainTextFormattedCitation":"(356)","previouslyFormattedCitation":"(355)"},"properties":{"noteIndex":0},"schema":"https://github.com/citation-style-language/schema/raw/master/csl-citation.json"}</w:instrText>
      </w:r>
      <w:r w:rsidR="007023B7" w:rsidRPr="00CA4ABC">
        <w:rPr>
          <w:rFonts w:cstheme="minorHAnsi"/>
          <w:color w:val="000000" w:themeColor="text1"/>
        </w:rPr>
        <w:fldChar w:fldCharType="separate"/>
      </w:r>
      <w:r w:rsidR="00821D82" w:rsidRPr="00821D82">
        <w:rPr>
          <w:rFonts w:cstheme="minorHAnsi"/>
          <w:noProof/>
          <w:color w:val="000000" w:themeColor="text1"/>
        </w:rPr>
        <w:t>(356)</w:t>
      </w:r>
      <w:r w:rsidR="007023B7" w:rsidRPr="00CA4ABC">
        <w:rPr>
          <w:rFonts w:cstheme="minorHAnsi"/>
          <w:color w:val="000000" w:themeColor="text1"/>
        </w:rPr>
        <w:fldChar w:fldCharType="end"/>
      </w:r>
      <w:r w:rsidR="007023B7" w:rsidRPr="00CA4ABC">
        <w:rPr>
          <w:rFonts w:cstheme="minorHAnsi"/>
          <w:color w:val="000000" w:themeColor="text1"/>
        </w:rPr>
        <w:t>.</w:t>
      </w:r>
      <w:r w:rsidRPr="00CA4ABC">
        <w:rPr>
          <w:rFonts w:cstheme="minorHAnsi"/>
          <w:color w:val="000000" w:themeColor="text1"/>
        </w:rPr>
        <w:t xml:space="preserve"> </w:t>
      </w:r>
    </w:p>
    <w:p w14:paraId="474957FD" w14:textId="77777777" w:rsidR="00310C71" w:rsidRPr="00CA4ABC" w:rsidRDefault="00310C71" w:rsidP="00310C71">
      <w:pPr>
        <w:spacing w:line="360" w:lineRule="auto"/>
        <w:rPr>
          <w:rFonts w:cstheme="minorHAnsi"/>
          <w:color w:val="000000" w:themeColor="text1"/>
          <w:highlight w:val="green"/>
        </w:rPr>
      </w:pPr>
    </w:p>
    <w:p w14:paraId="63C153E2" w14:textId="2679ABF4" w:rsidR="00310C71" w:rsidRPr="00CA4ABC" w:rsidRDefault="00310C71" w:rsidP="00310C71">
      <w:pPr>
        <w:tabs>
          <w:tab w:val="left" w:pos="2623"/>
        </w:tabs>
        <w:spacing w:line="360" w:lineRule="auto"/>
        <w:rPr>
          <w:rFonts w:cstheme="minorHAnsi"/>
          <w:color w:val="000000" w:themeColor="text1"/>
        </w:rPr>
      </w:pPr>
      <w:r w:rsidRPr="00CA4ABC">
        <w:rPr>
          <w:rFonts w:cstheme="minorHAnsi"/>
          <w:color w:val="000000" w:themeColor="text1"/>
        </w:rPr>
        <w:t xml:space="preserve">Participant numbers for the cross-sectional analysis fell short of power calculations, this has the limitations of adequate power not being achieved. More thought should be incorporated into future recruitment strategies to prevent this </w:t>
      </w:r>
      <w:r w:rsidR="005A193B" w:rsidRPr="00CA4ABC">
        <w:rPr>
          <w:rFonts w:cstheme="minorHAnsi"/>
          <w:color w:val="000000" w:themeColor="text1"/>
        </w:rPr>
        <w:t xml:space="preserve">from </w:t>
      </w:r>
      <w:r w:rsidRPr="00CA4ABC">
        <w:rPr>
          <w:rFonts w:cstheme="minorHAnsi"/>
          <w:color w:val="000000" w:themeColor="text1"/>
        </w:rPr>
        <w:t xml:space="preserve">occurring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{"citationItems":[{"id":"ITEM-1","itemData":{"DOI":"10.5681/HPP.2011.009","ISSN":"2228-6497","PMID":"24688904","abstract":"BACKGROUND 'Hard-to-reach' is a term used to describe those sub-groups of the population that may be difficult to reach or involve in research or public health programmes. Application of a single term to call these sub-sections of populations implies a homogeneity within distinct groups, which does not necessarily exist. Different sampling techniques were introduced so far to recruit hard-to-reach populations. In this article, we have reviewed a range of ap-proaches that have been used to widen participation in studies. METHODS We performed a Pubmed and Google search for relevant English language articles using the keywords and phrases: (hard-to-reach AND population* OR sampl*), (hidden AND population* OR sample*) and (\"hard to reach\" AND population* OR sample*) and a consul-tation of the retrieved articles' bibliographies to extract empirical evidence from publications that discussed or examined the use of sampling techniques to recruit hidden or hard-to-reach populations in health studies. RESULTS Reviewing the literature has identified a range of techniques to recruit hard-to-reach populations, including snowball sampling, respondent-driven sampling (RDS), indigenous field worker sampling (IFWS), facility-based sampling (FBS), targeted sampling (TS), time-location (space) sampling (TLS), conventional cluster sampling (CCS) and capture re-capture sampling (CR). CONCLUSION The degree of compliance with a study by a certain 'hard-to-reach' group de-pends on the characteristics of that group, recruitment technique used and the subject of inter-est. Irrespective of potential advantages or limitations of the recruitment techniques reviewed, their successful use depends mainly upon our knowledge about specific characteristics of the target populations. Thus in line with attempts to expand the current boundaries of our know-ledge about recruitment techniques in health studies and their applications in varying situa-tions, we should also focus on possibly all contributing factors which may have an impact on participation rate within a defined population group.","author":[{"dropping-particle":"","family":"Shaghaghi","given":"Abdolreza","non-dropping-particle":"","parse-names":false,"suffix":""},{"dropping-particle":"","family":"Bhopal","given":"Raj S","non-dropping-particle":"","parse-names":false,"suffix":""},{"dropping-particle":"","family":"Sheikh","given":"Aziz","non-dropping-particle":"","parse-names":false,"suffix":""}],"container-title":"Health Promotion Perspectives","id":"ITEM-1","issue":"2","issued":{"date-parts":[["2011"]]},"page":"86","publisher":"Tabriz University of Medical Sciences","title":"Approaches to Recruiting ‘Hard-To-Reach’ Populations into Re­search: A Review of the Literature","type":"article-journal","volume":"1"},"uris":["http://www.mendeley.com/documents/?uuid=3070ff47-62b0-313c-bb05-7258974f54f6"]}],"mendeley":{"formattedCitation":"(357)","plainTextFormattedCitation":"(357)","previouslyFormattedCitation":"(356)"},"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(357)</w:t>
      </w:r>
      <w:r w:rsidRPr="00CA4ABC">
        <w:rPr>
          <w:rFonts w:cstheme="minorHAnsi"/>
          <w:color w:val="000000" w:themeColor="text1"/>
        </w:rPr>
        <w:fldChar w:fldCharType="end"/>
      </w:r>
      <w:r w:rsidRPr="00CA4ABC">
        <w:rPr>
          <w:rFonts w:cstheme="minorHAnsi"/>
          <w:color w:val="000000" w:themeColor="text1"/>
        </w:rPr>
        <w:t xml:space="preserve">. Multiple networks and approaches should be harnessed to achieve a wide reach for trial advertisement. Moreover, older adults should also be targeted so </w:t>
      </w:r>
      <w:r w:rsidR="00CA4ABC" w:rsidRPr="00CA4ABC">
        <w:rPr>
          <w:rFonts w:cstheme="minorHAnsi"/>
          <w:color w:val="000000" w:themeColor="text1"/>
        </w:rPr>
        <w:t xml:space="preserve">that </w:t>
      </w:r>
      <w:r w:rsidRPr="00CA4ABC">
        <w:rPr>
          <w:rFonts w:cstheme="minorHAnsi"/>
          <w:color w:val="000000" w:themeColor="text1"/>
        </w:rPr>
        <w:t>a reflective sample of the population is recruited.</w:t>
      </w:r>
    </w:p>
    <w:p w14:paraId="0ABBF02D" w14:textId="77777777" w:rsidR="00310C71" w:rsidRPr="00CA4ABC" w:rsidRDefault="00310C71" w:rsidP="00310C71">
      <w:pPr>
        <w:spacing w:line="360" w:lineRule="auto"/>
        <w:rPr>
          <w:rFonts w:cstheme="minorHAnsi"/>
          <w:color w:val="000000" w:themeColor="text1"/>
        </w:rPr>
      </w:pPr>
    </w:p>
    <w:p w14:paraId="66F9B77A" w14:textId="16777C66"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The research has diverged from the original theme of ageing, but we proposed that ageing is a lifelong process and prevention is valuable in this space. Despite that, the real factors we are trying to mitigate would be experienced many years down the line, </w:t>
      </w:r>
      <w:r w:rsidR="001062E5">
        <w:rPr>
          <w:rFonts w:cstheme="minorHAnsi"/>
          <w:color w:val="000000" w:themeColor="text1"/>
        </w:rPr>
        <w:t>when</w:t>
      </w:r>
      <w:r w:rsidRPr="00CA4ABC">
        <w:rPr>
          <w:rFonts w:cstheme="minorHAnsi"/>
          <w:color w:val="000000" w:themeColor="text1"/>
        </w:rPr>
        <w:t xml:space="preserve"> muscle loss associated with ageing has its effects. This would include falls, hospitalisation and independence losses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{"citationItems":[{"id":"ITEM-1","itemData":{"DOI":"10.1002/jcsm.12160","ISSN":"21906009","abstract":"Background: The loss of skeletal muscle mass (MM) or muscle function (MF) alone increases the risk for losing physical independence in older adults. We aimed to examine the independent and synergic associations of low MM and low MF, both criteria of sarcopenia, with the risk for losing projected physical independence in later life (+90 years old). Methods: Cross-sectional analyses were conducted in 3493 non-institutionalized older adults (1166 males). Physical independence was assessed with a 12-item composite physical function scale. Logistic regression was used to estimate the odds-ratio (OR) for being at risk for losing physical independence. Results: Approximately 30% of the participants were at risk for losing physical independence at 90 years of age. Independent analysis demonstrated that participants with low MM had 1.65 (95%CI: 1.27–2.31) increased odds for being at risk for losing physical independence and participants with low MF had 6.19 (95%CI 5.08–7.53) increased odds for being at risk. Jointly, having a low MM and a low MF increased the risk for losing physical independence to 12.28 (95%CI 7.95 to 18.96). Conclusions: Although low MM represents a risk factor for losing physical independence, low MF seems to play a more dominant role in this relationship, with the presence of both sarcopenia criteria representing a substantial risk for losing physical independence in later life.","author":[{"dropping-particle":"","family":"Santos","given":"Leandro","non-dropping-particle":"dos","parse-names":false,"suffix":""},{"dropping-particle":"","family":"Cyrino","given":"Edilson S.","non-dropping-particle":"","parse-names":false,"suffix":""},{"dropping-particle":"","family":"Antunes","given":"Melissa","non-dropping-particle":"","parse-names":false,"suffix":""},{"dropping-particle":"","family":"Santos","given":"Diana A.","non-dropping-particle":"","parse-names":false,"suffix":""},{"dropping-particle":"","family":"Sardinha","given":"Luís B.","non-dropping-particle":"","parse-names":false,"suffix":""}],"container-title":"Journal of Cachexia, Sarcopenia and Muscle","id":"ITEM-1","issue":"2","issued":{"date-parts":[["2017","4","1"]]},"page":"245-250","publisher":"Wiley Blackwell","title":"Sarcopenia and physical independence in older adults: the independent and synergic role of muscle mass and muscle function","type":"article-journal","volume":"8"},"uris":["http://www.mendeley.com/documents/?uuid=6f52e5f4-fc13-38a7-a575-222c6ba22f5c"]}],"mendeley":{"formattedCitation":"(12)","plainTextFormattedCitation":"(12)","previouslyFormattedCitation":"(12)"},"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(12)</w:t>
      </w:r>
      <w:r w:rsidRPr="00CA4ABC">
        <w:rPr>
          <w:rFonts w:cstheme="minorHAnsi"/>
          <w:color w:val="000000" w:themeColor="text1"/>
        </w:rPr>
        <w:fldChar w:fldCharType="end"/>
      </w:r>
      <w:r w:rsidRPr="00CA4ABC">
        <w:rPr>
          <w:rFonts w:cstheme="minorHAnsi"/>
          <w:color w:val="000000" w:themeColor="text1"/>
        </w:rPr>
        <w:t xml:space="preserve">. Therefore, it </w:t>
      </w:r>
      <w:r w:rsidR="00CA4ABC" w:rsidRPr="00CA4ABC">
        <w:rPr>
          <w:rFonts w:cstheme="minorHAnsi"/>
          <w:color w:val="000000" w:themeColor="text1"/>
        </w:rPr>
        <w:t>is is difficult</w:t>
      </w:r>
      <w:r w:rsidRPr="00CA4ABC">
        <w:rPr>
          <w:rFonts w:cstheme="minorHAnsi"/>
          <w:color w:val="000000" w:themeColor="text1"/>
        </w:rPr>
        <w:t>, without conducting longitudinal research in a large cohort of participants, to truly understand the impact of the work. Phillips et al</w:t>
      </w:r>
      <w:r w:rsidR="00255262" w:rsidRPr="00CA4ABC">
        <w:rPr>
          <w:rFonts w:cstheme="minorHAnsi"/>
          <w:color w:val="000000" w:themeColor="text1"/>
        </w:rPr>
        <w:t>.</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{"citationItems":[{"id":"ITEM-1","itemData":{"DOI":"10.1139/H07-129","ISSN":"17155312","PMID":"18059595","abstract":"Progressive resistance training promotes strength gains in both the young and the aged. Importantly, gains in strength in aged persons are, with the appropriate duration, intensity, and progression...","author":[{"dropping-particle":"","family":"Phillips","given":"Stuart M.","non-dropping-particle":"","parse-names":false,"suffix":""}],"container-title":"https://doi.org/10.1139/H07-129","id":"ITEM-1","issue":"6","issued":{"date-parts":[["2007","12"]]},"page":"1198-1205","title":"Resistance exercise: good for more than just Grandma and Grandpa’s muscles","type":"article-journal","volume":"32"},"uris":["http://www.mendeley.com/documents/?uuid=930a974b-d502-30e3-a558-27810e554c97"]}],"mendeley":{"formattedCitation":"(358)","plainTextFormattedCitation":"(358)","previouslyFormattedCitation":"(357)"},"properties":{"noteIndex":0},"schema":"https://github.com/citation-style-language/schema/raw/master/csl-citation.json"}</w:instrText>
      </w:r>
      <w:r w:rsidRPr="00CA4ABC">
        <w:rPr>
          <w:rFonts w:cstheme="minorHAnsi"/>
          <w:color w:val="000000" w:themeColor="text1"/>
        </w:rPr>
        <w:fldChar w:fldCharType="separate"/>
      </w:r>
      <w:r w:rsidR="00821D82" w:rsidRPr="00821D82">
        <w:rPr>
          <w:rFonts w:cstheme="minorHAnsi"/>
          <w:noProof/>
          <w:color w:val="000000" w:themeColor="text1"/>
        </w:rPr>
        <w:t>(358)</w:t>
      </w:r>
      <w:r w:rsidRPr="00CA4ABC">
        <w:rPr>
          <w:rFonts w:cstheme="minorHAnsi"/>
          <w:color w:val="000000" w:themeColor="text1"/>
        </w:rPr>
        <w:fldChar w:fldCharType="end"/>
      </w:r>
      <w:r w:rsidRPr="00CA4ABC">
        <w:rPr>
          <w:rFonts w:cstheme="minorHAnsi"/>
          <w:color w:val="000000" w:themeColor="text1"/>
        </w:rPr>
        <w:t>, also concluded, in their review o</w:t>
      </w:r>
      <w:r w:rsidR="005A193B" w:rsidRPr="00CA4ABC">
        <w:rPr>
          <w:rFonts w:cstheme="minorHAnsi"/>
          <w:color w:val="000000" w:themeColor="text1"/>
        </w:rPr>
        <w:t>f</w:t>
      </w:r>
      <w:r w:rsidRPr="00CA4ABC">
        <w:rPr>
          <w:rFonts w:cstheme="minorHAnsi"/>
          <w:color w:val="000000" w:themeColor="text1"/>
        </w:rPr>
        <w:t xml:space="preserve"> the benefits of resistance exercise, </w:t>
      </w:r>
      <w:r w:rsidRPr="00CA4ABC">
        <w:rPr>
          <w:rFonts w:cstheme="minorHAnsi"/>
          <w:color w:val="000000" w:themeColor="text1"/>
        </w:rPr>
        <w:lastRenderedPageBreak/>
        <w:t>that no long-term resistance training study exists to support a conclusive link between resistance training and fall reduction. The cost-effective assessment of this research is</w:t>
      </w:r>
      <w:r w:rsidR="00255262" w:rsidRPr="00CA4ABC">
        <w:rPr>
          <w:rFonts w:cstheme="minorHAnsi"/>
          <w:color w:val="000000" w:themeColor="text1"/>
        </w:rPr>
        <w:t xml:space="preserve"> also</w:t>
      </w:r>
      <w:r w:rsidRPr="00CA4ABC">
        <w:rPr>
          <w:rFonts w:cstheme="minorHAnsi"/>
          <w:color w:val="000000" w:themeColor="text1"/>
        </w:rPr>
        <w:t xml:space="preserve"> difficult to measure and has </w:t>
      </w:r>
      <w:r w:rsidR="00CA4ABC" w:rsidRPr="00CA4ABC">
        <w:rPr>
          <w:rFonts w:cstheme="minorHAnsi"/>
          <w:color w:val="000000" w:themeColor="text1"/>
        </w:rPr>
        <w:t>yet to be</w:t>
      </w:r>
      <w:r w:rsidRPr="00CA4ABC">
        <w:rPr>
          <w:rFonts w:cstheme="minorHAnsi"/>
          <w:color w:val="000000" w:themeColor="text1"/>
        </w:rPr>
        <w:t xml:space="preserve"> conducted, but is of value to acknowledge.  </w:t>
      </w:r>
    </w:p>
    <w:p w14:paraId="1500A7F4" w14:textId="77777777" w:rsidR="00310C71" w:rsidRPr="00CA4ABC" w:rsidRDefault="00310C71" w:rsidP="00310C71">
      <w:pPr>
        <w:spacing w:line="360" w:lineRule="auto"/>
        <w:rPr>
          <w:rFonts w:cstheme="minorHAnsi"/>
          <w:color w:val="000000" w:themeColor="text1"/>
        </w:rPr>
      </w:pPr>
    </w:p>
    <w:p w14:paraId="5537ECF1" w14:textId="1247651E"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414" w:name="_Toc135384427"/>
      <w:r w:rsidRPr="00CA4ABC">
        <w:rPr>
          <w:rFonts w:asciiTheme="minorHAnsi" w:hAnsiTheme="minorHAnsi" w:cstheme="minorHAnsi"/>
          <w:b/>
          <w:bCs/>
          <w:color w:val="000000" w:themeColor="text1"/>
        </w:rPr>
        <w:t xml:space="preserve">7.4 </w:t>
      </w:r>
      <w:r w:rsidRPr="00CA4ABC">
        <w:rPr>
          <w:rFonts w:asciiTheme="minorHAnsi" w:hAnsiTheme="minorHAnsi" w:cstheme="minorHAnsi"/>
          <w:b/>
          <w:bCs/>
          <w:color w:val="000000" w:themeColor="text1"/>
          <w:sz w:val="24"/>
          <w:szCs w:val="24"/>
        </w:rPr>
        <w:t>Next steps and future research</w:t>
      </w:r>
      <w:bookmarkEnd w:id="414"/>
    </w:p>
    <w:p w14:paraId="5D89C752" w14:textId="514075AD"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The protocol set out in chapter 6 is the main next step for progressing this research forward. The impact and implications of further outcomes from this thesis work</w:t>
      </w:r>
      <w:r w:rsidR="00C3441C" w:rsidRPr="00CA4ABC">
        <w:rPr>
          <w:rFonts w:cstheme="minorHAnsi"/>
          <w:color w:val="000000" w:themeColor="text1"/>
        </w:rPr>
        <w:t xml:space="preserve"> will be reflected upon, including taking the findings outside of the research setting</w:t>
      </w:r>
      <w:r w:rsidRPr="00CA4ABC">
        <w:rPr>
          <w:rFonts w:cstheme="minorHAnsi"/>
          <w:color w:val="000000" w:themeColor="text1"/>
        </w:rPr>
        <w:t>.</w:t>
      </w:r>
    </w:p>
    <w:p w14:paraId="09B0729A" w14:textId="77777777" w:rsidR="00310C71" w:rsidRPr="00CA4ABC" w:rsidRDefault="00310C71" w:rsidP="00310C71">
      <w:pPr>
        <w:spacing w:line="360" w:lineRule="auto"/>
        <w:rPr>
          <w:rFonts w:cstheme="minorHAnsi"/>
          <w:color w:val="000000" w:themeColor="text1"/>
        </w:rPr>
      </w:pPr>
    </w:p>
    <w:p w14:paraId="5129414E" w14:textId="6FF4ADFD" w:rsidR="00310C71" w:rsidRPr="00CA4ABC" w:rsidRDefault="00C3441C" w:rsidP="00310C71">
      <w:pPr>
        <w:spacing w:line="360" w:lineRule="auto"/>
        <w:rPr>
          <w:rFonts w:cstheme="minorHAnsi"/>
          <w:color w:val="000000" w:themeColor="text1"/>
          <w:highlight w:val="green"/>
        </w:rPr>
      </w:pPr>
      <w:r w:rsidRPr="00CA4ABC">
        <w:rPr>
          <w:rFonts w:cstheme="minorHAnsi"/>
          <w:color w:val="000000" w:themeColor="text1"/>
        </w:rPr>
        <w:t>One key area to address for the protein screener tool</w:t>
      </w:r>
      <w:r w:rsidR="00310C71" w:rsidRPr="00CA4ABC">
        <w:rPr>
          <w:rFonts w:cstheme="minorHAnsi"/>
          <w:color w:val="000000" w:themeColor="text1"/>
        </w:rPr>
        <w:t xml:space="preserve"> would be further refinement of the ten questions and re-running the necessary validation protocols with a robust dietary comparison technique; optimally urinary nitrogen should be used. It is hypothesised that a question regarding meat intake frequency would need to be incorporated in</w:t>
      </w:r>
      <w:r w:rsidR="005A193B" w:rsidRPr="00CA4ABC">
        <w:rPr>
          <w:rFonts w:cstheme="minorHAnsi"/>
          <w:color w:val="000000" w:themeColor="text1"/>
        </w:rPr>
        <w:t>to</w:t>
      </w:r>
      <w:r w:rsidR="00310C71" w:rsidRPr="00CA4ABC">
        <w:rPr>
          <w:rFonts w:cstheme="minorHAnsi"/>
          <w:color w:val="000000" w:themeColor="text1"/>
        </w:rPr>
        <w:t xml:space="preserve"> the screener design. Thinking beyond the validation steps, when developing screening tools, consideration should also be paid to the responsible communication of the results of the screener to the respondents. This is of particular importance if an individual is presented with the result that they may be deficient in an area of their diet. Communication is often a two-way process involving a sender and receiver </w:t>
      </w:r>
      <w:r w:rsidR="00310C71"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{"citationItems":[{"id":"ITEM-1","itemData":{"DOI":"10.4103/IJMR.IJMR_1772_18","ISSN":"09715916","PMID":"31249198","abstract":"Given the context that undernutrition in India co-exists with the problems of overweight/obesity and associated non-communicable diseases as well as micronutrient deficiencies, integrating nutritional concerns in developmental policies and governance is gaining significance. There are many schemes implemented to tackle malnutrition in India, but creating synergy and linking these schemes with each other to achieve a common goal are lacking. Nutrition communication can be an important component to create the synergy required to change malnourished India to malnutrition-free India. Although nutrition education/communication is recognized as a necessary component in various national nutrition programmes, there is not much evidence of distinct evaluation of these components. Only a minor proportion of community nutrition research has been devoted to nutrition education and communication. Although there are scattered efforts in experimenting with newer communication approaches and media for promoting nutrition, there is a dearth of published literature. In this review an attempt was made to critically examine the nutrition education and communication research and practice with special focus on India. This review provides a historical perspective of evolution of nutrition education and communication with an overview of communication approaches, media, methods and technologies used in various research studies and programmes as well as the lessons learnt.","author":[{"dropping-particle":"","family":"Gavaravarapu","given":"Subba Rao M.","non-dropping-particle":"","parse-names":false,"suffix":""}],"container-title":"The Indian Journal of Medical Research","id":"ITEM-1","issue":"3","issued":{"date-parts":[["2019","3","1"]]},"page":"333","publisher":"Wolters Kluwer -- Medknow Publications","title":"Nutrition communication - Rhetoric &amp; reality","type":"article-journal","volume":"149"},"uris":["http://www.mendeley.com/documents/?uuid=b06e12e7-45dc-30ac-9417-dee4a1069d40"]}],"mendeley":{"formattedCitation":"(359)","plainTextFormattedCitation":"(359)","previouslyFormattedCitation":"(358)"},"properties":{"noteIndex":0},"schema":"https://github.com/citation-style-language/schema/raw/master/csl-citation.json"}</w:instrText>
      </w:r>
      <w:r w:rsidR="00310C71" w:rsidRPr="00CA4ABC">
        <w:rPr>
          <w:rFonts w:cstheme="minorHAnsi"/>
          <w:color w:val="000000" w:themeColor="text1"/>
        </w:rPr>
        <w:fldChar w:fldCharType="separate"/>
      </w:r>
      <w:r w:rsidR="00821D82" w:rsidRPr="00821D82">
        <w:rPr>
          <w:rFonts w:cstheme="minorHAnsi"/>
          <w:noProof/>
          <w:color w:val="000000" w:themeColor="text1"/>
        </w:rPr>
        <w:t>(359)</w:t>
      </w:r>
      <w:r w:rsidR="00310C71" w:rsidRPr="00CA4ABC">
        <w:rPr>
          <w:rFonts w:cstheme="minorHAnsi"/>
          <w:color w:val="000000" w:themeColor="text1"/>
        </w:rPr>
        <w:fldChar w:fldCharType="end"/>
      </w:r>
      <w:r w:rsidR="00310C71" w:rsidRPr="00CA4ABC">
        <w:rPr>
          <w:rFonts w:cstheme="minorHAnsi"/>
          <w:color w:val="000000" w:themeColor="text1"/>
        </w:rPr>
        <w:t xml:space="preserve">, which cannot be achieved with an online tool. If a healthcare professional is not on hand to explain the implication of diet deficiencies and ways to address these, this information could be worrying and confusing. Furthermore, </w:t>
      </w:r>
      <w:r w:rsidR="005A193B" w:rsidRPr="00CA4ABC">
        <w:rPr>
          <w:rFonts w:cstheme="minorHAnsi"/>
          <w:color w:val="000000" w:themeColor="text1"/>
        </w:rPr>
        <w:t xml:space="preserve">the </w:t>
      </w:r>
      <w:r w:rsidR="00310C71" w:rsidRPr="00CA4ABC">
        <w:rPr>
          <w:rFonts w:cstheme="minorHAnsi"/>
          <w:color w:val="000000" w:themeColor="text1"/>
        </w:rPr>
        <w:t>adherence</w:t>
      </w:r>
      <w:r w:rsidR="005A193B" w:rsidRPr="00CA4ABC">
        <w:rPr>
          <w:rFonts w:cstheme="minorHAnsi"/>
          <w:color w:val="000000" w:themeColor="text1"/>
        </w:rPr>
        <w:t xml:space="preserve"> rate</w:t>
      </w:r>
      <w:r w:rsidR="00310C71" w:rsidRPr="00CA4ABC">
        <w:rPr>
          <w:rFonts w:cstheme="minorHAnsi"/>
          <w:color w:val="000000" w:themeColor="text1"/>
        </w:rPr>
        <w:t xml:space="preserve"> to nutrition recommendations may be impacted by who delivers this information to the patient/participant. Respondents to a survey looking at attitudes to protein suggested that they would be more likely to increase their protein intake if they were told to do so by a health professional </w:t>
      </w:r>
      <w:r w:rsidR="00310C71"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{"citationItems":[{"id":"ITEM-1","itemData":{"URL":"https://www.journalijdr.com/knowledge-and-consumption-protein-older-adults-opportunity-improvement","accessed":{"date-parts":[["2022","12","22"]]},"id":"ITEM-1","issued":{"date-parts":[["0"]]},"title":"Knowledge and consumption of protein in older adults: Opportunity for improvement | International Journal of Development Research (IJDR)","type":"webpage"},"uris":["http://www.mendeley.com/documents/?uuid=e155d5c6-3e7a-3038-a7a0-7c6748300ba6"]}],"mendeley":{"formattedCitation":"(360)","manualFormatting":"(299)","plainTextFormattedCitation":"(360)","previouslyFormattedCitation":"(359)"},"properties":{"noteIndex":0},"schema":"https://github.com/citation-style-language/schema/raw/master/csl-citation.json"}</w:instrText>
      </w:r>
      <w:r w:rsidR="00310C71" w:rsidRPr="00CA4ABC">
        <w:rPr>
          <w:rFonts w:cstheme="minorHAnsi"/>
          <w:color w:val="000000" w:themeColor="text1"/>
        </w:rPr>
        <w:fldChar w:fldCharType="separate"/>
      </w:r>
      <w:r w:rsidR="00310C71" w:rsidRPr="00CA4ABC">
        <w:rPr>
          <w:rFonts w:cstheme="minorHAnsi"/>
          <w:noProof/>
          <w:color w:val="000000" w:themeColor="text1"/>
        </w:rPr>
        <w:t>(299)</w:t>
      </w:r>
      <w:r w:rsidR="00310C71" w:rsidRPr="00CA4ABC">
        <w:rPr>
          <w:rFonts w:cstheme="minorHAnsi"/>
          <w:color w:val="000000" w:themeColor="text1"/>
        </w:rPr>
        <w:fldChar w:fldCharType="end"/>
      </w:r>
      <w:r w:rsidR="00310C71" w:rsidRPr="00CA4ABC">
        <w:rPr>
          <w:rFonts w:cstheme="minorHAnsi"/>
          <w:color w:val="000000" w:themeColor="text1"/>
        </w:rPr>
        <w:t xml:space="preserve">. </w:t>
      </w:r>
      <w:r w:rsidR="005A193B" w:rsidRPr="00CA4ABC">
        <w:rPr>
          <w:rFonts w:cstheme="minorHAnsi"/>
          <w:color w:val="000000"/>
          <w:shd w:val="clear" w:color="auto" w:fill="FFFFFF"/>
        </w:rPr>
        <w:t>This also aligns with the feasibility study research, in which participants stated they would consider taking the supplements if prescribed for health. In the UK, the NHS offers a health check to adults between the ages of 40-74.</w:t>
      </w:r>
      <w:r w:rsidR="00310C71" w:rsidRPr="00CA4ABC">
        <w:rPr>
          <w:rFonts w:cstheme="minorHAnsi"/>
          <w:color w:val="000000" w:themeColor="text1"/>
        </w:rPr>
        <w:t>It has been suggested that healthcare professionals are a reliable source to offer dietary advice</w:t>
      </w:r>
      <w:r w:rsidR="006E0256" w:rsidRPr="00CA4ABC">
        <w:rPr>
          <w:rFonts w:cstheme="minorHAnsi"/>
          <w:color w:val="000000" w:themeColor="text1"/>
        </w:rPr>
        <w:t>; many</w:t>
      </w:r>
      <w:r w:rsidR="00310C71" w:rsidRPr="00CA4ABC">
        <w:rPr>
          <w:rFonts w:cstheme="minorHAnsi"/>
          <w:color w:val="000000" w:themeColor="text1"/>
        </w:rPr>
        <w:t xml:space="preserve"> would listen to recommendations when provided by a HCP (</w:t>
      </w:r>
      <w:r w:rsidR="00FE1636" w:rsidRPr="00CA4ABC">
        <w:rPr>
          <w:rFonts w:cstheme="minorHAnsi"/>
          <w:color w:val="000000" w:themeColor="text1"/>
        </w:rPr>
        <w:t>286</w:t>
      </w:r>
      <w:r w:rsidR="00310C71" w:rsidRPr="00CA4ABC">
        <w:rPr>
          <w:rFonts w:cstheme="minorHAnsi"/>
          <w:color w:val="000000" w:themeColor="text1"/>
        </w:rPr>
        <w:t>). This could be an opportunity to conduct protein screening, if an appropriate and quick tool is developed</w:t>
      </w:r>
      <w:r w:rsidR="006E0256" w:rsidRPr="00CA4ABC">
        <w:rPr>
          <w:rFonts w:cstheme="minorHAnsi"/>
          <w:color w:val="000000" w:themeColor="text1"/>
        </w:rPr>
        <w:t>, and</w:t>
      </w:r>
      <w:r w:rsidR="00310C71" w:rsidRPr="00CA4ABC">
        <w:rPr>
          <w:rFonts w:cstheme="minorHAnsi"/>
          <w:color w:val="000000" w:themeColor="text1"/>
        </w:rPr>
        <w:t xml:space="preserve"> provid</w:t>
      </w:r>
      <w:r w:rsidR="006E0256" w:rsidRPr="00CA4ABC">
        <w:rPr>
          <w:rFonts w:cstheme="minorHAnsi"/>
          <w:color w:val="000000" w:themeColor="text1"/>
        </w:rPr>
        <w:t>e</w:t>
      </w:r>
      <w:r w:rsidR="00310C71" w:rsidRPr="00CA4ABC">
        <w:rPr>
          <w:rFonts w:cstheme="minorHAnsi"/>
          <w:color w:val="000000" w:themeColor="text1"/>
        </w:rPr>
        <w:t xml:space="preserve"> individuals with health and dietary information to minimise muscle losses associated with ageing</w:t>
      </w:r>
      <w:r w:rsidR="006E0256" w:rsidRPr="00CA4ABC">
        <w:rPr>
          <w:rFonts w:cstheme="minorHAnsi"/>
          <w:color w:val="000000" w:themeColor="text1"/>
        </w:rPr>
        <w:t>, especially if protein deficiency is predicted</w:t>
      </w:r>
      <w:r w:rsidR="00310C71" w:rsidRPr="00CA4ABC">
        <w:rPr>
          <w:rFonts w:cstheme="minorHAnsi"/>
          <w:color w:val="000000" w:themeColor="text1"/>
        </w:rPr>
        <w:t xml:space="preserve">. </w:t>
      </w:r>
      <w:r w:rsidR="00310C71" w:rsidRPr="00CA4ABC">
        <w:rPr>
          <w:rFonts w:cstheme="minorHAnsi"/>
          <w:color w:val="000000" w:themeColor="text1"/>
        </w:rPr>
        <w:lastRenderedPageBreak/>
        <w:t xml:space="preserve">The age group to whom health checks are offered also correlates with prevention strategies. </w:t>
      </w:r>
      <w:r w:rsidR="005A193B" w:rsidRPr="00CA4ABC">
        <w:rPr>
          <w:rFonts w:cstheme="minorHAnsi"/>
          <w:color w:val="000000"/>
          <w:shd w:val="clear" w:color="auto" w:fill="FFFFFF"/>
        </w:rPr>
        <w:t xml:space="preserve">However, understanding who utilises this health check opportunity may be necessary to ensure </w:t>
      </w:r>
      <w:r w:rsidR="00CA4ABC" w:rsidRPr="00CA4ABC">
        <w:rPr>
          <w:rFonts w:cstheme="minorHAnsi"/>
          <w:color w:val="000000"/>
          <w:shd w:val="clear" w:color="auto" w:fill="FFFFFF"/>
        </w:rPr>
        <w:t xml:space="preserve">that </w:t>
      </w:r>
      <w:r w:rsidR="005A193B" w:rsidRPr="00CA4ABC">
        <w:rPr>
          <w:rFonts w:cstheme="minorHAnsi"/>
          <w:color w:val="000000"/>
          <w:shd w:val="clear" w:color="auto" w:fill="FFFFFF"/>
        </w:rPr>
        <w:t>important demographics are not missed.</w:t>
      </w:r>
      <w:r w:rsidR="00310C71" w:rsidRPr="00CA4ABC">
        <w:rPr>
          <w:rFonts w:cstheme="minorHAnsi"/>
          <w:color w:val="000000" w:themeColor="text1"/>
        </w:rPr>
        <w:t xml:space="preserve"> It may also be responsible to check back in, following advice delivery, because if the nutrition responsibility is still placed on an </w:t>
      </w:r>
      <w:r w:rsidR="007023B7" w:rsidRPr="00CA4ABC">
        <w:rPr>
          <w:rFonts w:cstheme="minorHAnsi"/>
          <w:color w:val="000000" w:themeColor="text1"/>
        </w:rPr>
        <w:t>individual</w:t>
      </w:r>
      <w:r w:rsidR="00310C71" w:rsidRPr="00CA4ABC">
        <w:rPr>
          <w:rFonts w:cstheme="minorHAnsi"/>
          <w:color w:val="000000" w:themeColor="text1"/>
        </w:rPr>
        <w:t xml:space="preserve">, other factors </w:t>
      </w:r>
      <w:r w:rsidR="005A193B" w:rsidRPr="00CA4ABC">
        <w:rPr>
          <w:rFonts w:cstheme="minorHAnsi"/>
          <w:color w:val="000000" w:themeColor="text1"/>
        </w:rPr>
        <w:t>influencing</w:t>
      </w:r>
      <w:r w:rsidR="00310C71" w:rsidRPr="00CA4ABC">
        <w:rPr>
          <w:rFonts w:cstheme="minorHAnsi"/>
          <w:color w:val="000000" w:themeColor="text1"/>
        </w:rPr>
        <w:t xml:space="preserve"> the behaviour such as societal considerations are ignored </w:t>
      </w:r>
      <w:r w:rsidR="00310C71"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{"citationItems":[{"id":"ITEM-1","itemData":{"DOI":"10.1177/0973258613517436/ASSET/IMAGES/LARGE/10.1177_0973258613517436-FIG1.JPEG","ISSN":"09732586","abstract":"With co-existence of under-nutrition and obesity among its people, malnutrition afflicts India like a double-edged sword. The search for solutions has often pointed at 'Nutrition Communication' as a tool in alleviating malnutrition. This study, through three case studies in India, attempts to critically examine how various organizations engaged in nutrition communication perceive, develop and implement communicative processes. These case studies typically combined data collection methods like information gathering and interviews. We realize nutrition communication programmes are top-down, expert-driven and are often denied planning, evaluation or budgets. We argue that factors such as the organization's knowledge of the nutrition problem(s), perceptions of the key communicators, their motivation levels and personal biases also affect the design and implementation of nutrition communication programmes. © 2014 Mudra Institute of Communications.","author":[{"dropping-particle":"","family":"Gavaravarapu","given":"Subba Rao M.","non-dropping-particle":"","parse-names":false,"suffix":""},{"dropping-particle":"","family":"Pavarala","given":"Vinod","non-dropping-particle":"","parse-names":false,"suffix":""}],"container-title":"Journal of Creative Communications","id":"ITEM-1","issue":"1","issued":{"date-parts":[["2014","3","13"]]},"page":"23-48","publisher":"SAGE PublicationsSage India: New Delhi, India","title":"Communicating Nutrition in Community Settings: Case Studies in Critical Examination of Institutional Approaches in India","type":"article-journal","volume":"9"},"uris":["http://www.mendeley.com/documents/?uuid=489a1016-0aff-3a97-9e7e-b8ce93f358fa"]}],"mendeley":{"formattedCitation":"(361)","manualFormatting":"(353)","plainTextFormattedCitation":"(361)","previouslyFormattedCitation":"(360)"},"properties":{"noteIndex":0},"schema":"https://github.com/citation-style-language/schema/raw/master/csl-citation.json"}</w:instrText>
      </w:r>
      <w:r w:rsidR="00310C71" w:rsidRPr="00CA4ABC">
        <w:rPr>
          <w:rFonts w:cstheme="minorHAnsi"/>
          <w:color w:val="000000" w:themeColor="text1"/>
        </w:rPr>
        <w:fldChar w:fldCharType="separate"/>
      </w:r>
      <w:r w:rsidR="00D647F3" w:rsidRPr="00CA4ABC">
        <w:rPr>
          <w:rFonts w:cstheme="minorHAnsi"/>
          <w:noProof/>
          <w:color w:val="000000" w:themeColor="text1"/>
        </w:rPr>
        <w:t>(35</w:t>
      </w:r>
      <w:r w:rsidR="00D41FD5" w:rsidRPr="00CA4ABC">
        <w:rPr>
          <w:rFonts w:cstheme="minorHAnsi"/>
          <w:noProof/>
          <w:color w:val="000000" w:themeColor="text1"/>
        </w:rPr>
        <w:t>3</w:t>
      </w:r>
      <w:r w:rsidR="00D647F3" w:rsidRPr="00CA4ABC">
        <w:rPr>
          <w:rFonts w:cstheme="minorHAnsi"/>
          <w:noProof/>
          <w:color w:val="000000" w:themeColor="text1"/>
        </w:rPr>
        <w:t>)</w:t>
      </w:r>
      <w:r w:rsidR="00310C71" w:rsidRPr="00CA4ABC">
        <w:rPr>
          <w:rFonts w:cstheme="minorHAnsi"/>
          <w:color w:val="000000" w:themeColor="text1"/>
        </w:rPr>
        <w:fldChar w:fldCharType="end"/>
      </w:r>
      <w:r w:rsidR="00310C71" w:rsidRPr="00CA4ABC">
        <w:rPr>
          <w:rFonts w:cstheme="minorHAnsi"/>
          <w:color w:val="000000" w:themeColor="text1"/>
        </w:rPr>
        <w:t xml:space="preserve">. </w:t>
      </w:r>
      <w:r w:rsidR="0046442B" w:rsidRPr="00CA4ABC">
        <w:rPr>
          <w:rFonts w:cstheme="minorHAnsi"/>
          <w:color w:val="000000"/>
          <w:shd w:val="clear" w:color="auto" w:fill="FFFFFF"/>
        </w:rPr>
        <w:t xml:space="preserve">If the protein screener is used for research purposes, it </w:t>
      </w:r>
      <w:r w:rsidR="006E0256" w:rsidRPr="00CA4ABC">
        <w:rPr>
          <w:rFonts w:cstheme="minorHAnsi"/>
          <w:color w:val="000000"/>
          <w:shd w:val="clear" w:color="auto" w:fill="FFFFFF"/>
        </w:rPr>
        <w:t>may fall upon the</w:t>
      </w:r>
      <w:r w:rsidR="0046442B" w:rsidRPr="00CA4ABC">
        <w:rPr>
          <w:rFonts w:cstheme="minorHAnsi"/>
          <w:color w:val="000000"/>
          <w:shd w:val="clear" w:color="auto" w:fill="FFFFFF"/>
        </w:rPr>
        <w:t xml:space="preserve"> researcher </w:t>
      </w:r>
      <w:r w:rsidR="006E0256" w:rsidRPr="00CA4ABC">
        <w:rPr>
          <w:rFonts w:cstheme="minorHAnsi"/>
          <w:color w:val="000000"/>
          <w:shd w:val="clear" w:color="auto" w:fill="FFFFFF"/>
        </w:rPr>
        <w:t xml:space="preserve">to </w:t>
      </w:r>
      <w:r w:rsidR="0046442B" w:rsidRPr="00CA4ABC">
        <w:rPr>
          <w:rFonts w:cstheme="minorHAnsi"/>
          <w:color w:val="000000"/>
          <w:shd w:val="clear" w:color="auto" w:fill="FFFFFF"/>
        </w:rPr>
        <w:t>communicate the screener's results</w:t>
      </w:r>
      <w:r w:rsidR="006E0256" w:rsidRPr="00CA4ABC">
        <w:rPr>
          <w:rFonts w:cstheme="minorHAnsi"/>
          <w:color w:val="000000"/>
          <w:shd w:val="clear" w:color="auto" w:fill="FFFFFF"/>
        </w:rPr>
        <w:t xml:space="preserve"> and they should have the appropriate credentials to do so</w:t>
      </w:r>
      <w:r w:rsidR="0046442B" w:rsidRPr="00CA4ABC">
        <w:rPr>
          <w:rFonts w:cstheme="minorHAnsi"/>
          <w:color w:val="000000"/>
          <w:shd w:val="clear" w:color="auto" w:fill="FFFFFF"/>
        </w:rPr>
        <w:t xml:space="preserve">. </w:t>
      </w:r>
      <w:r w:rsidR="00310C71" w:rsidRPr="00CA4ABC">
        <w:rPr>
          <w:rFonts w:cstheme="minorHAnsi"/>
          <w:color w:val="000000" w:themeColor="text1"/>
        </w:rPr>
        <w:t>This could also provide an opportunity to deliver some education to the participants</w:t>
      </w:r>
      <w:r w:rsidR="006E0256" w:rsidRPr="00CA4ABC">
        <w:rPr>
          <w:rFonts w:cstheme="minorHAnsi"/>
          <w:color w:val="000000" w:themeColor="text1"/>
        </w:rPr>
        <w:t>.</w:t>
      </w:r>
      <w:r w:rsidR="00310C71" w:rsidRPr="00CA4ABC">
        <w:rPr>
          <w:rFonts w:cstheme="minorHAnsi"/>
          <w:color w:val="000000" w:themeColor="text1"/>
        </w:rPr>
        <w:t xml:space="preserve"> </w:t>
      </w:r>
      <w:r w:rsidR="006E0256" w:rsidRPr="00CA4ABC">
        <w:rPr>
          <w:rFonts w:cstheme="minorHAnsi"/>
          <w:color w:val="000000" w:themeColor="text1"/>
        </w:rPr>
        <w:t>Ho</w:t>
      </w:r>
      <w:r w:rsidR="00310C71" w:rsidRPr="00CA4ABC">
        <w:rPr>
          <w:rFonts w:cstheme="minorHAnsi"/>
          <w:color w:val="000000" w:themeColor="text1"/>
        </w:rPr>
        <w:t>wever</w:t>
      </w:r>
      <w:r w:rsidR="006E0256" w:rsidRPr="00CA4ABC">
        <w:rPr>
          <w:rFonts w:cstheme="minorHAnsi"/>
          <w:color w:val="000000" w:themeColor="text1"/>
        </w:rPr>
        <w:t>,</w:t>
      </w:r>
      <w:r w:rsidR="00310C71" w:rsidRPr="00CA4ABC">
        <w:rPr>
          <w:rFonts w:cstheme="minorHAnsi"/>
          <w:color w:val="000000" w:themeColor="text1"/>
        </w:rPr>
        <w:t xml:space="preserve"> limiting the amount of information provided to participants </w:t>
      </w:r>
      <w:r w:rsidR="0046442B" w:rsidRPr="00CA4ABC">
        <w:rPr>
          <w:rFonts w:cstheme="minorHAnsi"/>
          <w:color w:val="000000" w:themeColor="text1"/>
        </w:rPr>
        <w:t>before</w:t>
      </w:r>
      <w:r w:rsidR="00310C71" w:rsidRPr="00CA4ABC">
        <w:rPr>
          <w:rFonts w:cstheme="minorHAnsi"/>
          <w:color w:val="000000" w:themeColor="text1"/>
        </w:rPr>
        <w:t xml:space="preserve"> their engagement in an intervention trial is necessary to minimise changes in </w:t>
      </w:r>
      <w:r w:rsidR="0046442B" w:rsidRPr="00CA4ABC">
        <w:rPr>
          <w:rFonts w:cstheme="minorHAnsi"/>
          <w:color w:val="000000" w:themeColor="text1"/>
        </w:rPr>
        <w:t xml:space="preserve">the </w:t>
      </w:r>
      <w:r w:rsidR="00310C71" w:rsidRPr="00CA4ABC">
        <w:rPr>
          <w:rFonts w:cstheme="minorHAnsi"/>
          <w:color w:val="000000" w:themeColor="text1"/>
        </w:rPr>
        <w:t xml:space="preserve">participant’s behaviours outside of the research </w:t>
      </w:r>
      <w:r w:rsidR="006E0256" w:rsidRPr="00CA4ABC">
        <w:rPr>
          <w:rFonts w:cstheme="minorHAnsi"/>
          <w:color w:val="000000" w:themeColor="text1"/>
        </w:rPr>
        <w:t>and allow the</w:t>
      </w:r>
      <w:r w:rsidR="00310C71" w:rsidRPr="00CA4ABC">
        <w:rPr>
          <w:rFonts w:cstheme="minorHAnsi"/>
          <w:color w:val="000000" w:themeColor="text1"/>
        </w:rPr>
        <w:t xml:space="preserve"> impact of the intervention </w:t>
      </w:r>
      <w:r w:rsidR="006E0256" w:rsidRPr="00CA4ABC">
        <w:rPr>
          <w:rFonts w:cstheme="minorHAnsi"/>
          <w:color w:val="000000" w:themeColor="text1"/>
        </w:rPr>
        <w:t>to</w:t>
      </w:r>
      <w:r w:rsidR="00310C71" w:rsidRPr="00CA4ABC">
        <w:rPr>
          <w:rFonts w:cstheme="minorHAnsi"/>
          <w:color w:val="000000" w:themeColor="text1"/>
        </w:rPr>
        <w:t xml:space="preserve"> be explored. Information could instead be provided post-intervention, at any follow-up consultations.</w:t>
      </w:r>
    </w:p>
    <w:p w14:paraId="36BB327D" w14:textId="77777777" w:rsidR="00310C71" w:rsidRPr="00CA4ABC" w:rsidRDefault="00310C71" w:rsidP="00310C71">
      <w:pPr>
        <w:spacing w:line="360" w:lineRule="auto"/>
        <w:rPr>
          <w:rFonts w:cstheme="minorHAnsi"/>
          <w:color w:val="000000" w:themeColor="text1"/>
        </w:rPr>
      </w:pPr>
    </w:p>
    <w:p w14:paraId="468CC77E" w14:textId="26403B09"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The protein knowledge work was </w:t>
      </w:r>
      <w:r w:rsidR="0046442B" w:rsidRPr="00CA4ABC">
        <w:rPr>
          <w:rFonts w:cstheme="minorHAnsi"/>
          <w:color w:val="000000" w:themeColor="text1"/>
        </w:rPr>
        <w:t>done</w:t>
      </w:r>
      <w:r w:rsidRPr="00CA4ABC">
        <w:rPr>
          <w:rFonts w:cstheme="minorHAnsi"/>
          <w:color w:val="000000" w:themeColor="text1"/>
        </w:rPr>
        <w:t xml:space="preserve"> using an unvalidated tool (chapter 4.) This was necessary because currently no such tool is available and thus identifies a niche in the literature. A protein knowledge tool would be advantageous because it would help gain information around protein understanding and attitudes.  We suggest that the tool we used asked informative questions to gain cohort information surrounding knowledge and attitudes </w:t>
      </w:r>
      <w:r w:rsidR="0046442B" w:rsidRPr="00CA4ABC">
        <w:rPr>
          <w:rFonts w:cstheme="minorHAnsi"/>
          <w:color w:val="000000" w:themeColor="text1"/>
        </w:rPr>
        <w:t>concerning</w:t>
      </w:r>
      <w:r w:rsidRPr="00CA4ABC">
        <w:rPr>
          <w:rFonts w:cstheme="minorHAnsi"/>
          <w:color w:val="000000" w:themeColor="text1"/>
        </w:rPr>
        <w:t xml:space="preserve"> protein, however</w:t>
      </w:r>
      <w:r w:rsidR="0046442B" w:rsidRPr="00CA4ABC">
        <w:rPr>
          <w:rFonts w:cstheme="minorHAnsi"/>
          <w:color w:val="000000" w:themeColor="text1"/>
        </w:rPr>
        <w:t>,</w:t>
      </w:r>
      <w:r w:rsidRPr="00CA4ABC">
        <w:rPr>
          <w:rFonts w:cstheme="minorHAnsi"/>
          <w:color w:val="000000" w:themeColor="text1"/>
        </w:rPr>
        <w:t xml:space="preserve"> more work should be done to create a better scoring system for this questionnaire so that each question has an even weighting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{"citationItems":[{"id":"ITEM-1","itemData":{"DOI":"10.1017/S1368980017001471","ISSN":"1475-2727","PMID":"28735598","abstract":"Objective To outline key statistical considerations and detailed methodologies for the development and evaluation of a valid and reliable nutrition knowledge questionnaire. Design Literature on questionnaire development in a range of fields was reviewed and a set of evidence-based guidelines specific to the creation of a nutrition knowledge questionnaire have been developed. The recommendations describe key qualitative methods and statistical considerations, and include relevant examples from previous papers and existing nutrition knowledge questionnaires. Where details have been omitted for the sake of brevity, the reader has been directed to suitable references. Results We recommend an eight-step methodology for nutrition knowledge questionnaire development as follows: (i) definition of the construct and development of a test plan; (ii) generation of the item pool; (iii) choice of the scoring system and response format; (iv) assessment of content validity; (v) assessment of face validity; (vi) purification of the scale using item analysis, including item characteristics, difficulty and discrimination; (vii) evaluation of the scale including its factor structure and internal reliability, or Rasch analysis, including assessment of dimensionality and internal reliability; and (viii) gathering of data to re-examine the questionnaire's properties, assess temporal stability and confirm construct validity. Several of these methods have previously been overlooked. Conclusions The measurement of nutrition knowledge is an important consideration for individuals working in the nutrition field. Improved methods in the development of nutrition knowledge questionnaires, such as the use of factor analysis or Rasch analysis, will enable more confidence in reported measures of nutrition knowledge.","author":[{"dropping-particle":"","family":"Trakman","given":"Gina Louise","non-dropping-particle":"","parse-names":false,"suffix":""},{"dropping-particle":"","family":"Forsyth","given":"Adrienne","non-dropping-particle":"","parse-names":false,"suffix":""},{"dropping-particle":"","family":"Hoye","given":"Russell","non-dropping-particle":"","parse-names":false,"suffix":""},{"dropping-particle":"","family":"Belski","given":"Regina","non-dropping-particle":"","parse-names":false,"suffix":""}],"container-title":"Public health nutrition","id":"ITEM-1","issue":"15","issued":{"date-parts":[["2017","10","1"]]},"page":"2670-2679","publisher":"Public Health Nutr","title":"Developing and validating a nutrition knowledge questionnaire: key methods and considerations","type":"article-journal","volume":"20"},"uris":["http://www.mendeley.com/documents/?uuid=01daebae-ef74-3601-b0c6-9970515c4a57"]}],"mendeley":{"formattedCitation":"(362)","manualFormatting":"(336)","plainTextFormattedCitation":"(362)","previouslyFormattedCitation":"(361)"},"properties":{"noteIndex":0},"schema":"https://github.com/citation-style-language/schema/raw/master/csl-citation.json"}</w:instrText>
      </w:r>
      <w:r w:rsidRPr="00CA4ABC">
        <w:rPr>
          <w:rFonts w:cstheme="minorHAnsi"/>
          <w:color w:val="000000" w:themeColor="text1"/>
        </w:rPr>
        <w:fldChar w:fldCharType="separate"/>
      </w:r>
      <w:r w:rsidRPr="00CA4ABC">
        <w:rPr>
          <w:rFonts w:cstheme="minorHAnsi"/>
          <w:noProof/>
          <w:color w:val="000000" w:themeColor="text1"/>
        </w:rPr>
        <w:t>(336)</w:t>
      </w:r>
      <w:r w:rsidRPr="00CA4ABC">
        <w:rPr>
          <w:rFonts w:cstheme="minorHAnsi"/>
          <w:color w:val="000000" w:themeColor="text1"/>
        </w:rPr>
        <w:fldChar w:fldCharType="end"/>
      </w:r>
      <w:r w:rsidRPr="00CA4ABC">
        <w:rPr>
          <w:rFonts w:cstheme="minorHAnsi"/>
          <w:color w:val="000000" w:themeColor="text1"/>
        </w:rPr>
        <w:t>. Reviewing this, alongside looking at other questionnaires previously used in the literature, such as the one used by Visser et al</w:t>
      </w:r>
      <w:r w:rsidR="006E0256" w:rsidRPr="00CA4ABC">
        <w:rPr>
          <w:rFonts w:cstheme="minorHAnsi"/>
          <w:color w:val="000000" w:themeColor="text1"/>
        </w:rPr>
        <w:t>.</w:t>
      </w:r>
      <w:r w:rsidR="007023B7" w:rsidRPr="00CA4ABC">
        <w:rPr>
          <w:rFonts w:cstheme="minorHAnsi"/>
          <w:color w:val="000000" w:themeColor="text1"/>
        </w:rPr>
        <w:t xml:space="preserve">, 2021 </w:t>
      </w:r>
      <w:r w:rsidR="007023B7"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{"citationItems":[{"id":"ITEM-1","itemData":{"DOI":"10.3390/NU13031006","ISSN":"20726643","PMID":"33804787","abstract":"The aim was to investigate the protein knowledge of community-dwelling older adults. A survey was conducted among 1825 adults aged ≥65 years and living in Finland, Netherlands, Poland, Spain and United Kingdom in 2017. Protein knowledge was measured with nine objective knowledge statements provided only to participants who indicated to know what the nutrient \"protein\" is (64.7% of sample). Demographic, socioeconomic and health determinants of poor protein knowledge were investigated using multiple logistic regression analyses. The sample was 49.6% female and 87.0% reported no walking difficulties. Participants scored best on the true statement \"You need protein in the diet for repairing bones and muscles\" (89.3% correct), and worst on the false statement \"One meal per day with a good protein source is sufficient\" (25.4% correct). Median knowledge score was 5.0 (scale 0–9) and poor knowledge was present in 49.4% of the sample. Males (Odds Ratio 1.57), those unable to walk for 5 min (2.66), not always making their own food decision (1.36) and having lower income (1.44) were more likely to have poor knowledge. Large differences were observed across countries. In conclusion, poor protein knowledge is present in about half of community-dwelling older adults. Communication strategies should be tailored to target the identified risk groups with poor knowledge.","author":[{"dropping-particle":"","family":"Visser","given":"Marjolein","non-dropping-particle":"","parse-names":false,"suffix":""},{"dropping-particle":"","family":"Hung","given":"Yung","non-dropping-particle":"","parse-names":false,"suffix":""},{"dropping-particle":"","family":"Verbeke","given":"Wim","non-dropping-particle":"","parse-names":false,"suffix":""}],"container-title":"Nutrients","id":"ITEM-1","issue":"3","issued":{"date-parts":[["2021","3","1"]]},"page":"1-11","publisher":"MDPI AG","title":"Protein knowledge of older adults and identification of subgroups with poor knowledge","type":"article-journal","volume":"13"},"uris":["http://www.mendeley.com/documents/?uuid=ef9c0050-76b5-3ff8-aa6a-b5cbaa060221"]}],"mendeley":{"formattedCitation":"(197)","plainTextFormattedCitation":"(197)","previouslyFormattedCitation":"(197)"},"properties":{"noteIndex":0},"schema":"https://github.com/citation-style-language/schema/raw/master/csl-citation.json"}</w:instrText>
      </w:r>
      <w:r w:rsidR="007023B7" w:rsidRPr="00CA4ABC">
        <w:rPr>
          <w:rFonts w:cstheme="minorHAnsi"/>
          <w:color w:val="000000" w:themeColor="text1"/>
        </w:rPr>
        <w:fldChar w:fldCharType="separate"/>
      </w:r>
      <w:r w:rsidR="00057AE3" w:rsidRPr="00057AE3">
        <w:rPr>
          <w:rFonts w:cstheme="minorHAnsi"/>
          <w:noProof/>
          <w:color w:val="000000" w:themeColor="text1"/>
        </w:rPr>
        <w:t>(197)</w:t>
      </w:r>
      <w:r w:rsidR="007023B7" w:rsidRPr="00CA4ABC">
        <w:rPr>
          <w:rFonts w:cstheme="minorHAnsi"/>
          <w:color w:val="000000" w:themeColor="text1"/>
        </w:rPr>
        <w:fldChar w:fldCharType="end"/>
      </w:r>
      <w:r w:rsidRPr="00CA4ABC">
        <w:rPr>
          <w:rFonts w:cstheme="minorHAnsi"/>
          <w:color w:val="000000" w:themeColor="text1"/>
        </w:rPr>
        <w:t xml:space="preserve">, and making sure it is population appropriate before it is validated would be worthwhile in the future. </w:t>
      </w:r>
    </w:p>
    <w:p w14:paraId="21CDFDB3" w14:textId="77777777" w:rsidR="00310C71" w:rsidRPr="00CA4ABC" w:rsidRDefault="00310C71" w:rsidP="00310C71">
      <w:pPr>
        <w:spacing w:line="360" w:lineRule="auto"/>
        <w:rPr>
          <w:rFonts w:cstheme="minorHAnsi"/>
          <w:color w:val="000000" w:themeColor="text1"/>
          <w:highlight w:val="yellow"/>
        </w:rPr>
      </w:pPr>
    </w:p>
    <w:p w14:paraId="768A7618" w14:textId="002763FF" w:rsidR="00310C71" w:rsidRPr="00CA4ABC" w:rsidRDefault="00310C71" w:rsidP="00310C71">
      <w:pPr>
        <w:spacing w:line="360" w:lineRule="auto"/>
        <w:rPr>
          <w:rFonts w:cstheme="minorHAnsi"/>
          <w:color w:val="000000" w:themeColor="text1"/>
        </w:rPr>
      </w:pPr>
      <w:r w:rsidRPr="00CA4ABC">
        <w:rPr>
          <w:rFonts w:cstheme="minorHAnsi"/>
          <w:color w:val="000000" w:themeColor="text1"/>
        </w:rPr>
        <w:t xml:space="preserve">Chapter </w:t>
      </w:r>
      <w:r w:rsidR="007023B7" w:rsidRPr="00CA4ABC">
        <w:rPr>
          <w:rFonts w:cstheme="minorHAnsi"/>
          <w:color w:val="000000" w:themeColor="text1"/>
        </w:rPr>
        <w:t>5</w:t>
      </w:r>
      <w:r w:rsidR="000C1405" w:rsidRPr="00CA4ABC">
        <w:rPr>
          <w:rFonts w:cstheme="minorHAnsi"/>
          <w:color w:val="000000" w:themeColor="text1"/>
        </w:rPr>
        <w:t>, theme 2,</w:t>
      </w:r>
      <w:r w:rsidRPr="00CA4ABC">
        <w:rPr>
          <w:rFonts w:cstheme="minorHAnsi"/>
          <w:color w:val="000000" w:themeColor="text1"/>
        </w:rPr>
        <w:t xml:space="preserve"> discussed how the feasibility trial promoted psychological well</w:t>
      </w:r>
      <w:r w:rsidR="0046442B" w:rsidRPr="00CA4ABC">
        <w:rPr>
          <w:rFonts w:cstheme="minorHAnsi"/>
          <w:color w:val="000000" w:themeColor="text1"/>
        </w:rPr>
        <w:t>-</w:t>
      </w:r>
      <w:r w:rsidRPr="00CA4ABC">
        <w:rPr>
          <w:rFonts w:cstheme="minorHAnsi"/>
          <w:color w:val="000000" w:themeColor="text1"/>
        </w:rPr>
        <w:t xml:space="preserve">being, which is an important finding. If the intervention not only optimises physical health but also mental health, that is valuable. Exploring ways </w:t>
      </w:r>
      <w:r w:rsidR="00CA4ABC" w:rsidRPr="00CA4ABC">
        <w:rPr>
          <w:rFonts w:cstheme="minorHAnsi"/>
          <w:color w:val="000000" w:themeColor="text1"/>
        </w:rPr>
        <w:t>to maximise this further</w:t>
      </w:r>
      <w:r w:rsidRPr="00CA4ABC">
        <w:rPr>
          <w:rFonts w:cstheme="minorHAnsi"/>
          <w:color w:val="000000" w:themeColor="text1"/>
        </w:rPr>
        <w:t xml:space="preserve"> could be via incorporat</w:t>
      </w:r>
      <w:r w:rsidR="0046442B" w:rsidRPr="00CA4ABC">
        <w:rPr>
          <w:rFonts w:cstheme="minorHAnsi"/>
          <w:color w:val="000000" w:themeColor="text1"/>
        </w:rPr>
        <w:t>ing</w:t>
      </w:r>
      <w:r w:rsidRPr="00CA4ABC">
        <w:rPr>
          <w:rFonts w:cstheme="minorHAnsi"/>
          <w:color w:val="000000" w:themeColor="text1"/>
        </w:rPr>
        <w:t xml:space="preserve"> a group dynamics component for the live workout classes. Evidence </w:t>
      </w:r>
      <w:r w:rsidR="0046442B" w:rsidRPr="00CA4ABC">
        <w:rPr>
          <w:rFonts w:cstheme="minorHAnsi"/>
          <w:color w:val="000000" w:themeColor="text1"/>
        </w:rPr>
        <w:t>supports</w:t>
      </w:r>
      <w:r w:rsidRPr="00CA4ABC">
        <w:rPr>
          <w:rFonts w:cstheme="minorHAnsi"/>
          <w:color w:val="000000" w:themeColor="text1"/>
        </w:rPr>
        <w:t xml:space="preserve"> the link between social interactions and increased </w:t>
      </w:r>
      <w:r w:rsidR="0046442B" w:rsidRPr="00CA4ABC">
        <w:rPr>
          <w:rFonts w:cstheme="minorHAnsi"/>
          <w:color w:val="000000" w:themeColor="text1"/>
        </w:rPr>
        <w:t>well-being</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{"citationItems":[{"id":"ITEM-1","itemData":{"DOI":"10.1037/PSPP0000272","ISSN":"00223514","PMID":"31647273","abstract":"Social relationships are often touted as critical for well-being. However, the vast majority of studies on social relationships have relied on self-report measures of both social interactions and well-being, which makes it difficult to disentangle true associations from shared method variance. To address this gap, we assessed the quantity and quality of social interactions using both self-report and observer-based measures in everyday life. Participants (N = 256; 3,206 observations) wore the Electronically Activated Recorder (EAR), an unobtrusive audio recorder, and completed experience sampling method self-reports of their momentary social interactions, happiness, and feelings of social connectedness, 4 times each day for 1 week. Observers rated the quantity and quality of participants’ social interactions based on the EAR recordings from the same time points. Quantity of social interactions was robustly associated with greater well-being in the moment and on average, whether they were measured with self-reports or observer reports. Conversational (conversational depth and self-disclosure) and relational (knowing and liking one's interaction partners) aspects of social interaction quality were also generally associated with greater well-being, but the effects were larger and more consistent for self-reported (vs. observer-reported) quality variables, within-person (vs. between-person) associations, and for predicting social connectedness (vs. happiness). Finally, although most associations were similar for introverts and extraverts, our exploratory results suggest that introverts may experience greater boosts in social connectedness, relative to extraverts, when engaging in deeper conversations. This study provides compelling multimethod evidence supporting the link between more frequent and deeper social interactions and well-being. (PsycInfo Database Record (c) 2021 APA, all rights reserved)","author":[{"dropping-particle":"","family":"Sun","given":"Jessie","non-dropping-particle":"","parse-names":false,"suffix":""},{"dropping-particle":"","family":"Harris","given":"Kelci","non-dropping-particle":"","parse-names":false,"suffix":""},{"dropping-particle":"","family":"Vazire","given":"Simine","non-dropping-particle":"","parse-names":false,"suffix":""}],"container-title":"Journal of Personality and Social Psychology","id":"ITEM-1","issue":"6","issued":{"date-parts":[["2020","12","1"]]},"page":"1478-1496","publisher":"American Psychological Association","title":"Is well-being associated with the quantity and quality of social interactions?","type":"article-journal","volume":"119"},"uris":["http://www.mendeley.com/documents/?uuid=cfac63bd-92ac-32e3-a811-d9255e4729ab"]}],"mendeley":{"formattedCitation":"(363)","manualFormatting":"(354)","plainTextFormattedCitation":"(363)","previouslyFormattedCitation":"(362)"},"properties":{"noteIndex":0},"schema":"https://github.com/citation-style-language/schema/raw/master/csl-citation.json"}</w:instrText>
      </w:r>
      <w:r w:rsidRPr="00CA4ABC">
        <w:rPr>
          <w:rFonts w:cstheme="minorHAnsi"/>
          <w:color w:val="000000" w:themeColor="text1"/>
        </w:rPr>
        <w:fldChar w:fldCharType="separate"/>
      </w:r>
      <w:r w:rsidR="00D647F3" w:rsidRPr="00CA4ABC">
        <w:rPr>
          <w:rFonts w:cstheme="minorHAnsi"/>
          <w:noProof/>
          <w:color w:val="000000" w:themeColor="text1"/>
        </w:rPr>
        <w:t>(35</w:t>
      </w:r>
      <w:r w:rsidR="00946254" w:rsidRPr="00CA4ABC">
        <w:rPr>
          <w:rFonts w:cstheme="minorHAnsi"/>
          <w:noProof/>
          <w:color w:val="000000" w:themeColor="text1"/>
        </w:rPr>
        <w:t>4</w:t>
      </w:r>
      <w:r w:rsidR="00D647F3" w:rsidRPr="00CA4ABC">
        <w:rPr>
          <w:rFonts w:cstheme="minorHAnsi"/>
          <w:noProof/>
          <w:color w:val="000000" w:themeColor="text1"/>
        </w:rPr>
        <w:t>)</w:t>
      </w:r>
      <w:r w:rsidRPr="00CA4ABC">
        <w:rPr>
          <w:rFonts w:cstheme="minorHAnsi"/>
          <w:color w:val="000000" w:themeColor="text1"/>
        </w:rPr>
        <w:fldChar w:fldCharType="end"/>
      </w:r>
      <w:r w:rsidRPr="00CA4ABC">
        <w:rPr>
          <w:rFonts w:cstheme="minorHAnsi"/>
          <w:color w:val="000000" w:themeColor="text1"/>
        </w:rPr>
        <w:t xml:space="preserve">. Moreover, in the semi-structured interviews, some of the participants </w:t>
      </w:r>
      <w:r w:rsidR="0046442B" w:rsidRPr="00CA4ABC">
        <w:rPr>
          <w:rFonts w:cstheme="minorHAnsi"/>
          <w:color w:val="000000" w:themeColor="text1"/>
        </w:rPr>
        <w:t>said</w:t>
      </w:r>
      <w:r w:rsidRPr="00CA4ABC">
        <w:rPr>
          <w:rFonts w:cstheme="minorHAnsi"/>
          <w:color w:val="000000" w:themeColor="text1"/>
        </w:rPr>
        <w:t xml:space="preserve"> they would enjoy chatting and catching up with other participants doing the workouts. As such, this has been incorporated into the </w:t>
      </w:r>
      <w:r w:rsidRPr="00CA4ABC">
        <w:rPr>
          <w:rFonts w:cstheme="minorHAnsi"/>
          <w:color w:val="000000" w:themeColor="text1"/>
        </w:rPr>
        <w:lastRenderedPageBreak/>
        <w:t>proposed protocol design. Nevertheless, social interactions may be difficult to replicate via a remote platform and the same connections may not be possible in comparison to face</w:t>
      </w:r>
      <w:r w:rsidR="0046442B" w:rsidRPr="00CA4ABC">
        <w:rPr>
          <w:rFonts w:cstheme="minorHAnsi"/>
          <w:color w:val="000000" w:themeColor="text1"/>
        </w:rPr>
        <w:t>-</w:t>
      </w:r>
      <w:r w:rsidRPr="00CA4ABC">
        <w:rPr>
          <w:rFonts w:cstheme="minorHAnsi"/>
          <w:color w:val="000000" w:themeColor="text1"/>
        </w:rPr>
        <w:t>to</w:t>
      </w:r>
      <w:r w:rsidR="0046442B" w:rsidRPr="00CA4ABC">
        <w:rPr>
          <w:rFonts w:cstheme="minorHAnsi"/>
          <w:color w:val="000000" w:themeColor="text1"/>
        </w:rPr>
        <w:t>-</w:t>
      </w:r>
      <w:r w:rsidRPr="00CA4ABC">
        <w:rPr>
          <w:rFonts w:cstheme="minorHAnsi"/>
          <w:color w:val="000000" w:themeColor="text1"/>
        </w:rPr>
        <w:t xml:space="preserve">face engagement. Additionally, some participants stated that they had busy schedules and would not have any additional time for socialising. This warrants further exploration to see if it is of benefit or off-putting. </w:t>
      </w:r>
    </w:p>
    <w:p w14:paraId="38E16E28" w14:textId="77777777" w:rsidR="00310C71" w:rsidRPr="00CA4ABC" w:rsidRDefault="00310C71" w:rsidP="00310C71">
      <w:pPr>
        <w:spacing w:line="360" w:lineRule="auto"/>
        <w:rPr>
          <w:rFonts w:cstheme="minorHAnsi"/>
          <w:color w:val="000000" w:themeColor="text1"/>
        </w:rPr>
      </w:pPr>
    </w:p>
    <w:p w14:paraId="3B4BBCB0" w14:textId="5871063C" w:rsidR="00310C71" w:rsidRPr="00CA4ABC" w:rsidRDefault="00310C71" w:rsidP="00310C71">
      <w:pPr>
        <w:spacing w:line="360" w:lineRule="auto"/>
        <w:rPr>
          <w:rFonts w:cstheme="minorHAnsi"/>
          <w:color w:val="000000" w:themeColor="text1"/>
        </w:rPr>
      </w:pPr>
      <w:r w:rsidRPr="00CA4ABC">
        <w:rPr>
          <w:rFonts w:cstheme="minorHAnsi"/>
          <w:color w:val="000000" w:themeColor="text1"/>
        </w:rPr>
        <w:t>In addition to mental health, further beneficial physical outcomes may result from the proposed study design as resistance exercise has been suggested to be beneficial for health outcomes</w:t>
      </w:r>
      <w:r w:rsidR="006E0256" w:rsidRPr="00CA4ABC">
        <w:rPr>
          <w:rFonts w:cstheme="minorHAnsi"/>
          <w:color w:val="000000" w:themeColor="text1"/>
        </w:rPr>
        <w:t xml:space="preserve"> that extend</w:t>
      </w:r>
      <w:r w:rsidRPr="00CA4ABC">
        <w:rPr>
          <w:rFonts w:cstheme="minorHAnsi"/>
          <w:color w:val="000000" w:themeColor="text1"/>
        </w:rPr>
        <w:t xml:space="preserve"> beyond muscle.  Evidence has demonstrated the importance of resistance training on cardiovascular disease risk, obesity risk, diabetes and other musculoskeletal outcomes, including osteoporosis and bone health </w:t>
      </w:r>
      <w:r w:rsidRPr="00CA4ABC">
        <w:rPr>
          <w:rFonts w:cstheme="minorHAnsi"/>
          <w:color w:val="000000" w:themeColor="text1"/>
        </w:rPr>
        <w:fldChar w:fldCharType="begin" w:fldLock="1"/>
      </w:r>
      <w:r w:rsidR="005B258E" w:rsidRPr="00CA4ABC">
        <w:rPr>
          <w:rFonts w:cstheme="minorHAnsi"/>
          <w:color w:val="000000" w:themeColor="text1"/>
        </w:rPr>
        <w:instrText>ADDIN CSL_CITATION {"citationItems":[{"id":"ITEM-1","itemData":{"DOI":"10.1093/AJCN/84.3.475","ISSN":"0002-9165","PMID":"16960159","abstract":"Muscle plays a central role in whole-body protein metabolism by serving as the principal reservoir for amino acids to maintain protein synthesis in vital tissues and organs in the absence of amino acid absorption from the gut and by providing hepatic gluconeogenic precursors. Furthermore, altered muscle metabolism plays a key role in the genesis, and therefore the prevention, of many common pathologic conditions and chronic diseases. Nonetheless, the maintenance of adequate muscle mass, strength, and metabolic function has rarely, if ever, been targeted as a relevant endpoint of recommendations for dietary intake. It is therefore imperative that factors directly related to muscle mass, strength, and metabolic function be included in future studies designed to demonstrate optimal lifestyle behaviors throughout the life span, including physical activity and diet. © 2006 American Society for Nutrition.","author":[{"dropping-particle":"","family":"Wolfe","given":"Robert R.","non-dropping-particle":"","parse-names":false,"suffix":""}],"container-title":"The American journal of clinical nutrition","id":"ITEM-1","issue":"3","issued":{"date-parts":[["2006","9","1"]]},"page":"475-482","publisher":"Am J Clin Nutr","title":"The underappreciated role of muscle in health and disease","type":"article-journal","volume":"84"},"uris":["http://www.mendeley.com/documents/?uuid=c4660ef6-8024-3920-8001-38d53e88c195"]}],"mendeley":{"formattedCitation":"(15)","plainTextFormattedCitation":"(15)","previouslyFormattedCitation":"(15)"},"properties":{"noteIndex":0},"schema":"https://github.com/citation-style-language/schema/raw/master/csl-citation.json"}</w:instrText>
      </w:r>
      <w:r w:rsidRPr="00CA4ABC">
        <w:rPr>
          <w:rFonts w:cstheme="minorHAnsi"/>
          <w:color w:val="000000" w:themeColor="text1"/>
        </w:rPr>
        <w:fldChar w:fldCharType="separate"/>
      </w:r>
      <w:r w:rsidR="00AD72F0" w:rsidRPr="00CA4ABC">
        <w:rPr>
          <w:rFonts w:cstheme="minorHAnsi"/>
          <w:noProof/>
          <w:color w:val="000000" w:themeColor="text1"/>
        </w:rPr>
        <w:t>(15)</w:t>
      </w:r>
      <w:r w:rsidRPr="00CA4ABC">
        <w:rPr>
          <w:rFonts w:cstheme="minorHAnsi"/>
          <w:color w:val="000000" w:themeColor="text1"/>
        </w:rPr>
        <w:fldChar w:fldCharType="end"/>
      </w:r>
      <w:r w:rsidRPr="00CA4ABC">
        <w:rPr>
          <w:rFonts w:cstheme="minorHAnsi"/>
          <w:color w:val="000000" w:themeColor="text1"/>
        </w:rPr>
        <w:t>. Once again, this is of particular significance during middle</w:t>
      </w:r>
      <w:r w:rsidR="00685A3E" w:rsidRPr="00CA4ABC">
        <w:rPr>
          <w:rFonts w:cstheme="minorHAnsi"/>
          <w:color w:val="000000" w:themeColor="text1"/>
        </w:rPr>
        <w:t xml:space="preserve"> </w:t>
      </w:r>
      <w:r w:rsidRPr="00CA4ABC">
        <w:rPr>
          <w:rFonts w:cstheme="minorHAnsi"/>
          <w:color w:val="000000" w:themeColor="text1"/>
        </w:rPr>
        <w:t xml:space="preserve">age, especially for women who often experience deterioration in bone density following menopause, due to the loss of oestrogen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{"citationItems":[{"id":"ITEM-1","itemData":{"DOI":"10.3390/NU10081103","ISSN":"2072-6643","PMID":"30115856","abstract":"Menopause is an age-dependent physiological condition associated with a natural decline in oestrogen levels, which causes a progressive decrease of muscle mass and strength and bone density. Sarcopenia and osteoporosis often coexist in elderly people, with a prevalence of the latter in elderly women. The profound interaction between muscle and bone induces a negative resonance between the two tissues affected by these disorders worsening the quality of life in the postmenopausal period. It has been estimated that at least 1 in 3 women over age 50 will experience osteoporotic fractures, often requiring hospitalisation and long-term care, causing a large financial burden to health insurance systems. Hormonal replacement therapy is effective in osteoporosis prevention, but concerns have been raised with regard to its safety. On the whole, the increase in life expectancy for postmenopausal women along with the need to improve their quality of life makes it necessary to develop specific and safe therapeutic strategies, alternative to hormonal replacement therapy, targeting both sarcopenia and osteoporosis progression. This review will examine the rationale and the effects of dietary protein, vitamin D and calcium supplementation combined with a specifically-designed exercise training prescription as a strategy to counteract these postmenopausal-associated disorders.","author":[{"dropping-particle":"","family":"Agostini","given":"Deborah","non-dropping-particle":"","parse-names":false,"suffix":""},{"dropping-particle":"","family":"Zeppa","given":"Sabrina Donati","non-dropping-particle":"","parse-names":false,"suffix":""},{"dropping-particle":"","family":"Lucertini","given":"Francesco","non-dropping-particle":"","parse-names":false,"suffix":""},{"dropping-particle":"","family":"Annibalini","given":"Giosuè","non-dropping-particle":"","parse-names":false,"suffix":""},{"dropping-particle":"","family":"Gervasi","given":"Marco","non-dropping-particle":"","parse-names":false,"suffix":""},{"dropping-particle":"","family":"Marini","given":"Carlo Ferri","non-dropping-particle":"","parse-names":false,"suffix":""},{"dropping-particle":"","family":"Piccoli","given":"Giovanni","non-dropping-particle":"","parse-names":false,"suffix":""},{"dropping-particle":"","family":"Stocchi","given":"Vilberto","non-dropping-particle":"","parse-names":false,"suffix":""},{"dropping-particle":"","family":"Barbieri","given":"Elena","non-dropping-particle":"","parse-names":false,"suffix":""},{"dropping-particle":"","family":"Sestili","given":"Piero","non-dropping-particle":"","parse-names":false,"suffix":""}],"container-title":"Nutrients 2018, Vol. 10, Page 1103","id":"ITEM-1","issue":"8","issued":{"date-parts":[["2018","8","16"]]},"page":"1103","publisher":"Multidisciplinary Digital Publishing Institute","title":"Muscle and Bone Health in Postmenopausal Women: Role of Protein and Vitamin D Supplementation Combined with Exercise Training","type":"article-journal","volume":"10"},"uris":["http://www.mendeley.com/documents/?uuid=1fcfef83-f4e8-3cf5-8596-499f4096bbe4"]}],"mendeley":{"formattedCitation":"(364)","manualFormatting":"(355)","plainTextFormattedCitation":"(364)","previouslyFormattedCitation":"(363)"},"properties":{"noteIndex":0},"schema":"https://github.com/citation-style-language/schema/raw/master/csl-citation.json"}</w:instrText>
      </w:r>
      <w:r w:rsidRPr="00CA4ABC">
        <w:rPr>
          <w:rFonts w:cstheme="minorHAnsi"/>
          <w:color w:val="000000" w:themeColor="text1"/>
        </w:rPr>
        <w:fldChar w:fldCharType="separate"/>
      </w:r>
      <w:r w:rsidR="00D647F3" w:rsidRPr="00CA4ABC">
        <w:rPr>
          <w:rFonts w:cstheme="minorHAnsi"/>
          <w:noProof/>
          <w:color w:val="000000" w:themeColor="text1"/>
        </w:rPr>
        <w:t>(35</w:t>
      </w:r>
      <w:r w:rsidR="00241426" w:rsidRPr="00CA4ABC">
        <w:rPr>
          <w:rFonts w:cstheme="minorHAnsi"/>
          <w:noProof/>
          <w:color w:val="000000" w:themeColor="text1"/>
        </w:rPr>
        <w:t>5</w:t>
      </w:r>
      <w:r w:rsidR="00D647F3" w:rsidRPr="00CA4ABC">
        <w:rPr>
          <w:rFonts w:cstheme="minorHAnsi"/>
          <w:noProof/>
          <w:color w:val="000000" w:themeColor="text1"/>
        </w:rPr>
        <w:t>)</w:t>
      </w:r>
      <w:r w:rsidRPr="00CA4ABC">
        <w:rPr>
          <w:rFonts w:cstheme="minorHAnsi"/>
          <w:color w:val="000000" w:themeColor="text1"/>
        </w:rPr>
        <w:fldChar w:fldCharType="end"/>
      </w:r>
      <w:r w:rsidRPr="00CA4ABC">
        <w:rPr>
          <w:rFonts w:cstheme="minorHAnsi"/>
          <w:color w:val="000000" w:themeColor="text1"/>
        </w:rPr>
        <w:t xml:space="preserve">. Encouraging resistance training could also be protective at the level of the bone. Nevertheless, the correct stimulus is required for this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{"citationItems":[{"id":"ITEM-1","itemData":{"DOI":"10.1002/JBMR.5650110211","ISSN":"0884-0431","PMID":"8822346","abstract":"It is considered that skeletal mass in humans may respond to loading or the number of loading cycles. The aim of this study was to examine the effect of a 1 year progressive resistance training program on the bone mass of 56 postmenopausal women. Assignment was by block randomization to one of two resistance training groups: a strength trained group (3 x 8 repetition maximum) or an endurance group (3 x 20 repetition maximum). The resistance exercises were selected to stress the ipsilateral forearm and hip region. The exercising side was randomly assigned with one side exercised while the alternate side acted as the nonexercise control. Bone mineral density (BMD) was measured every 3 months at the radial forearm and four hip sites using the Hologic QDR 2000 bone densitometer. A linear regression function was fitted for each individual's bone density results, and the slope was compared for the exercise and control side using paired t-tests. The bone mass increase with the strength regimen was significantly greater at the trochanteric hip site (control -0.6 ± 2.2%, exercise 1.7 ± 4.1%, p &lt; 0.01), at the intertrochanteric hip site (control -0.1 ± 2.1%, exercise 1.5 ± 3.0%, p &lt; 0.05), Ward's triangle (control 0.8 ± 5.2%, exercise 2.3 ± 4.0%, p &lt; 0.05), and at the ultradistal radial site (control -1.4 ± 2.3%, exercise 2.4 ± 4.3%, p &lt; 0.01). There was no significant increase in BMD with the endurance regimen except at the radius midsite (control -1.0 ± 2.3%, exercise 0.1 ± 1.4%, p &lt; 0.01). In both the endurance and the strength group, muscle strength, tested by a one-repetition maximum (IRM) test, increased significantly for all 10 exercises (p &lt; 0.01) and to a similar degree in the two groups. In the strength group but not the endurance group there were significant correlations between the slope of the change in BMD and the percentage increase in strength as follows: trochanter with leg press; intertrochanter with leg press (p &lt; 0.05); and Ward's triangle with hip extension and hip adduction (p &lt; 0.05). Thus these results support the notion of a site-specific response of bone to maximal loading from resistance exercise in that although the trochauter and intertrochanteric bone density was elevated by the resistance exercises undertaken, there was no effect on the femoral neck value. Postmenupausal bone mass can be significantly increased by a strength regimen that uses high-load low repetitions but not by an endurance regimen that uses low-load high repetitio…","author":[{"dropping-particle":"","family":"Kerr","given":"Deborah","non-dropping-particle":"","parse-names":false,"suffix":""},{"dropping-particle":"","family":"Morton","given":"Alan","non-dropping-particle":"","parse-names":false,"suffix":""},{"dropping-particle":"","family":"Dick","given":"Ian","non-dropping-particle":"","parse-names":false,"suffix":""},{"dropping-particle":"","family":"Prince","given":"Richard","non-dropping-particle":"","parse-names":false,"suffix":""}],"container-title":"Journal of bone and mineral research : the official journal of the American Society for Bone and Mineral Research","id":"ITEM-1","issue":"2","issued":{"date-parts":[["1996"]]},"page":"218-225","publisher":"J Bone Miner Res","title":"Exercise effects on bone mass in postmenopausal women are site-specific and load-dependent","type":"article-journal","volume":"11"},"uris":["http://www.mendeley.com/documents/?uuid=926682de-e785-3388-ade4-f57fb8b4440e"]}],"mendeley":{"formattedCitation":"(365)","manualFormatting":"(356)","plainTextFormattedCitation":"(365)","previouslyFormattedCitation":"(364)"},"properties":{"noteIndex":0},"schema":"https://github.com/citation-style-language/schema/raw/master/csl-citation.json"}</w:instrText>
      </w:r>
      <w:r w:rsidRPr="00CA4ABC">
        <w:rPr>
          <w:rFonts w:cstheme="minorHAnsi"/>
          <w:color w:val="000000" w:themeColor="text1"/>
        </w:rPr>
        <w:fldChar w:fldCharType="separate"/>
      </w:r>
      <w:r w:rsidR="00D647F3" w:rsidRPr="00CA4ABC">
        <w:rPr>
          <w:rFonts w:cstheme="minorHAnsi"/>
          <w:noProof/>
          <w:color w:val="000000" w:themeColor="text1"/>
        </w:rPr>
        <w:t>(35</w:t>
      </w:r>
      <w:r w:rsidR="00241426" w:rsidRPr="00CA4ABC">
        <w:rPr>
          <w:rFonts w:cstheme="minorHAnsi"/>
          <w:noProof/>
          <w:color w:val="000000" w:themeColor="text1"/>
        </w:rPr>
        <w:t>6</w:t>
      </w:r>
      <w:r w:rsidR="00D647F3" w:rsidRPr="00CA4ABC">
        <w:rPr>
          <w:rFonts w:cstheme="minorHAnsi"/>
          <w:noProof/>
          <w:color w:val="000000" w:themeColor="text1"/>
        </w:rPr>
        <w:t>)</w:t>
      </w:r>
      <w:r w:rsidRPr="00CA4ABC">
        <w:rPr>
          <w:rFonts w:cstheme="minorHAnsi"/>
          <w:color w:val="000000" w:themeColor="text1"/>
        </w:rPr>
        <w:fldChar w:fldCharType="end"/>
      </w:r>
      <w:r w:rsidRPr="00CA4ABC">
        <w:rPr>
          <w:rFonts w:cstheme="minorHAnsi"/>
          <w:color w:val="000000" w:themeColor="text1"/>
        </w:rPr>
        <w:t>, so taking additional measures to understand this would be required</w:t>
      </w:r>
      <w:r w:rsidR="006E0256" w:rsidRPr="00CA4ABC">
        <w:rPr>
          <w:rFonts w:cstheme="minorHAnsi"/>
          <w:color w:val="000000" w:themeColor="text1"/>
        </w:rPr>
        <w:t xml:space="preserve"> and</w:t>
      </w:r>
      <w:r w:rsidRPr="00CA4ABC">
        <w:rPr>
          <w:rFonts w:cstheme="minorHAnsi"/>
          <w:color w:val="000000" w:themeColor="text1"/>
        </w:rPr>
        <w:t xml:space="preserve"> may be difficult to do on a large scale. A possible workaround could be </w:t>
      </w:r>
      <w:r w:rsidR="00685A3E" w:rsidRPr="00CA4ABC">
        <w:rPr>
          <w:rFonts w:cstheme="minorHAnsi"/>
          <w:color w:val="000000" w:themeColor="text1"/>
        </w:rPr>
        <w:t>exploring</w:t>
      </w:r>
      <w:r w:rsidRPr="00CA4ABC">
        <w:rPr>
          <w:rFonts w:cstheme="minorHAnsi"/>
          <w:color w:val="000000" w:themeColor="text1"/>
        </w:rPr>
        <w:t xml:space="preserve"> these factors in a subset of participants</w:t>
      </w:r>
      <w:r w:rsidR="006E0256" w:rsidRPr="00CA4ABC">
        <w:rPr>
          <w:rFonts w:cstheme="minorHAnsi"/>
          <w:color w:val="000000" w:themeColor="text1"/>
        </w:rPr>
        <w:t>, but power calculations would be necessary</w:t>
      </w:r>
      <w:r w:rsidRPr="00CA4ABC">
        <w:rPr>
          <w:rFonts w:cstheme="minorHAnsi"/>
          <w:color w:val="000000" w:themeColor="text1"/>
        </w:rPr>
        <w:t xml:space="preserve">. </w:t>
      </w:r>
    </w:p>
    <w:p w14:paraId="639282B4" w14:textId="77777777" w:rsidR="00310C71" w:rsidRPr="00CA4ABC" w:rsidRDefault="00310C71" w:rsidP="00310C71">
      <w:pPr>
        <w:spacing w:line="360" w:lineRule="auto"/>
        <w:rPr>
          <w:rFonts w:cstheme="minorHAnsi"/>
          <w:color w:val="000000" w:themeColor="text1"/>
        </w:rPr>
      </w:pPr>
    </w:p>
    <w:p w14:paraId="06AD1A45" w14:textId="7EBFCD37" w:rsidR="00310C71" w:rsidRPr="00CA4ABC" w:rsidRDefault="00310C71" w:rsidP="00310C71">
      <w:pPr>
        <w:spacing w:line="360" w:lineRule="auto"/>
        <w:rPr>
          <w:rFonts w:cstheme="minorHAnsi"/>
          <w:color w:val="000000" w:themeColor="text1"/>
        </w:rPr>
      </w:pPr>
      <w:r w:rsidRPr="00CA4ABC">
        <w:rPr>
          <w:rFonts w:cstheme="minorHAnsi"/>
          <w:color w:val="000000" w:themeColor="text1"/>
        </w:rPr>
        <w:t>Optimising</w:t>
      </w:r>
      <w:r w:rsidR="00685A3E" w:rsidRPr="00CA4ABC">
        <w:rPr>
          <w:rFonts w:cstheme="minorHAnsi"/>
          <w:color w:val="000000" w:themeColor="text1"/>
        </w:rPr>
        <w:t xml:space="preserve"> the</w:t>
      </w:r>
      <w:r w:rsidRPr="00CA4ABC">
        <w:rPr>
          <w:rFonts w:cstheme="minorHAnsi"/>
          <w:color w:val="000000" w:themeColor="text1"/>
        </w:rPr>
        <w:t xml:space="preserve"> reach and impact of the proposed intervention, post</w:t>
      </w:r>
      <w:r w:rsidR="00685A3E" w:rsidRPr="00CA4ABC">
        <w:rPr>
          <w:rFonts w:cstheme="minorHAnsi"/>
          <w:color w:val="000000" w:themeColor="text1"/>
        </w:rPr>
        <w:t>-</w:t>
      </w:r>
      <w:r w:rsidRPr="00CA4ABC">
        <w:rPr>
          <w:rFonts w:cstheme="minorHAnsi"/>
          <w:color w:val="000000" w:themeColor="text1"/>
        </w:rPr>
        <w:t>study would likely require the engagement of multiple stakeholders</w:t>
      </w:r>
      <w:r w:rsidR="000F532F" w:rsidRPr="00CA4ABC">
        <w:rPr>
          <w:rFonts w:cstheme="minorHAnsi"/>
          <w:color w:val="000000" w:themeColor="text1"/>
        </w:rPr>
        <w:t xml:space="preserve"> </w:t>
      </w:r>
      <w:r w:rsidR="000F532F"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{"citationItems":[{"id":"ITEM-1","itemData":{"DOI":"10.1186/S12961-018-0337-6/PEER-REVIEW","ISSN":"14784505","PMID":"29996848","abstract":"Background: Closing the gap between research production and research use is a key challenge for the health research system. Stakeholder engagement is being increasingly promoted across the board by health research funding organisations, and indeed by many researchers themselves, as an important pathway to achieving impact. This opinion piece draws on a study of stakeholder engagement in research and a systematic literature search conducted as part of the study. Main body: This paper provides a short conceptualisation of stakeholder engagement, followed by 'design principles' that we put forward based on a combination of existing literature and new empirical insights from our recently completed longitudinal study of stakeholder engagement. The design principles for stakeholder engagement are organised into three groups, namely organisational, values and practices. The organisational principles are to clarify the objectives of stakeholder engagement; embed stakeholder engagement in a framework or model of research use; identify the necessary resources for stakeholder engagement; put in place plans for organisational learning and rewarding of effective stakeholder engagement; and to recognise that some stakeholders have the potential to play a key role. The principles relating to values are to foster shared commitment to the values and objectives of stakeholder engagement in the project team; share understanding that stakeholder engagement is often about more than individuals; encourage individual stakeholders and their organisations to value engagement; recognise potential tension between productivity and inclusion; and to generate a shared commitment to sustained and continuous stakeholder engagement. Finally, in terms of practices, the principles suggest that it is important to plan stakeholder engagement activity as part of the research programme of work; build flexibility within the research process to accommodate engagement and the outcomes of engagement; consider how input from stakeholders can be gathered systematically to meet objectives; consider how input from stakeholders can be collated, analysed and used; and to recognise that identification and involvement of stakeholders is an iterative and ongoing process. Conclusion: It is anticipated that the principles will be useful in planning stakeholder engagement activity within research programmes and in monitoring and evaluating stakeholder engagement. A next step will be to address the remaining…","author":[{"dropping-particle":"","family":"Boaz","given":"Annette","non-dropping-particle":"","parse-names":false,"suffix":""},{"dropping-particle":"","family":"Hanney","given":"Stephen","non-dropping-particle":"","parse-names":false,"suffix":""},{"dropping-particle":"","family":"Borst","given":"Robert","non-dropping-particle":"","parse-names":false,"suffix":""},{"dropping-particle":"","family":"O'Shea","given":"Alison","non-dropping-particle":"","parse-names":false,"suffix":""},{"dropping-particle":"","family":"Kok","given":"Maarten","non-dropping-particle":"","parse-names":false,"suffix":""}],"container-title":"Health Research Policy and Systems","id":"ITEM-1","issue":"1","issued":{"date-parts":[["2018","7","11"]]},"page":"1-9","publisher":"BioMed Central Ltd.","title":"How to engage stakeholders in research: Design principles to support improvement","type":"article-journal","volume":"16"},"uris":["http://www.mendeley.com/documents/?uuid=609b74d5-25a3-3a77-a5ce-a09dfa32837e"]}],"mendeley":{"formattedCitation":"(366)","manualFormatting":"(357)","plainTextFormattedCitation":"(366)","previouslyFormattedCitation":"(365)"},"properties":{"noteIndex":0},"schema":"https://github.com/citation-style-language/schema/raw/master/csl-citation.json"}</w:instrText>
      </w:r>
      <w:r w:rsidR="000F532F" w:rsidRPr="00CA4ABC">
        <w:rPr>
          <w:rFonts w:cstheme="minorHAnsi"/>
          <w:color w:val="000000" w:themeColor="text1"/>
        </w:rPr>
        <w:fldChar w:fldCharType="separate"/>
      </w:r>
      <w:r w:rsidR="00D647F3" w:rsidRPr="00CA4ABC">
        <w:rPr>
          <w:rFonts w:cstheme="minorHAnsi"/>
          <w:noProof/>
          <w:color w:val="000000" w:themeColor="text1"/>
        </w:rPr>
        <w:t>(35</w:t>
      </w:r>
      <w:r w:rsidR="00241426" w:rsidRPr="00CA4ABC">
        <w:rPr>
          <w:rFonts w:cstheme="minorHAnsi"/>
          <w:noProof/>
          <w:color w:val="000000" w:themeColor="text1"/>
        </w:rPr>
        <w:t>7</w:t>
      </w:r>
      <w:r w:rsidR="00D647F3" w:rsidRPr="00CA4ABC">
        <w:rPr>
          <w:rFonts w:cstheme="minorHAnsi"/>
          <w:noProof/>
          <w:color w:val="000000" w:themeColor="text1"/>
        </w:rPr>
        <w:t>)</w:t>
      </w:r>
      <w:r w:rsidR="000F532F" w:rsidRPr="00CA4ABC">
        <w:rPr>
          <w:rFonts w:cstheme="minorHAnsi"/>
          <w:color w:val="000000" w:themeColor="text1"/>
        </w:rPr>
        <w:fldChar w:fldCharType="end"/>
      </w:r>
      <w:r w:rsidR="000F532F" w:rsidRPr="00CA4ABC">
        <w:rPr>
          <w:rFonts w:cstheme="minorHAnsi"/>
          <w:color w:val="000000" w:themeColor="text1"/>
        </w:rPr>
        <w:t xml:space="preserve">. </w:t>
      </w:r>
      <w:r w:rsidRPr="00CA4ABC">
        <w:rPr>
          <w:rFonts w:cstheme="minorHAnsi"/>
          <w:color w:val="000000" w:themeColor="text1"/>
        </w:rPr>
        <w:t xml:space="preserve"> An obvious example would be the company supplying the protein supplement. </w:t>
      </w:r>
      <w:r w:rsidR="00685A3E" w:rsidRPr="00CA4ABC">
        <w:rPr>
          <w:rFonts w:cstheme="minorHAnsi"/>
          <w:color w:val="000000"/>
          <w:shd w:val="clear" w:color="auto" w:fill="FFFFFF"/>
        </w:rPr>
        <w:t xml:space="preserve">We have also demonstrated collaborations between academic research and university health facilities, </w:t>
      </w:r>
      <w:r w:rsidR="00CA4ABC" w:rsidRPr="00CA4ABC">
        <w:rPr>
          <w:rFonts w:cstheme="minorHAnsi"/>
          <w:color w:val="000000"/>
          <w:shd w:val="clear" w:color="auto" w:fill="FFFFFF"/>
        </w:rPr>
        <w:t>which</w:t>
      </w:r>
      <w:r w:rsidR="00685A3E" w:rsidRPr="00CA4ABC">
        <w:rPr>
          <w:rFonts w:cstheme="minorHAnsi"/>
          <w:color w:val="000000"/>
          <w:shd w:val="clear" w:color="auto" w:fill="FFFFFF"/>
        </w:rPr>
        <w:t xml:space="preserve"> could be rolled out across many physical activity service providers. </w:t>
      </w:r>
      <w:r w:rsidRPr="00CA4ABC">
        <w:rPr>
          <w:rFonts w:cstheme="minorHAnsi"/>
          <w:color w:val="000000" w:themeColor="text1"/>
        </w:rPr>
        <w:t>Currently, GPs can prescribe exercise if an individual’s health conditions would benefit from increased activity levels</w:t>
      </w:r>
      <w:r w:rsidR="000F532F" w:rsidRPr="00CA4ABC">
        <w:rPr>
          <w:rFonts w:cstheme="minorHAnsi"/>
          <w:color w:val="000000" w:themeColor="text1"/>
        </w:rPr>
        <w:t xml:space="preserve"> </w:t>
      </w:r>
      <w:r w:rsidR="000F532F" w:rsidRPr="00CA4ABC">
        <w:rPr>
          <w:rFonts w:cstheme="minorHAnsi"/>
          <w:color w:val="000000" w:themeColor="text1"/>
        </w:rPr>
        <w:fldChar w:fldCharType="begin" w:fldLock="1"/>
      </w:r>
      <w:r w:rsidR="00821D82">
        <w:rPr>
          <w:rFonts w:cstheme="minorHAnsi"/>
          <w:color w:val="000000" w:themeColor="text1"/>
        </w:rPr>
        <w:instrText>ADDIN CSL_CITATION {"citationItems":[{"id":"ITEM-1","itemData":{"URL":"https://www.nice.org.uk/guidance/ph54","accessed":{"date-parts":[["2022","12","5"]]},"id":"ITEM-1","issued":{"date-parts":[["0"]]},"title":"Overview | Physical activity: exercise referral schemes | Guidance | NICE","type":"webpage"},"uris":["http://www.mendeley.com/documents/?uuid=d742fbc8-2b7a-320a-b5e3-6bc8d4d3276f"]}],"mendeley":{"formattedCitation":"(367)","manualFormatting":"(358)","plainTextFormattedCitation":"(367)","previouslyFormattedCitation":"(366)"},"properties":{"noteIndex":0},"schema":"https://github.com/citation-style-language/schema/raw/master/csl-citation.json"}</w:instrText>
      </w:r>
      <w:r w:rsidR="000F532F" w:rsidRPr="00CA4ABC">
        <w:rPr>
          <w:rFonts w:cstheme="minorHAnsi"/>
          <w:color w:val="000000" w:themeColor="text1"/>
        </w:rPr>
        <w:fldChar w:fldCharType="separate"/>
      </w:r>
      <w:r w:rsidR="00D647F3" w:rsidRPr="00CA4ABC">
        <w:rPr>
          <w:rFonts w:cstheme="minorHAnsi"/>
          <w:noProof/>
          <w:color w:val="000000" w:themeColor="text1"/>
        </w:rPr>
        <w:t>(3</w:t>
      </w:r>
      <w:r w:rsidR="00241426" w:rsidRPr="00CA4ABC">
        <w:rPr>
          <w:rFonts w:cstheme="minorHAnsi"/>
          <w:noProof/>
          <w:color w:val="000000" w:themeColor="text1"/>
        </w:rPr>
        <w:t>58</w:t>
      </w:r>
      <w:r w:rsidR="00D647F3" w:rsidRPr="00CA4ABC">
        <w:rPr>
          <w:rFonts w:cstheme="minorHAnsi"/>
          <w:noProof/>
          <w:color w:val="000000" w:themeColor="text1"/>
        </w:rPr>
        <w:t>)</w:t>
      </w:r>
      <w:r w:rsidR="000F532F" w:rsidRPr="00CA4ABC">
        <w:rPr>
          <w:rFonts w:cstheme="minorHAnsi"/>
          <w:color w:val="000000" w:themeColor="text1"/>
        </w:rPr>
        <w:fldChar w:fldCharType="end"/>
      </w:r>
      <w:r w:rsidR="000F532F" w:rsidRPr="00CA4ABC">
        <w:rPr>
          <w:rFonts w:cstheme="minorHAnsi"/>
          <w:color w:val="000000" w:themeColor="text1"/>
        </w:rPr>
        <w:t>. L</w:t>
      </w:r>
      <w:r w:rsidRPr="00CA4ABC">
        <w:rPr>
          <w:rFonts w:cstheme="minorHAnsi"/>
          <w:color w:val="000000" w:themeColor="text1"/>
        </w:rPr>
        <w:t>ocal councils</w:t>
      </w:r>
      <w:r w:rsidR="000F532F" w:rsidRPr="00CA4ABC">
        <w:rPr>
          <w:rFonts w:cstheme="minorHAnsi"/>
          <w:color w:val="000000" w:themeColor="text1"/>
        </w:rPr>
        <w:t xml:space="preserve"> tend to</w:t>
      </w:r>
      <w:r w:rsidRPr="00CA4ABC">
        <w:rPr>
          <w:rFonts w:cstheme="minorHAnsi"/>
          <w:color w:val="000000" w:themeColor="text1"/>
        </w:rPr>
        <w:t xml:space="preserve"> roll these programmes out in different ways. A potential implementation strategy could be to refer individuals to the remotely delivered programme and give them access to the live workouts/video recordings, alongside providing them with a set of resistance bands.  Furthermore, it is possible that the intervention, due to its design, could be adapted and applied in various settings. An example includes delivery in care homes, where the support staff can play the videos live on a screen and monitor the residents doing </w:t>
      </w:r>
      <w:r w:rsidRPr="00CA4ABC">
        <w:rPr>
          <w:rFonts w:cstheme="minorHAnsi"/>
          <w:color w:val="000000" w:themeColor="text1"/>
        </w:rPr>
        <w:lastRenderedPageBreak/>
        <w:t xml:space="preserve">the workout. This suggests that once the original platform has been developed, it </w:t>
      </w:r>
      <w:r w:rsidR="00685A3E" w:rsidRPr="00CA4ABC">
        <w:rPr>
          <w:rFonts w:cstheme="minorHAnsi"/>
          <w:color w:val="000000" w:themeColor="text1"/>
        </w:rPr>
        <w:t xml:space="preserve">can </w:t>
      </w:r>
      <w:r w:rsidRPr="00CA4ABC">
        <w:rPr>
          <w:rFonts w:cstheme="minorHAnsi"/>
          <w:color w:val="000000" w:themeColor="text1"/>
        </w:rPr>
        <w:t xml:space="preserve">be adapted and utilised in many contexts. </w:t>
      </w:r>
    </w:p>
    <w:p w14:paraId="39D58B9A" w14:textId="77777777" w:rsidR="00310C71" w:rsidRPr="00CA4ABC" w:rsidRDefault="00310C71" w:rsidP="00310C71">
      <w:pPr>
        <w:spacing w:line="360" w:lineRule="auto"/>
        <w:rPr>
          <w:rFonts w:cstheme="minorHAnsi"/>
          <w:color w:val="000000" w:themeColor="text1"/>
        </w:rPr>
      </w:pPr>
    </w:p>
    <w:p w14:paraId="5059782C" w14:textId="7CD2C8BC" w:rsidR="00310C71" w:rsidRPr="00CA4ABC" w:rsidRDefault="00310C71" w:rsidP="00310C71">
      <w:pPr>
        <w:spacing w:line="360" w:lineRule="auto"/>
        <w:rPr>
          <w:rFonts w:cstheme="minorHAnsi"/>
          <w:color w:val="000000" w:themeColor="text1"/>
          <w:shd w:val="clear" w:color="auto" w:fill="FFFFFF"/>
        </w:rPr>
      </w:pPr>
      <w:r w:rsidRPr="00CA4ABC">
        <w:rPr>
          <w:rFonts w:cstheme="minorHAnsi"/>
          <w:color w:val="000000" w:themeColor="text1"/>
        </w:rPr>
        <w:t xml:space="preserve">The proposed intervention (exercise and nutrition elements) would involve the modification of behaviours, including physical activity and dietary habits, which are </w:t>
      </w:r>
      <w:r w:rsidR="000C1405" w:rsidRPr="00CA4ABC">
        <w:rPr>
          <w:rFonts w:cstheme="minorHAnsi"/>
          <w:color w:val="000000" w:themeColor="text1"/>
        </w:rPr>
        <w:t>often deep</w:t>
      </w:r>
      <w:r w:rsidR="00685A3E" w:rsidRPr="00CA4ABC">
        <w:rPr>
          <w:rFonts w:cstheme="minorHAnsi"/>
          <w:color w:val="000000" w:themeColor="text1"/>
        </w:rPr>
        <w:t>ly</w:t>
      </w:r>
      <w:r w:rsidR="000C1405" w:rsidRPr="00CA4ABC">
        <w:rPr>
          <w:rFonts w:cstheme="minorHAnsi"/>
          <w:color w:val="000000" w:themeColor="text1"/>
        </w:rPr>
        <w:t xml:space="preserve"> rooted in routines and habits for </w:t>
      </w:r>
      <w:r w:rsidRPr="00CA4ABC">
        <w:rPr>
          <w:rFonts w:cstheme="minorHAnsi"/>
          <w:color w:val="000000" w:themeColor="text1"/>
        </w:rPr>
        <w:t xml:space="preserve">most </w:t>
      </w:r>
      <w:r w:rsidR="000C1405" w:rsidRPr="00CA4ABC">
        <w:rPr>
          <w:rFonts w:cstheme="minorHAnsi"/>
          <w:color w:val="000000" w:themeColor="text1"/>
        </w:rPr>
        <w:t>people</w:t>
      </w:r>
      <w:r w:rsidR="00612155" w:rsidRPr="00CA4ABC">
        <w:rPr>
          <w:rFonts w:cstheme="minorHAnsi"/>
          <w:color w:val="000000" w:themeColor="text1"/>
        </w:rPr>
        <w:t>. Moreover,</w:t>
      </w:r>
      <w:r w:rsidR="000C1405" w:rsidRPr="00CA4ABC">
        <w:rPr>
          <w:rFonts w:cstheme="minorHAnsi"/>
          <w:color w:val="000000" w:themeColor="text1"/>
        </w:rPr>
        <w:t xml:space="preserve"> </w:t>
      </w:r>
      <w:r w:rsidRPr="00CA4ABC">
        <w:rPr>
          <w:rFonts w:cstheme="minorHAnsi"/>
          <w:color w:val="000000" w:themeColor="text1"/>
        </w:rPr>
        <w:t xml:space="preserve">it has been suggested </w:t>
      </w:r>
      <w:r w:rsidR="00CA4ABC" w:rsidRPr="00CA4ABC">
        <w:rPr>
          <w:rFonts w:cstheme="minorHAnsi"/>
          <w:color w:val="000000" w:themeColor="text1"/>
        </w:rPr>
        <w:t xml:space="preserve">that </w:t>
      </w:r>
      <w:r w:rsidRPr="00CA4ABC">
        <w:rPr>
          <w:rFonts w:cstheme="minorHAnsi"/>
          <w:color w:val="000000" w:themeColor="text1"/>
        </w:rPr>
        <w:t>there is a link between the</w:t>
      </w:r>
      <w:r w:rsidR="00612155" w:rsidRPr="00CA4ABC">
        <w:rPr>
          <w:rFonts w:cstheme="minorHAnsi"/>
          <w:color w:val="000000" w:themeColor="text1"/>
        </w:rPr>
        <w:t>se two factors</w:t>
      </w:r>
      <w:r w:rsidRPr="00CA4ABC">
        <w:rPr>
          <w:rFonts w:cstheme="minorHAnsi"/>
          <w:color w:val="000000" w:themeColor="text1"/>
        </w:rPr>
        <w:t xml:space="preserve">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{"citationItems":[{"id":"ITEM-1","itemData":{"author":[{"dropping-particle":"","family":"Beckford","given":"Safiya E","non-dropping-particle":"","parse-names":false,"suffix":""}],"id":"ITEM-1","issued":{"date-parts":[["2018"]]},"title":"The Relationship Between Habitual Physical Activity and Food Choices","type":"article-journal"},"uris":["http://www.mendeley.com/documents/?uuid=c8e32f44-36f3-3e30-8d55-c4772e1eb94b"]}],"mendeley":{"formattedCitation":"(368)","manualFormatting":"(359)","plainTextFormattedCitation":"(368)","previouslyFormattedCitation":"(367)"},"properties":{"noteIndex":0},"schema":"https://github.com/citation-style-language/schema/raw/master/csl-citation.json"}</w:instrText>
      </w:r>
      <w:r w:rsidRPr="00CA4ABC">
        <w:rPr>
          <w:rFonts w:cstheme="minorHAnsi"/>
          <w:color w:val="000000" w:themeColor="text1"/>
        </w:rPr>
        <w:fldChar w:fldCharType="separate"/>
      </w:r>
      <w:r w:rsidR="00D647F3" w:rsidRPr="00CA4ABC">
        <w:rPr>
          <w:rFonts w:cstheme="minorHAnsi"/>
          <w:noProof/>
          <w:color w:val="000000" w:themeColor="text1"/>
        </w:rPr>
        <w:t>(3</w:t>
      </w:r>
      <w:r w:rsidR="005745C6" w:rsidRPr="00CA4ABC">
        <w:rPr>
          <w:rFonts w:cstheme="minorHAnsi"/>
          <w:noProof/>
          <w:color w:val="000000" w:themeColor="text1"/>
        </w:rPr>
        <w:t>59</w:t>
      </w:r>
      <w:r w:rsidR="00D647F3" w:rsidRPr="00CA4ABC">
        <w:rPr>
          <w:rFonts w:cstheme="minorHAnsi"/>
          <w:noProof/>
          <w:color w:val="000000" w:themeColor="text1"/>
        </w:rPr>
        <w:t>)</w:t>
      </w:r>
      <w:r w:rsidRPr="00CA4ABC">
        <w:rPr>
          <w:rFonts w:cstheme="minorHAnsi"/>
          <w:color w:val="000000" w:themeColor="text1"/>
        </w:rPr>
        <w:fldChar w:fldCharType="end"/>
      </w:r>
      <w:r w:rsidRPr="00CA4ABC">
        <w:rPr>
          <w:rFonts w:cstheme="minorHAnsi"/>
          <w:color w:val="000000" w:themeColor="text1"/>
        </w:rPr>
        <w:t xml:space="preserve">.  To optimise success in this regard, </w:t>
      </w:r>
      <w:r w:rsidR="00612155" w:rsidRPr="00CA4ABC">
        <w:rPr>
          <w:rFonts w:cstheme="minorHAnsi"/>
          <w:color w:val="000000" w:themeColor="text1"/>
        </w:rPr>
        <w:t>understanding</w:t>
      </w:r>
      <w:r w:rsidRPr="00CA4ABC">
        <w:rPr>
          <w:rFonts w:cstheme="minorHAnsi"/>
          <w:color w:val="000000" w:themeColor="text1"/>
        </w:rPr>
        <w:t xml:space="preserve"> behaviour change protocols and frameworks may help achieve buy-in, adherence, fidelity and thus</w:t>
      </w:r>
      <w:r w:rsidR="00685A3E" w:rsidRPr="00CA4ABC">
        <w:rPr>
          <w:rFonts w:cstheme="minorHAnsi"/>
          <w:color w:val="000000" w:themeColor="text1"/>
        </w:rPr>
        <w:t xml:space="preserve"> the</w:t>
      </w:r>
      <w:r w:rsidRPr="00CA4ABC">
        <w:rPr>
          <w:rFonts w:cstheme="minorHAnsi"/>
          <w:color w:val="000000" w:themeColor="text1"/>
        </w:rPr>
        <w:t xml:space="preserve"> likelihood of successful outcomes. Behaviour change models </w:t>
      </w:r>
      <w:r w:rsidRPr="00CA4ABC">
        <w:rPr>
          <w:rFonts w:cstheme="minorHAnsi"/>
          <w:color w:val="000000" w:themeColor="text1"/>
        </w:rPr>
        <w:fldChar w:fldCharType="begin" w:fldLock="1"/>
      </w:r>
      <w:r w:rsidR="00821D82">
        <w:rPr>
          <w:rFonts w:cstheme="minorHAnsi"/>
          <w:color w:val="000000" w:themeColor="text1"/>
        </w:rPr>
        <w:instrText>ADDIN CSL_CITATION {"citationItems":[{"id":"ITEM-1","itemData":{"DOI":"10.1186/1748-5908-6-42/TABLES/3","ISSN":"17485908","PMID":"21513547","abstract":"Background: Improving the design and implementation of evidence-based practice depends on successful behaviour change interventions. This requires an appropriate method for characterising interventions and linking them to an analysis of the targeted behaviour. There exists a plethora of frameworks of behaviour change interventions, but it is not clear how well they serve this purpose. This paper evaluates these frameworks, and develops and evaluates a new framework aimed at overcoming their limitations.Methods: A systematic search of electronic databases and consultation with behaviour change experts were used to identify frameworks of behaviour change interventions. These were evaluated according to three criteria: comprehensiveness, coherence, and a clear link to an overarching model of behaviour. A new framework was developed to meet these criteria. The reliability with which it could be applied was examined in two domains of behaviour change: tobacco control and obesity.Results: Nineteen frameworks were identified covering nine intervention functions and seven policy categories that could enable those interventions. None of the frameworks reviewed covered the full range of intervention functions or policies, and only a minority met the criteria of coherence or linkage to a model of behaviour. At the centre of a proposed new framework is a 'behaviour system' involving three essential conditions: capability, opportunity, and motivation (what we term the 'COM-B system'). This forms the hub of a 'behaviour change wheel' (BCW) around which are positioned the nine intervention functions aimed at addressing deficits in one or more of these conditions; around this are placed seven categories of policy that could enable those interventions to occur. The BCW was used reliably to characterise interventions within the English Department of Health's 2010 tobacco control strategy and the National Institute of Health and Clinical Excellence's guidance on reducing obesity.Conclusions: Interventions and policies to change behaviour can be usefully characterised by means of a BCW comprising: a 'behaviour system' at the hub, encircled by intervention functions and then by policy categories. Research is needed to establish how far the BCW can lead to more efficient design of effective interventions. © 2011 Michie et al; licensee BioMed Central Ltd.","author":[{"dropping-particle":"","family":"Michie","given":"Susan","non-dropping-particle":"","parse-names":false,"suffix":""},{"dropping-particle":"","family":"Stralen","given":"Maartje M.","non-dropping-particle":"van","parse-names":false,"suffix":""},{"dropping-particle":"","family":"West","given":"Robert","non-dropping-particle":"","parse-names":false,"suffix":""}],"container-title":"Implementation Science","id":"ITEM-1","issue":"1","issued":{"date-parts":[["2011","4","23"]]},"page":"1-12","publisher":"BioMed Central","title":"The behaviour change wheel: A new method for characterising and designing behaviour change interventions","type":"article-journal","volume":"6"},"uris":["http://www.mendeley.com/documents/?uuid=5f8845ea-4dfc-3b60-9664-0c4c7ce5ad49"]}],"mendeley":{"formattedCitation":"(238)","plainTextFormattedCitation":"(238)","previouslyFormattedCitation":"(238)"},"properties":{"noteIndex":0},"schema":"https://github.com/citation-style-language/schema/raw/master/csl-citation.json"}</w:instrText>
      </w:r>
      <w:r w:rsidRPr="00CA4ABC">
        <w:rPr>
          <w:rFonts w:cstheme="minorHAnsi"/>
          <w:color w:val="000000" w:themeColor="text1"/>
        </w:rPr>
        <w:fldChar w:fldCharType="separate"/>
      </w:r>
      <w:r w:rsidR="00FF0BCE" w:rsidRPr="00FF0BCE">
        <w:rPr>
          <w:rFonts w:cstheme="minorHAnsi"/>
          <w:noProof/>
          <w:color w:val="000000" w:themeColor="text1"/>
        </w:rPr>
        <w:t>(238)</w:t>
      </w:r>
      <w:r w:rsidRPr="00CA4ABC">
        <w:rPr>
          <w:rFonts w:cstheme="minorHAnsi"/>
          <w:color w:val="000000" w:themeColor="text1"/>
        </w:rPr>
        <w:fldChar w:fldCharType="end"/>
      </w:r>
      <w:r w:rsidRPr="00CA4ABC">
        <w:rPr>
          <w:rFonts w:cstheme="minorHAnsi"/>
          <w:color w:val="000000" w:themeColor="text1"/>
        </w:rPr>
        <w:t xml:space="preserve"> </w:t>
      </w:r>
      <w:r w:rsidR="00612155" w:rsidRPr="00CA4ABC">
        <w:rPr>
          <w:rFonts w:cstheme="minorHAnsi"/>
          <w:color w:val="000000" w:themeColor="text1"/>
        </w:rPr>
        <w:t>consider</w:t>
      </w:r>
      <w:r w:rsidRPr="00CA4ABC">
        <w:rPr>
          <w:rFonts w:cstheme="minorHAnsi"/>
          <w:color w:val="000000" w:themeColor="text1"/>
        </w:rPr>
        <w:t xml:space="preserve"> the capability, opportunity and motivations to adopt a behaviour. Reflecting on the proposed protocol, if a trainer and suitable timeslots are available that fit in with the participant’s routine, it could be suggested that capability and opportunity are accounted for. Motivation may be harder to address, but thinking about ways to optimise this, particularly for continued engagement</w:t>
      </w:r>
      <w:r w:rsidR="001A36FA" w:rsidRPr="00CA4ABC">
        <w:rPr>
          <w:rFonts w:cstheme="minorHAnsi"/>
          <w:color w:val="000000" w:themeColor="text1"/>
        </w:rPr>
        <w:t>,</w:t>
      </w:r>
      <w:r w:rsidRPr="00CA4ABC">
        <w:rPr>
          <w:rFonts w:cstheme="minorHAnsi"/>
          <w:color w:val="000000" w:themeColor="text1"/>
        </w:rPr>
        <w:t xml:space="preserve"> would be helpful. </w:t>
      </w:r>
      <w:r w:rsidR="00A36AF3" w:rsidRPr="00CA4ABC">
        <w:rPr>
          <w:rFonts w:cstheme="minorHAnsi"/>
          <w:color w:val="000000"/>
          <w:shd w:val="clear" w:color="auto" w:fill="FFFFFF"/>
        </w:rPr>
        <w:t xml:space="preserve">We identified factors through the feasibility trial's qualitative analysis which may feed into increased motivation for engagement. </w:t>
      </w:r>
      <w:r w:rsidRPr="00CA4ABC">
        <w:rPr>
          <w:rFonts w:cstheme="minorHAnsi"/>
          <w:color w:val="000000" w:themeColor="text1"/>
        </w:rPr>
        <w:t xml:space="preserve">These include the psychological components, feelings of increased strength, self-observations of improvements and development of confidence and competency. </w:t>
      </w:r>
      <w:r w:rsidR="00612155" w:rsidRPr="00CA4ABC">
        <w:rPr>
          <w:rFonts w:cstheme="minorHAnsi"/>
          <w:color w:val="000000" w:themeColor="text1"/>
        </w:rPr>
        <w:t xml:space="preserve">These would only be relevant once the programme has commenced. </w:t>
      </w:r>
      <w:r w:rsidRPr="00CA4ABC">
        <w:rPr>
          <w:rFonts w:cstheme="minorHAnsi"/>
          <w:color w:val="000000" w:themeColor="text1"/>
        </w:rPr>
        <w:t xml:space="preserve">A systematic review and meta-analysis investigating motivational factors toward strength training in women found similar findings </w:t>
      </w:r>
      <w:r w:rsidRPr="00CA4ABC">
        <w:rPr>
          <w:rFonts w:cstheme="minorHAnsi"/>
          <w:color w:val="000000" w:themeColor="text1"/>
        </w:rPr>
        <w:fldChar w:fldCharType="begin" w:fldLock="1"/>
      </w:r>
      <w:r w:rsidR="00E86F8C">
        <w:rPr>
          <w:rFonts w:cstheme="minorHAnsi"/>
          <w:color w:val="000000" w:themeColor="text1"/>
        </w:rPr>
        <w:instrText>ADDIN CSL_CITATION {"citationItems":[{"id":"ITEM-1","itemData":{"DOI":"10.1007/S11121-021-01328-2/TABLES/4","ISSN":"15736695","PMID":"34800250","abstract":"Strength training (ST) or resistance training is important in the development and maintenance of musculoskeletal and cardiovascular health in women of all ages; however, uptake of ST amongst women is low. To improve female musculoskeletal health, it is vital that more women are encouraged to participate in ST to maintain musculoskeletal integrity. This systematic review aimed to identify motivators and barriers to women initiating and maintaining ST. Following protocol registration and systematic search, studies were included if they were primary qualitative or mixed-method studies reporting participant verbatim quotes, included adult women, and focused on motivators and barriers for ST. Searches generated 2534 articles from 3 databases, with 20 studies (N = 402 participants) meeting eligibility criteria. Participant quotes and authors’ interpretations were analysed using thematic synthesis. The most frequently observed barriers were gender-based stigmas, discouragement, and negative comments, particularly in women currently engaging in ST. Other factors associated with poor adherence included boredom, poor knowledge of ST, poor gym accessibility, lack of supervision or routine, and difficulty in balancing work and family life. Social support from friends and family, words of affirmation, and accompaniment facilitated ST, particularly in older women. Women who saw expected results such as weight loss were motivated to continue ST. Interventions aimed at increasing participation in ST amongst women should focus on the specific benefits valued by women and the dissemination of accurate information to counter misconceptions and increase knowledge. The adaptation of gym environments to make them more welcoming to women, and reduce gender-focused criticism, is especially important.","author":[{"dropping-particle":"","family":"Vasudevan","given":"Aishwarya","non-dropping-particle":"","parse-names":false,"suffix":""},{"dropping-particle":"","family":"Ford","given":"Elizabeth","non-dropping-particle":"","parse-names":false,"suffix":""}],"container-title":"Prevention Science","id":"ITEM-1","issue":"4","issued":{"date-parts":[["2022","5","1"]]},"page":"674-695","publisher":"Springer","title":"Motivational Factors and Barriers Towards Initiating and Maintaining Strength Training in Women: a Systematic Review and Meta-synthesis","type":"article-journal","volume":"23"},"uris":["http://www.mendeley.com/documents/?uuid=5415e740-3aa4-33c6-80ba-6c00667163bd"]}],"mendeley":{"formattedCitation":"(161)","plainTextFormattedCitation":"(161)","previouslyFormattedCitation":"(161)"},"properties":{"noteIndex":0},"schema":"https://github.com/citation-style-language/schema/raw/master/csl-citation.json"}</w:instrText>
      </w:r>
      <w:r w:rsidRPr="00CA4ABC">
        <w:rPr>
          <w:rFonts w:cstheme="minorHAnsi"/>
          <w:color w:val="000000" w:themeColor="text1"/>
        </w:rPr>
        <w:fldChar w:fldCharType="separate"/>
      </w:r>
      <w:r w:rsidR="00057AE3" w:rsidRPr="00057AE3">
        <w:rPr>
          <w:rFonts w:cstheme="minorHAnsi"/>
          <w:noProof/>
          <w:color w:val="000000" w:themeColor="text1"/>
        </w:rPr>
        <w:t>(161)</w:t>
      </w:r>
      <w:r w:rsidRPr="00CA4ABC">
        <w:rPr>
          <w:rFonts w:cstheme="minorHAnsi"/>
          <w:color w:val="000000" w:themeColor="text1"/>
        </w:rPr>
        <w:fldChar w:fldCharType="end"/>
      </w:r>
      <w:r w:rsidRPr="00CA4ABC">
        <w:rPr>
          <w:rFonts w:cstheme="minorHAnsi"/>
          <w:color w:val="000000" w:themeColor="text1"/>
        </w:rPr>
        <w:t xml:space="preserve">. It was shown that accompaniment facilitated strength training, whilst </w:t>
      </w:r>
      <w:r w:rsidR="00612155" w:rsidRPr="00CA4ABC">
        <w:rPr>
          <w:rFonts w:cstheme="minorHAnsi"/>
          <w:color w:val="000000" w:themeColor="text1"/>
        </w:rPr>
        <w:t xml:space="preserve">a </w:t>
      </w:r>
      <w:r w:rsidRPr="00CA4ABC">
        <w:rPr>
          <w:rFonts w:cstheme="minorHAnsi"/>
          <w:color w:val="000000" w:themeColor="text1"/>
        </w:rPr>
        <w:t xml:space="preserve">lack of supervision was a barrier.  </w:t>
      </w:r>
      <w:r w:rsidR="00612155" w:rsidRPr="00CA4ABC">
        <w:rPr>
          <w:rFonts w:cstheme="minorHAnsi"/>
          <w:color w:val="000000" w:themeColor="text1"/>
        </w:rPr>
        <w:t>Thinking about motivating engagement from the off and h</w:t>
      </w:r>
      <w:r w:rsidRPr="00CA4ABC">
        <w:rPr>
          <w:rFonts w:cstheme="minorHAnsi"/>
          <w:color w:val="000000" w:themeColor="text1"/>
        </w:rPr>
        <w:t>arnessing multiple decision</w:t>
      </w:r>
      <w:r w:rsidR="00A36AF3" w:rsidRPr="00CA4ABC">
        <w:rPr>
          <w:rFonts w:cstheme="minorHAnsi"/>
          <w:color w:val="000000" w:themeColor="text1"/>
        </w:rPr>
        <w:t>-</w:t>
      </w:r>
      <w:r w:rsidRPr="00CA4ABC">
        <w:rPr>
          <w:rFonts w:cstheme="minorHAnsi"/>
          <w:color w:val="000000" w:themeColor="text1"/>
        </w:rPr>
        <w:t xml:space="preserve">making and behavioural theories alongside a multidisciplinary team </w:t>
      </w:r>
      <w:r w:rsidR="00612155" w:rsidRPr="00CA4ABC">
        <w:rPr>
          <w:rFonts w:cstheme="minorHAnsi"/>
          <w:color w:val="000000" w:themeColor="text1"/>
        </w:rPr>
        <w:t>with</w:t>
      </w:r>
      <w:r w:rsidRPr="00CA4ABC">
        <w:rPr>
          <w:rFonts w:cstheme="minorHAnsi"/>
          <w:color w:val="000000" w:themeColor="text1"/>
        </w:rPr>
        <w:t xml:space="preserve"> experience </w:t>
      </w:r>
      <w:r w:rsidR="001A36FA" w:rsidRPr="00CA4ABC">
        <w:rPr>
          <w:rFonts w:cstheme="minorHAnsi"/>
          <w:color w:val="000000" w:themeColor="text1"/>
        </w:rPr>
        <w:t>in</w:t>
      </w:r>
      <w:r w:rsidR="00612155" w:rsidRPr="00CA4ABC">
        <w:rPr>
          <w:rFonts w:cstheme="minorHAnsi"/>
          <w:color w:val="000000" w:themeColor="text1"/>
        </w:rPr>
        <w:t xml:space="preserve"> </w:t>
      </w:r>
      <w:r w:rsidRPr="00CA4ABC">
        <w:rPr>
          <w:rFonts w:cstheme="minorHAnsi"/>
          <w:color w:val="000000" w:themeColor="text1"/>
        </w:rPr>
        <w:t xml:space="preserve">achieving change could help feed into planning and maximise </w:t>
      </w:r>
      <w:r w:rsidR="00A36AF3" w:rsidRPr="00CA4ABC">
        <w:rPr>
          <w:rFonts w:cstheme="minorHAnsi"/>
          <w:color w:val="000000" w:themeColor="text1"/>
        </w:rPr>
        <w:t xml:space="preserve">the </w:t>
      </w:r>
      <w:r w:rsidRPr="00CA4ABC">
        <w:rPr>
          <w:rFonts w:cstheme="minorHAnsi"/>
          <w:color w:val="000000" w:themeColor="text1"/>
        </w:rPr>
        <w:t xml:space="preserve">success of proposed programmes, particularly in a policy capacity, thinking longer term and larger scale. </w:t>
      </w:r>
    </w:p>
    <w:p w14:paraId="13641909" w14:textId="77777777" w:rsidR="00310C71" w:rsidRPr="00CA4ABC" w:rsidRDefault="00310C71" w:rsidP="00310C71">
      <w:pPr>
        <w:spacing w:line="360" w:lineRule="auto"/>
        <w:rPr>
          <w:rFonts w:cstheme="minorHAnsi"/>
          <w:color w:val="000000" w:themeColor="text1"/>
          <w:shd w:val="clear" w:color="auto" w:fill="FFFFFF"/>
        </w:rPr>
      </w:pPr>
    </w:p>
    <w:p w14:paraId="02213B13" w14:textId="49EA890B" w:rsidR="00310C71" w:rsidRPr="00CA4ABC" w:rsidRDefault="00310C71" w:rsidP="00310C71">
      <w:pPr>
        <w:pStyle w:val="Heading2"/>
        <w:spacing w:line="360" w:lineRule="auto"/>
        <w:rPr>
          <w:rFonts w:asciiTheme="minorHAnsi" w:hAnsiTheme="minorHAnsi" w:cstheme="minorHAnsi"/>
          <w:b/>
          <w:bCs/>
          <w:color w:val="000000" w:themeColor="text1"/>
          <w:sz w:val="24"/>
          <w:szCs w:val="24"/>
        </w:rPr>
      </w:pPr>
      <w:bookmarkStart w:id="415" w:name="_Toc135384428"/>
      <w:r w:rsidRPr="00CA4ABC">
        <w:rPr>
          <w:rFonts w:asciiTheme="minorHAnsi" w:hAnsiTheme="minorHAnsi" w:cstheme="minorHAnsi"/>
          <w:b/>
          <w:bCs/>
          <w:color w:val="000000" w:themeColor="text1"/>
        </w:rPr>
        <w:t xml:space="preserve">7.5 </w:t>
      </w:r>
      <w:r w:rsidRPr="00CA4ABC">
        <w:rPr>
          <w:rFonts w:asciiTheme="minorHAnsi" w:hAnsiTheme="minorHAnsi" w:cstheme="minorHAnsi"/>
          <w:b/>
          <w:bCs/>
          <w:color w:val="000000" w:themeColor="text1"/>
          <w:sz w:val="24"/>
          <w:szCs w:val="24"/>
        </w:rPr>
        <w:t>Conclusions</w:t>
      </w:r>
      <w:bookmarkEnd w:id="415"/>
    </w:p>
    <w:p w14:paraId="4FE40259" w14:textId="37B4E66A" w:rsidR="00310C71" w:rsidRPr="00CA4ABC" w:rsidRDefault="00310C71" w:rsidP="00310C71">
      <w:pPr>
        <w:spacing w:line="360" w:lineRule="auto"/>
        <w:ind w:firstLine="720"/>
        <w:rPr>
          <w:rFonts w:cstheme="minorHAnsi"/>
          <w:color w:val="000000" w:themeColor="text1"/>
        </w:rPr>
      </w:pPr>
      <w:r w:rsidRPr="00CA4ABC">
        <w:rPr>
          <w:rFonts w:cstheme="minorHAnsi"/>
          <w:color w:val="000000" w:themeColor="text1"/>
        </w:rPr>
        <w:t xml:space="preserve">We are an ageing population which means that age-related diseases are </w:t>
      </w:r>
      <w:r w:rsidR="00A36AF3" w:rsidRPr="00CA4ABC">
        <w:rPr>
          <w:rFonts w:cstheme="minorHAnsi"/>
          <w:color w:val="000000" w:themeColor="text1"/>
        </w:rPr>
        <w:t>rising</w:t>
      </w:r>
      <w:r w:rsidRPr="00CA4ABC">
        <w:rPr>
          <w:rFonts w:cstheme="minorHAnsi"/>
          <w:color w:val="000000" w:themeColor="text1"/>
        </w:rPr>
        <w:t xml:space="preserve">. As such, research </w:t>
      </w:r>
      <w:r w:rsidR="00612155" w:rsidRPr="00CA4ABC">
        <w:rPr>
          <w:rFonts w:cstheme="minorHAnsi"/>
          <w:color w:val="000000" w:themeColor="text1"/>
        </w:rPr>
        <w:t>is needed to optimise health spans that mirror lifespans</w:t>
      </w:r>
      <w:r w:rsidRPr="00CA4ABC">
        <w:rPr>
          <w:rFonts w:cstheme="minorHAnsi"/>
          <w:color w:val="000000" w:themeColor="text1"/>
        </w:rPr>
        <w:t xml:space="preserve">. </w:t>
      </w:r>
      <w:r w:rsidR="00612155" w:rsidRPr="00CA4ABC">
        <w:rPr>
          <w:rFonts w:cstheme="minorHAnsi"/>
          <w:color w:val="000000" w:themeColor="text1"/>
        </w:rPr>
        <w:t>Before diseases are apparent, intervening at an earlier age may be</w:t>
      </w:r>
      <w:r w:rsidRPr="00CA4ABC">
        <w:rPr>
          <w:rFonts w:cstheme="minorHAnsi"/>
          <w:color w:val="000000" w:themeColor="text1"/>
        </w:rPr>
        <w:t xml:space="preserve"> a valuable approach </w:t>
      </w:r>
      <w:r w:rsidR="00A36AF3" w:rsidRPr="00CA4ABC">
        <w:rPr>
          <w:rFonts w:cstheme="minorHAnsi"/>
          <w:color w:val="000000" w:themeColor="text1"/>
        </w:rPr>
        <w:t>regarding</w:t>
      </w:r>
      <w:r w:rsidRPr="00CA4ABC">
        <w:rPr>
          <w:rFonts w:cstheme="minorHAnsi"/>
          <w:color w:val="000000" w:themeColor="text1"/>
        </w:rPr>
        <w:t xml:space="preserve"> ageing diseases. </w:t>
      </w:r>
      <w:r w:rsidR="00B76D77" w:rsidRPr="00CA4ABC">
        <w:rPr>
          <w:rFonts w:cstheme="minorHAnsi"/>
          <w:color w:val="000000" w:themeColor="text1"/>
        </w:rPr>
        <w:t>Using the literature, we have shown that lifestyle risk factors</w:t>
      </w:r>
      <w:r w:rsidRPr="00CA4ABC">
        <w:rPr>
          <w:rFonts w:cstheme="minorHAnsi"/>
          <w:color w:val="000000" w:themeColor="text1"/>
        </w:rPr>
        <w:t xml:space="preserve"> contribute to </w:t>
      </w:r>
      <w:r w:rsidRPr="00CA4ABC">
        <w:rPr>
          <w:rFonts w:cstheme="minorHAnsi"/>
          <w:color w:val="000000" w:themeColor="text1"/>
        </w:rPr>
        <w:lastRenderedPageBreak/>
        <w:t>accelerated muscle loss rates</w:t>
      </w:r>
      <w:r w:rsidR="00B76D77" w:rsidRPr="00CA4ABC">
        <w:rPr>
          <w:rFonts w:cstheme="minorHAnsi"/>
          <w:color w:val="000000" w:themeColor="text1"/>
        </w:rPr>
        <w:t>,</w:t>
      </w:r>
      <w:r w:rsidRPr="00CA4ABC">
        <w:rPr>
          <w:rFonts w:cstheme="minorHAnsi"/>
          <w:color w:val="000000" w:themeColor="text1"/>
        </w:rPr>
        <w:t xml:space="preserve"> </w:t>
      </w:r>
      <w:r w:rsidR="00612155" w:rsidRPr="00CA4ABC">
        <w:rPr>
          <w:rFonts w:cstheme="minorHAnsi"/>
          <w:color w:val="000000" w:themeColor="text1"/>
        </w:rPr>
        <w:t>including</w:t>
      </w:r>
      <w:r w:rsidRPr="00CA4ABC">
        <w:rPr>
          <w:rFonts w:cstheme="minorHAnsi"/>
          <w:color w:val="000000" w:themeColor="text1"/>
        </w:rPr>
        <w:t xml:space="preserve"> sedentary behaviour and low protein intakes. There are </w:t>
      </w:r>
      <w:r w:rsidR="00A36AF3" w:rsidRPr="00CA4ABC">
        <w:rPr>
          <w:rFonts w:cstheme="minorHAnsi"/>
          <w:color w:val="000000" w:themeColor="text1"/>
        </w:rPr>
        <w:t>well-validated</w:t>
      </w:r>
      <w:r w:rsidRPr="00CA4ABC">
        <w:rPr>
          <w:rFonts w:cstheme="minorHAnsi"/>
          <w:color w:val="000000" w:themeColor="text1"/>
        </w:rPr>
        <w:t xml:space="preserve"> tools to flag low physical activity levels. Tools to identify if protein intakes are low are less available. We have explored the validation of a 10-question protein screener tool in a UK population but concluded that further refinement of the questions</w:t>
      </w:r>
      <w:r w:rsidR="00A36AF3" w:rsidRPr="00CA4ABC">
        <w:rPr>
          <w:rFonts w:cstheme="minorHAnsi"/>
          <w:color w:val="000000" w:themeColor="text1"/>
        </w:rPr>
        <w:t xml:space="preserve"> is</w:t>
      </w:r>
      <w:r w:rsidRPr="00CA4ABC">
        <w:rPr>
          <w:rFonts w:cstheme="minorHAnsi"/>
          <w:color w:val="000000" w:themeColor="text1"/>
        </w:rPr>
        <w:t xml:space="preserve"> needed to increase its accuracy</w:t>
      </w:r>
      <w:r w:rsidR="00A36AF3" w:rsidRPr="00CA4ABC">
        <w:rPr>
          <w:rFonts w:cstheme="minorHAnsi"/>
          <w:color w:val="000000" w:themeColor="text1"/>
        </w:rPr>
        <w:t>. However,</w:t>
      </w:r>
      <w:r w:rsidRPr="00CA4ABC">
        <w:rPr>
          <w:rFonts w:cstheme="minorHAnsi"/>
          <w:color w:val="000000" w:themeColor="text1"/>
        </w:rPr>
        <w:t xml:space="preserve"> research applications may still be valid. Understanding factors associated with low protein intakes are helpful so they can be addressed</w:t>
      </w:r>
      <w:r w:rsidR="00B76D77" w:rsidRPr="00CA4ABC">
        <w:rPr>
          <w:rFonts w:cstheme="minorHAnsi"/>
          <w:color w:val="000000" w:themeColor="text1"/>
        </w:rPr>
        <w:t>. We</w:t>
      </w:r>
      <w:r w:rsidRPr="00CA4ABC">
        <w:rPr>
          <w:rFonts w:cstheme="minorHAnsi"/>
          <w:color w:val="000000" w:themeColor="text1"/>
        </w:rPr>
        <w:t xml:space="preserve"> have found correlations with protein </w:t>
      </w:r>
      <w:r w:rsidR="00B76D77" w:rsidRPr="00CA4ABC">
        <w:rPr>
          <w:rFonts w:cstheme="minorHAnsi"/>
          <w:color w:val="000000" w:themeColor="text1"/>
        </w:rPr>
        <w:t>intake</w:t>
      </w:r>
      <w:r w:rsidRPr="00CA4ABC">
        <w:rPr>
          <w:rFonts w:cstheme="minorHAnsi"/>
          <w:color w:val="000000" w:themeColor="text1"/>
        </w:rPr>
        <w:t xml:space="preserve"> and age, BMI, physical activity and protein knowledge, but only in older adults (55 years +.) This information is also useful for intervention targeting. Lastly, we have designed a protocol for an intervention trial, which features a protein and resistance training component. This has been created following feasibility work which supported that the resistance training programme was suitable for progression to a full</w:t>
      </w:r>
      <w:r w:rsidR="00A36AF3" w:rsidRPr="00CA4ABC">
        <w:rPr>
          <w:rFonts w:cstheme="minorHAnsi"/>
          <w:color w:val="000000" w:themeColor="text1"/>
        </w:rPr>
        <w:t>-</w:t>
      </w:r>
      <w:r w:rsidRPr="00CA4ABC">
        <w:rPr>
          <w:rFonts w:cstheme="minorHAnsi"/>
          <w:color w:val="000000" w:themeColor="text1"/>
        </w:rPr>
        <w:t xml:space="preserve">scale trial. </w:t>
      </w:r>
      <w:r w:rsidR="00A36AF3" w:rsidRPr="00CA4ABC">
        <w:rPr>
          <w:rFonts w:cstheme="minorHAnsi"/>
          <w:color w:val="000000" w:themeColor="text1"/>
        </w:rPr>
        <w:t>The n</w:t>
      </w:r>
      <w:r w:rsidRPr="00CA4ABC">
        <w:rPr>
          <w:rFonts w:cstheme="minorHAnsi"/>
          <w:color w:val="000000" w:themeColor="text1"/>
        </w:rPr>
        <w:t xml:space="preserve">ext steps would be to conduct the proposed protocol, collect the measurements described and </w:t>
      </w:r>
      <w:r w:rsidR="00B76D77" w:rsidRPr="00CA4ABC">
        <w:rPr>
          <w:rFonts w:cstheme="minorHAnsi"/>
          <w:color w:val="000000" w:themeColor="text1"/>
        </w:rPr>
        <w:t>perform</w:t>
      </w:r>
      <w:r w:rsidRPr="00CA4ABC">
        <w:rPr>
          <w:rFonts w:cstheme="minorHAnsi"/>
          <w:color w:val="000000" w:themeColor="text1"/>
        </w:rPr>
        <w:t xml:space="preserve"> the necessary analysis. Attention should also be paid to the impact and scalability the intervention trial could have and how this could be rolled out in line with local (i.e. council) and national programmes aimed at health promotions. Seeking ways to prevent sarcopenia, or limit its severity, can not only help reduce financial burdens on healthcare systems and save resources but</w:t>
      </w:r>
      <w:r w:rsidR="00612155" w:rsidRPr="00CA4ABC">
        <w:rPr>
          <w:rFonts w:cstheme="minorHAnsi"/>
          <w:color w:val="000000" w:themeColor="text1"/>
        </w:rPr>
        <w:t>,</w:t>
      </w:r>
      <w:r w:rsidRPr="00CA4ABC">
        <w:rPr>
          <w:rFonts w:cstheme="minorHAnsi"/>
          <w:color w:val="000000" w:themeColor="text1"/>
        </w:rPr>
        <w:t xml:space="preserve"> </w:t>
      </w:r>
      <w:r w:rsidR="00B76D77" w:rsidRPr="00CA4ABC">
        <w:rPr>
          <w:rFonts w:cstheme="minorHAnsi"/>
          <w:color w:val="000000" w:themeColor="text1"/>
        </w:rPr>
        <w:t>significantly</w:t>
      </w:r>
      <w:r w:rsidRPr="00CA4ABC">
        <w:rPr>
          <w:rFonts w:cstheme="minorHAnsi"/>
          <w:color w:val="000000" w:themeColor="text1"/>
        </w:rPr>
        <w:t>, on a human level, it may help improve an individual’s quality of life for longer.</w:t>
      </w:r>
    </w:p>
    <w:p w14:paraId="61C01C77" w14:textId="02D90269" w:rsidR="00C21F68" w:rsidRPr="00CA4ABC" w:rsidRDefault="00C21F68" w:rsidP="004053D7">
      <w:pPr>
        <w:spacing w:line="360" w:lineRule="auto"/>
        <w:rPr>
          <w:rFonts w:cstheme="minorHAnsi"/>
          <w:color w:val="000000" w:themeColor="text1"/>
        </w:rPr>
        <w:sectPr w:rsidR="00C21F68" w:rsidRPr="00CA4ABC" w:rsidSect="00755CCD">
          <w:pgSz w:w="11900" w:h="16840"/>
          <w:pgMar w:top="1440" w:right="1440" w:bottom="1440" w:left="1440" w:header="708" w:footer="708" w:gutter="0"/>
          <w:cols w:space="708"/>
          <w:docGrid w:linePitch="360"/>
        </w:sectPr>
      </w:pPr>
    </w:p>
    <w:p w14:paraId="53F95FEB" w14:textId="77777777" w:rsidR="00AA34C2" w:rsidRPr="00CA4ABC" w:rsidRDefault="00AA34C2" w:rsidP="00AA34C2">
      <w:pPr>
        <w:pStyle w:val="Heading2"/>
        <w:rPr>
          <w:rFonts w:asciiTheme="minorHAnsi" w:hAnsiTheme="minorHAnsi" w:cstheme="minorHAnsi"/>
          <w:b/>
          <w:bCs/>
          <w:color w:val="000000" w:themeColor="text1"/>
        </w:rPr>
      </w:pPr>
      <w:bookmarkStart w:id="416" w:name="_Toc135384429"/>
      <w:r w:rsidRPr="00CA4ABC">
        <w:rPr>
          <w:rFonts w:asciiTheme="minorHAnsi" w:hAnsiTheme="minorHAnsi" w:cstheme="minorHAnsi"/>
          <w:b/>
          <w:bCs/>
          <w:color w:val="000000" w:themeColor="text1"/>
        </w:rPr>
        <w:lastRenderedPageBreak/>
        <w:t>References:</w:t>
      </w:r>
      <w:bookmarkEnd w:id="416"/>
    </w:p>
    <w:p w14:paraId="20E190D7" w14:textId="77777777" w:rsidR="00AA34C2" w:rsidRPr="00CA4ABC" w:rsidRDefault="00AA34C2" w:rsidP="00AA34C2">
      <w:pPr>
        <w:rPr>
          <w:rFonts w:cstheme="minorHAnsi"/>
        </w:rPr>
      </w:pPr>
    </w:p>
    <w:p w14:paraId="087E531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rPr>
        <w:fldChar w:fldCharType="begin" w:fldLock="1"/>
      </w:r>
      <w:r w:rsidRPr="00CA4ABC">
        <w:rPr>
          <w:rFonts w:cstheme="minorHAnsi"/>
        </w:rPr>
        <w:instrText xml:space="preserve">ADDIN Mendeley Bibliography CSL_BIBLIOGRAPHY </w:instrText>
      </w:r>
      <w:r w:rsidRPr="00CA4ABC">
        <w:rPr>
          <w:rFonts w:cstheme="minorHAnsi"/>
        </w:rPr>
        <w:fldChar w:fldCharType="separate"/>
      </w:r>
      <w:r w:rsidRPr="00CA4ABC">
        <w:rPr>
          <w:rFonts w:cstheme="minorHAnsi"/>
          <w:noProof/>
        </w:rPr>
        <w:t>Past and projected period and cohort life tables - Office for National Statistics [Internet]. Available from: https://www.ons.gov.uk/peoplepopulationandcommunity/birthsdeathsandmarriages/lifeexpectancies/bulletins/pastandprojecteddatafromtheperiodandcohortlifetables/2020baseduk1981to2070</w:t>
      </w:r>
    </w:p>
    <w:p w14:paraId="71472C3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Disability prevalence estimates 2002/03 to 2011/12 (Apr to Mar) - GOV.UK [Internet]. Available from: https://www.gov.uk/government/statistics/disability-prevalence-estimates-200203-to-201112-apr-to-mar</w:t>
      </w:r>
    </w:p>
    <w:p w14:paraId="5277378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Brown GC. Living too long: The current focus of medical research on increasing the quantity, rather than the quality, of life is damaging our health and harming the economy. EMBO Rep. 2015;16(2):137.</w:t>
      </w:r>
    </w:p>
    <w:p w14:paraId="429A2D4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Flatt T, Partridge L. Horizons in the evolution of aging. BMC Biol. 2018 Dec;16(1):93. </w:t>
      </w:r>
    </w:p>
    <w:p w14:paraId="2FC6F01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Strategic Directions 2020-2025 | National Institute on Aging [Internet]. Available from: https://www.nia.nih.gov/about/aging-strategic-directions-research</w:t>
      </w:r>
    </w:p>
    <w:p w14:paraId="7DF5047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Waldman SA, Terzic A. Healthcare Evolves From Reactive to Proactive. Clin Pharmacol Ther. 2019;105(1):10. </w:t>
      </w:r>
    </w:p>
    <w:p w14:paraId="3BB8EA8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Rosenberg IH. Sarcopenia: origins and clinical relevance. J Nutr. 1997;127(5 Suppl). </w:t>
      </w:r>
    </w:p>
    <w:p w14:paraId="4008FCD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Cruz-Jentoft AJ, Bahat G, Bauer J, Boirie Y, Bruyère O, Cederholm T, et al. Sarcopenia: revised European consensus on definition and diagnosis. Age Ageing. 2019;48(1):16–31.</w:t>
      </w:r>
    </w:p>
    <w:p w14:paraId="33D9148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Falcon LJ, Harris-Love MO. Sarcopenia and the New ICD-10-CM Code: Screening, Staging, and Diagnosis Considerations. Fed Pract. 2017];34(7):24–32. </w:t>
      </w:r>
    </w:p>
    <w:p w14:paraId="29F671D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Metter EJ, Conwit R, Tobin J, Fozard JL. Age-associated loss of power and strength in the upper extremities in women and men. J Gerontol A Biol Sci Med Sci. 1997;52(5).11. </w:t>
      </w:r>
      <w:r w:rsidRPr="00CA4ABC">
        <w:rPr>
          <w:rFonts w:cstheme="minorHAnsi"/>
          <w:noProof/>
        </w:rPr>
        <w:tab/>
      </w:r>
    </w:p>
    <w:p w14:paraId="6E7B02C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Mayhew AJ, Amog K, Phillips S, Parise G, McNicholas PD, De Souza RJ, et al. The prevalence of sarcopenia in community-dwelling older adults, an exploration of differences between studies and within definitions: a systematic review and meta-analyses. Age Ageing. 2019;48(1):48–56. </w:t>
      </w:r>
    </w:p>
    <w:p w14:paraId="0027524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dos Santos L, Cyrino ES, Antunes M, Santos DA, Sardinha LB. Sarcopenia and physical independence in older adults: the independent and synergic role of muscle mass and muscle function. J Cachexia Sarcopenia Muscle. 2017;8(2):245–50. </w:t>
      </w:r>
    </w:p>
    <w:p w14:paraId="7F8D607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Pinedo-Villanueva R, Westbury LD, Syddall HE, Sanchez-Santos MT, Dennison EM, Robinson SM, et al. Health Care Costs Associated With Muscle Weakness: A UK Population-Based Estimate. Calcif Tissue Int. 2019;104(2):137–44. </w:t>
      </w:r>
    </w:p>
    <w:p w14:paraId="6DBA7EC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Frontera WR, Ochala J. Skeletal Muscle: A Brief Review of Structure and Function. Behav Genet. 2015;45(2):183–95. </w:t>
      </w:r>
    </w:p>
    <w:p w14:paraId="269FC1A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Wolfe RR. The underappreciated role of muscle in health and disease. Am J Clin Nutr. 2006;84(3):475–82. </w:t>
      </w:r>
    </w:p>
    <w:p w14:paraId="59D550F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Pedersen BK. Muscle as a Secretory Organ. Compr Physiol. 2013;3(3):1337–62. </w:t>
      </w:r>
    </w:p>
    <w:p w14:paraId="679065D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Mukund K, Subramaniam S. Skeletal muscle: A review of molecular structure and function, in health and disease. Wiley Interdiscip Rev Syst Biol Med. 2020;12(1). </w:t>
      </w:r>
    </w:p>
    <w:p w14:paraId="299F5C2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Atherton PJ, Smith K. Muscle protein synthesis in response to nutrition and exercise. J Physiol.  2012;590(Pt 5):1049. </w:t>
      </w:r>
    </w:p>
    <w:p w14:paraId="619EC10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Burd NA, Tang JE, Moore DR, Phillips SM. Exercise training and protein metabolism: </w:t>
      </w:r>
      <w:r w:rsidRPr="00CA4ABC">
        <w:rPr>
          <w:rFonts w:cstheme="minorHAnsi"/>
          <w:noProof/>
        </w:rPr>
        <w:lastRenderedPageBreak/>
        <w:t xml:space="preserve">influences of contraction, protein intake, and sex-based differences. J Appl Physiol. 2009 May;106(5):1692–701. </w:t>
      </w:r>
    </w:p>
    <w:p w14:paraId="225FC4E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Roux PP, Topisirovic I. Regulation of mRNA Translation by Signaling Pathways. Cold Spring Harb Perspect Biol. 2012;4(11). </w:t>
      </w:r>
    </w:p>
    <w:p w14:paraId="4F11442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Yoon MS. mTOR as a key regulator in maintaining skeletal muscle mass. Front Physiol. 2017 Oct 17;8(OCT):788. </w:t>
      </w:r>
    </w:p>
    <w:p w14:paraId="646F960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Saxton RA, Sabatini DM. mTOR Signaling in Growth, Metabolism, and Disease. Cell. 2017;168(6):960. </w:t>
      </w:r>
    </w:p>
    <w:p w14:paraId="27DA936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Pasiakos SM. Exercise and amino acid anabolic cell signaling and the regulation of skeletal muscle mass. Nutrients. 2012;4(7):740–58. </w:t>
      </w:r>
    </w:p>
    <w:p w14:paraId="0755DDF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Bond P. Regulation of mTORC1 by growth factors, energy status, amino acids and mechanical stimuli at a glance. J Int Soc Sports Nutr. 2016;13(1):8. </w:t>
      </w:r>
    </w:p>
    <w:p w14:paraId="043116C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Miyazaki M, Esser KA. Cellular mechanisms regulating protein synthesis and skeletal muscle hypertrophy in animals. Journal of Applied Physiology. 2009; 106:1367–73. </w:t>
      </w:r>
    </w:p>
    <w:p w14:paraId="6A42FBF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Pimentel GD, Zemdegs JC. Leucine stimulates mTOR and muscle protein synthesis in both animal and human. Readings: physical education and sports. 2009;131:110.</w:t>
      </w:r>
    </w:p>
    <w:p w14:paraId="26CA589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Liu Z, Jahn LA, Long W, Fryburg DA, Wei L, Barrett EJ. Branched chain amino acids activate messenger ribonucleic acid translation regulatory proteins in human skeletal muscle, and glucocorticoids blunt this action. J Clin Endocrinol Metab  . 2001;86(5):2136–43. </w:t>
      </w:r>
    </w:p>
    <w:p w14:paraId="3BB4F1A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Lynch CJ. Role of Leucine in the Regulation of mTOR by Amino Acids: Revelations from Structure–Activity Studies. J Nutr. 2001;131(3):861S-865S. </w:t>
      </w:r>
    </w:p>
    <w:p w14:paraId="27A8070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Witard OC, Wardle SL, Macnaughton LS, Hodgson AB, Tipton KD. Protein Considerations for Optimising Skeletal Muscle Mass in Healthy Young and Older Adults. Nutrients. 2016;8(4). </w:t>
      </w:r>
    </w:p>
    <w:p w14:paraId="7422BCE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Tipton KD, Hamilton DL, Gallagher IJ. Assessing the Role of Muscle Protein Breakdown in Response to Nutrition and Exercise in Humans. Sports Med. 2018;48(Suppl 1):53. </w:t>
      </w:r>
    </w:p>
    <w:p w14:paraId="73B60BE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Murton AJ, Constantin D, Greenhaff PL. The involvement of the ubiquitin proteasome system in human skeletal muscle remodelling and atrophy. Biochim Biophys Acta  . 2008;1782(12):730–43. </w:t>
      </w:r>
    </w:p>
    <w:p w14:paraId="29F3DEC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Sorimachi H, Tsukahara T, Okada-Ban M, Sugita H, Ishiura S, Suzuki K. Identification of a third ubiquitous calpain species - chicken muscle expresses four distinct calpains. BBA - Gene Struct Expr. 1995 Apr 26;1261(3):381–93. </w:t>
      </w:r>
    </w:p>
    <w:p w14:paraId="0BB58EB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Glick D, Barth S, Macleod KF. Autophagy: cellular and molecular mechanisms. J Pathol. 2010;221(1):3. </w:t>
      </w:r>
    </w:p>
    <w:p w14:paraId="4F31054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Rennie MJ, Edwards RHT, Halliday D, Matthews DE, Wolman SL, Millward DJ. Muscle Protein Synthesis Measured by Stable Isotope Techniques in Man: The Effects of Feeding and Fasting. Clin Sci. 1982;63(6):519-23.</w:t>
      </w:r>
    </w:p>
    <w:p w14:paraId="26A560B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Wilkinson DJ. Historical and contemporary stable isotope tracer approaches to studying mammalian protein metabolism. Mass Spectrom Rev. 2018;37(1):57–80. </w:t>
      </w:r>
    </w:p>
    <w:p w14:paraId="317C557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Miller BF, Reid JJ, Price JC, Lin HJL, Atherton PJ, Smith K. CORP: The use of deuterated water for the measurement of protein synthesis. J Appl Physiol. 2020;128(5):1163–76. </w:t>
      </w:r>
    </w:p>
    <w:p w14:paraId="09E6F81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Ikenoue T, Hong S, Inoki K. Monitoring mammalian target of rapamycin (mTOR) activity. Methods Enzymol. 2009;452(C):165–80.</w:t>
      </w:r>
    </w:p>
    <w:p w14:paraId="7CC95A7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Kroemer KHE. Human Strength: Terminology, Measurement, and Interpretation of Data. Sage journals. 2016;12(3):297–313. </w:t>
      </w:r>
    </w:p>
    <w:p w14:paraId="53A11AB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 xml:space="preserve">Wells JCK, Fewtrell MS. Measuring body composition. Arch Dis Child . 2006];91(7):612. </w:t>
      </w:r>
    </w:p>
    <w:p w14:paraId="668BC0D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Lee SY, Gallagher D. Assessment methods in human body composition. Curr Opin Clin Nutr Metab Care. 2008;11(5):566. </w:t>
      </w:r>
    </w:p>
    <w:p w14:paraId="1A70EAF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Carson RG. Get a grip: individual variations in grip strength are a marker of brain health. Neurobiol Aging. 2018;71:189–222. </w:t>
      </w:r>
    </w:p>
    <w:p w14:paraId="78F1F14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Gotti C, Sensini A, Zucchelli A, Carloni R, Focarete ML. Hierarchical fibrous structures for muscle‐inspired soft‐actuators: A review. Appl Mater Today. 2020;20:100772. </w:t>
      </w:r>
    </w:p>
    <w:p w14:paraId="74C2D0F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Yang Y, Breen L, Burd NA, Hector AJ, Churchward-Venne TA, Josse AR, et al. Resistance exercise enhances myofibrillar protein synthesis with graded intakes of whey protein in older men. Br J Nutr. 2012;108(10):1780–8. </w:t>
      </w:r>
    </w:p>
    <w:p w14:paraId="70D7845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Scott W, Stevens J, Binder-Macleod SA. Human Skeletal Muscle Fiber Type Classifications. Phys Ther. 2001;81(11):1810–6. </w:t>
      </w:r>
    </w:p>
    <w:p w14:paraId="16FD247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Schiaffino S, Reggiani C. Fiber types in mammalian skeletal muscles. Physiol Rev  . 2011;91(4):1447–531. </w:t>
      </w:r>
    </w:p>
    <w:p w14:paraId="086CFD3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Talbot J, Maves L. Skeletal muscle fiber type: using insights from muscle developmental biology to dissect targets for susceptibility and resistance to muscle disease. Wiley Interdiscip Rev Dev Biol. 2016;5(4):518–34. </w:t>
      </w:r>
    </w:p>
    <w:p w14:paraId="583AF6D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Vikne H, Strøm V, Pripp AH, Gjøvaag T. Human skeletal muscle fiber type percentage and area after reduced muscle use: A systematic review and meta-analysis. Scand J Med Sci Sports. 2020;30(8):1298–317.</w:t>
      </w:r>
    </w:p>
    <w:p w14:paraId="691CFB2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Burd NA, Gorissen SH, Van Loon LJC. Anabolic resistance of muscle protein synthesis with aging. Exerc Sport Sci Rev. 2013;41(3):169–73. </w:t>
      </w:r>
    </w:p>
    <w:p w14:paraId="17DC384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Brook MS, Wilkinson DJ, Phillips BE, Perez-Schindler J, Philp A, Smith K, et al. Skeletal muscle homeostasis and plasticity in youth and ageing: impact of nutrition and exercise. Acta Physiol (Oxf). 2016;216(1):15–41.</w:t>
      </w:r>
    </w:p>
    <w:p w14:paraId="7668A4B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Kumar V, Selby A, Rankin D, Patel R, Atherton P, Hildebrandt W, et al. Age-related differences in the dose-response relationship of muscle protein synthesis to resistance exercise in young and old men. Authors J Compil C. 2009;587:211–7. </w:t>
      </w:r>
    </w:p>
    <w:p w14:paraId="2784941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Moore DR, Churchward-Venne TA, Witard O, Breen L, Burd NA, Tipton KD, et al. Protein ingestion to stimulate myofibrillar protein synthesis requires greater relative protein intakes in healthy older versus younger men. J Gerontol A Biol Sci Med Sci  . 2015;70(1):57–62. </w:t>
      </w:r>
    </w:p>
    <w:p w14:paraId="24312D0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Rosenberg IH. Sarcopenia: origins and clinical relevance. J Nutr. 1997;127(5 Suppl). </w:t>
      </w:r>
    </w:p>
    <w:p w14:paraId="0D98A7F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Cruz-Jentoft AJ, Sayer AA. Sarcopenia. Lancet. 2019;393(10191):2636–46. </w:t>
      </w:r>
    </w:p>
    <w:p w14:paraId="347009A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Cruz-Jentoft AJ, Baeyens JP, Bauer JM, Boirie Y, Cederholm T, Landi F, et al. Sarcopenia: European consensus on definition and diagnosis. Age Ageing. 2010;39(4):412–23. </w:t>
      </w:r>
    </w:p>
    <w:p w14:paraId="492EB5C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Fielding RA, Vellas B, Evans WJ, Bhasin S, Morley JE, Newman AB, et al. Sarcopenia: An Undiagnosed Condition in Older Adults. Current Consensus Definition: Prevalence, Etiology, and Consequences. International Working Group on Sarcopenia. J Am Med Dir Assoc. 2011 May;12(4):249–56. </w:t>
      </w:r>
    </w:p>
    <w:p w14:paraId="2000DEB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Chen LK, Liu LK, Woo J, Assantachai P, Auyeung TW, Bahyah KS, et al. Sarcopenia in Asia: Consensus report of the Asian working group for sarcopenia. Journal of the American Medical Directors Association. Elsevier Inc. 2014;15:95–101. </w:t>
      </w:r>
    </w:p>
    <w:p w14:paraId="5C6D3EF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Studenski SA, Peters KW, Alley DE, Cawthon PM, McLean RR, Harris TB, et al. The FNIH sarcopenia project: Rationale, study description, conference recommendations, </w:t>
      </w:r>
      <w:r w:rsidRPr="00CA4ABC">
        <w:rPr>
          <w:rFonts w:cstheme="minorHAnsi"/>
          <w:noProof/>
        </w:rPr>
        <w:lastRenderedPageBreak/>
        <w:t xml:space="preserve">and final estimates. Journals Gerontol - Ser A Biol Sci Med Sci. 2014;69 A(5):547–58. </w:t>
      </w:r>
    </w:p>
    <w:p w14:paraId="661568D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Bhasin S, Travison TG, Manini TM, Patel S, Pencina KM, Fielding RA, et al. Sarcopenia Definition: The Position Statements of the Sarcopenia Definition and Outcomes Consortium. J Am Geriatr Soc. 2020;68(7):1410–8. </w:t>
      </w:r>
    </w:p>
    <w:p w14:paraId="5E62E0A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Pagotto V, Silveira EA. Review Article Methods, Diagnostic Criteria, Cutoff Points, and Prevalence of Sarcopenia among Older People. 2014; 2014:231312.</w:t>
      </w:r>
    </w:p>
    <w:p w14:paraId="125178D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Global Leadership Initiative in Sarcopenia - GLIS - EuGMS  [Internet]. [cited 2022 Aug 24]. Available from: https://www.eugms.org/news/read/article/661.html</w:t>
      </w:r>
    </w:p>
    <w:p w14:paraId="5A962BA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Woo J, Leung J, Morley JE. Validating the SARC-F: A Suitable Community Screening Tool for Sarcopenia? J Am Med Dir Assoc. 2014;15(9):630–4. </w:t>
      </w:r>
    </w:p>
    <w:p w14:paraId="4E153AB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Dvir Z, Müller S. Multiple-Joint Isokinetic Dynamometry: A Critical Review. J Strength Cond Res. 2019;34(2):587-601. </w:t>
      </w:r>
    </w:p>
    <w:p w14:paraId="1F7AA69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Verdijk LB, Van Loon L, Meijer K, Savelberg HHCM. One-repetition maximum strength test represents a valid means to assess leg strength in vivo in humans. J Sports Sci. 2009;27(1):59–68. </w:t>
      </w:r>
    </w:p>
    <w:p w14:paraId="3F56EC5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Cesari M, Fielding RA, Pahor M, Goodpaster B, Hellerstein M, van Kan GA, et al. Biomarkers of sarcopenia in clinical trials-recommendations from the International Working Group on Sarcopenia. J Cachexia Sarcopenia Muscle. 201;3(3):181–90. </w:t>
      </w:r>
    </w:p>
    <w:p w14:paraId="04B4AF01" w14:textId="77777777" w:rsidR="00AA34C2"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Rizzoli R, Reginster JY, Arnal JF, Bautmans I, Beaudart C, Bischoff-Ferrari H, et al. Quality of life in sarcopenia and frailty. Calcified Tissue International. 2013;93:101–20. </w:t>
      </w:r>
    </w:p>
    <w:p w14:paraId="22AA6918" w14:textId="77777777" w:rsidR="00AA34C2" w:rsidRPr="000E0CB8" w:rsidRDefault="00AA34C2" w:rsidP="00AA34C2">
      <w:pPr>
        <w:pStyle w:val="ListParagraph"/>
        <w:widowControl w:val="0"/>
        <w:numPr>
          <w:ilvl w:val="0"/>
          <w:numId w:val="39"/>
        </w:numPr>
        <w:autoSpaceDE w:val="0"/>
        <w:autoSpaceDN w:val="0"/>
        <w:adjustRightInd w:val="0"/>
        <w:rPr>
          <w:rFonts w:cstheme="minorHAnsi"/>
          <w:noProof/>
        </w:rPr>
      </w:pPr>
      <w:r w:rsidRPr="000E0CB8">
        <w:rPr>
          <w:rFonts w:cstheme="minorHAnsi"/>
          <w:noProof/>
        </w:rPr>
        <w:t xml:space="preserve">Clark BC, Manini TM. What is dynapenia? Nutrition. </w:t>
      </w:r>
      <w:r w:rsidRPr="000E0CB8">
        <w:rPr>
          <w:rFonts w:cstheme="minorHAnsi"/>
          <w:color w:val="212121"/>
          <w:shd w:val="clear" w:color="auto" w:fill="FFFFFF"/>
        </w:rPr>
        <w:t>J Gerontol A Biol Sci Med Sci.</w:t>
      </w:r>
      <w:r w:rsidRPr="000E0CB8">
        <w:rPr>
          <w:rFonts w:cstheme="minorHAnsi"/>
          <w:noProof/>
        </w:rPr>
        <w:t xml:space="preserve"> 2012;23(1):1–7. </w:t>
      </w:r>
    </w:p>
    <w:p w14:paraId="7E8E8C3D" w14:textId="77777777" w:rsidR="00AA34C2" w:rsidRPr="000D795F" w:rsidRDefault="00AA34C2" w:rsidP="00AA34C2">
      <w:pPr>
        <w:pStyle w:val="ListParagraph"/>
        <w:widowControl w:val="0"/>
        <w:numPr>
          <w:ilvl w:val="0"/>
          <w:numId w:val="39"/>
        </w:numPr>
        <w:autoSpaceDE w:val="0"/>
        <w:autoSpaceDN w:val="0"/>
        <w:adjustRightInd w:val="0"/>
        <w:rPr>
          <w:rFonts w:ascii="Calibri" w:hAnsi="Calibri" w:cs="Calibri"/>
          <w:noProof/>
        </w:rPr>
      </w:pPr>
      <w:r w:rsidRPr="000D795F">
        <w:rPr>
          <w:rFonts w:ascii="Calibri" w:hAnsi="Calibri" w:cs="Calibri"/>
          <w:noProof/>
        </w:rPr>
        <w:t xml:space="preserve">Manini TM, Clark BC. Dynapenia and Aging : An Update. 2012;(1):28–40. </w:t>
      </w:r>
    </w:p>
    <w:p w14:paraId="3DA70E2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Shaw SC, Dennison EM, Cooper C. Epidemiology of Sarcopenia: Determinants Throughout the Lifecourse. Calcif Tissue Int. 2017;101(3):229–47. </w:t>
      </w:r>
    </w:p>
    <w:p w14:paraId="4CD6A9B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Janssen I, Heymsfield SB, Wang ZM, Ross R. Skeletal muscle mass and distribution in 468 men and women aged 18-88 yr. J Appl Physiol. 2000;89(1):81–8. </w:t>
      </w:r>
    </w:p>
    <w:p w14:paraId="623A7AA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Silva AM, Shen W, Heo M, Gallagher D, Wang Z, Sardinha LB, et al. Ethnicity-related skeletal muscle differences across the lifespan. Am J Hum Biol. 2010;22(1):76–82. </w:t>
      </w:r>
    </w:p>
    <w:p w14:paraId="787FF49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Dodds RM, Syddall HE, Cooper R, Benzeval M, Deary IJ, Dennison EM, et al. Grip Strength across the Life Course: Normative Data from Twelve British Studies. PLoS One. 2014;9(12):e113637. </w:t>
      </w:r>
    </w:p>
    <w:p w14:paraId="5FD821B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Lindle RS, Metter EJ, Lynch NA, Fleg JL, Fozard JL, Tobin J, et al. Age and gender comparisons of muscle strength in 654 women and men aged 20-93 yr. J Appl Physiol. 1997;83(5):1581–7. </w:t>
      </w:r>
    </w:p>
    <w:p w14:paraId="0192854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Cooper R, Kuh D, Hardy R. Objectively measured physical capability levels and mortality: systematic review and meta-analysis. BMJ. 2010;341(7774):639.</w:t>
      </w:r>
    </w:p>
    <w:p w14:paraId="6D0F00A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Ryall JG, Schertzer JD, Lynch GS. Cellular and molecular mechanisms underlying age-related skeletal muscle wasting and weakness. Biogerontology. 2008;9(4):213–28. </w:t>
      </w:r>
    </w:p>
    <w:p w14:paraId="7398F20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Lexell J, Taylor CC, Sjöström M. What is the cause of the ageing atrophy? Total number, size and proportion of different fiber types studied in whole vastus lateralis muscle from 15- to 83-year-old men. J Neurol Sci. 1988;84(2–3):275–94. </w:t>
      </w:r>
    </w:p>
    <w:p w14:paraId="4D8A5A4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Kostka T. Quadriceps maximal power and optimal shortening velocity in 335 men aged 23-88 years. Eur J Appl Physiol. 2005;95(2–3):140–5. </w:t>
      </w:r>
    </w:p>
    <w:p w14:paraId="4FB5236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Lynch J, Smith GD. A life course approach to chronic disease epidemiology. Annu Rev Public Heal. 2005;26:1–35. </w:t>
      </w:r>
    </w:p>
    <w:p w14:paraId="731B7A8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Muscle Ageing Sarcopenia Study Lifecourse (MASS Lifecourse) - Full Text View - ClinicalTrials.gov  [Internet]. Available from: https://clinicaltrials.gov/ct2/show/NCT04239495</w:t>
      </w:r>
    </w:p>
    <w:p w14:paraId="0037BC8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Miljkovic N, Lim JY, Miljkovic I, Frontera WR. Aging of Skeletal Muscle Fibers. Ann Rehabil Med. 2015;39(2):155. </w:t>
      </w:r>
    </w:p>
    <w:p w14:paraId="754723E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Rom O, Kaisari S, Aizenbud D, Reznick AZ. Lifestyle and Sarcopenia—Etiology, Prevention, and Treatment. Rambam Maimonides Med J. 2012;3(4):e0024. </w:t>
      </w:r>
    </w:p>
    <w:p w14:paraId="453A72D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Ziaaldini MM, Marzetti E, Picca A, Murlasits Z. Biochemical Pathways of Sarcopenia and Their Modulation by Physical Exercise: A Narrative Review. Front Med. 2017;4(OCT):167. </w:t>
      </w:r>
    </w:p>
    <w:p w14:paraId="6E53D93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Lopez MJ, Mohiuddin SS. Biochemistry, Essential Amino Acids. StatPearls. [Internet] 2022.</w:t>
      </w:r>
    </w:p>
    <w:p w14:paraId="21C05D7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Reeds PJ. Dispensable and indispensable amino acids for humans. J Nutr. 2000;130(7). </w:t>
      </w:r>
    </w:p>
    <w:p w14:paraId="6BCF1D8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Wu G. Amino acids: metabolism, functions, and nutrition. Amino Acids. 2009];37(1):1–17. </w:t>
      </w:r>
    </w:p>
    <w:p w14:paraId="03ABFEA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Rand WM, Pellett PL, Young VR. Meta-analysis of nitrogen balance studies for estimating protein requirements in healthy adults. Am J Clin Nutr 2003;77(1):109–27. </w:t>
      </w:r>
    </w:p>
    <w:p w14:paraId="78556BB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Barbosa-Silva MCG. Subjective and objective nutritional assessment methods: What do they really assess? Curr Opin Clin Nutr Metab Care. 2008;11(3):248–54. </w:t>
      </w:r>
    </w:p>
    <w:p w14:paraId="0013236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Dickerson RN. Nitrogen Balance and Protein Requirements for Critically Ill Older Patients. Nutrients. 2016;8(4). </w:t>
      </w:r>
    </w:p>
    <w:p w14:paraId="7941F61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Deutz NEP, Bauer JM, Barazzoni R, Biolo G, Boirie Y, Bosy-Westphal A, et al. Protein intake and exercise for optimal muscle function with aging: Recommendations from the ESPEN Expert Group. Clin Nutr. 2014; </w:t>
      </w:r>
    </w:p>
    <w:p w14:paraId="7289C73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Houston DK, Nicklas BJ, Ding J, Harris TB, Tylavsky FA, Newman AB, et al. Dietary protein intake is associated with lean mass change in older, community-dwelling adults: the Health, Aging, and Body Composition (Health ABC) Study. Am J Clin Nutr  . 2008;87(1):150–5. </w:t>
      </w:r>
    </w:p>
    <w:p w14:paraId="2AAD475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Tyrovolas S, Panagiotakos D, Georgousopoulou E, Chrysohoou C, Tousoulis D, Haro JM, et al. Skeletal muscle mass in relation to 10 year cardiovascular disease incidence among middle aged and older adults: the ATTICA study. J Epidemiol Community Health. 2020;74(1):26–31. </w:t>
      </w:r>
    </w:p>
    <w:p w14:paraId="5497199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Paddon-Jones D, Rasmussen BB. Dietary protein recommendations and the prevention of sarcopenia. Current Opinion in Clinical Nutrition and Metabolic Care. 2009; 12(1):86-90.</w:t>
      </w:r>
    </w:p>
    <w:p w14:paraId="43BDA42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Saleh KK, Julien SG. Protein Supplement Perceptions, Use, and Associated Performance in Young Lebanese Resistance-Training Athletes. J Nutr Metab. 2022;2022:4150620.</w:t>
      </w:r>
    </w:p>
    <w:p w14:paraId="5D4F2E0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Sánchez Oliver  a, Miranda León MT, Guerra-Hernández E. Prevalence of protein supplement use at gyms. Nutr Hosp. 2011;26(5):1168–74.</w:t>
      </w:r>
    </w:p>
    <w:p w14:paraId="41A5B5C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Jovanov P, Đorđić V, Obradović B, Barak O, Pezo L, Marić A, et al. Prevalence, knowledge and attitudes towards using sports supplements among young athletes. J Int Soc Sports Nutr. 2019;16(1):1–9.</w:t>
      </w:r>
    </w:p>
    <w:p w14:paraId="0D3BA16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Ruano J, Teixeira VH. Prevalence of dietary supplement use by gym members in Portugal and associated factors. J Int Soc Sports Nutr. 2020;17(1):1–8. </w:t>
      </w:r>
    </w:p>
    <w:p w14:paraId="43ACE8C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Ten Haaf DSM, Nuijten MA, et al. Effects of protein supplementation on lean body </w:t>
      </w:r>
      <w:r w:rsidRPr="00CA4ABC">
        <w:rPr>
          <w:rFonts w:cstheme="minorHAnsi"/>
          <w:noProof/>
        </w:rPr>
        <w:lastRenderedPageBreak/>
        <w:t xml:space="preserve">mass, muscle strength, and physical performance in nonfrail community-dwelling older adults: A systematic review and meta-analysis. Am J Clin Nutr. 2018;108(5):1043–59. </w:t>
      </w:r>
    </w:p>
    <w:p w14:paraId="5B6A0E4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Breen L, Phillips SM. Skeletal muscle protein metabolism in the elderly: Interventions to counteract the “anabolic resistance” of ageing. Nutr Metab (Lond). 2011;8(1):68. </w:t>
      </w:r>
    </w:p>
    <w:p w14:paraId="0EB19AC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Beck AM, Dent E, Baldwin C. Nutritional intervention as part of functional rehabilitation in older people with reduced functional ability: a systematic review and meta-analysis of randomised controlled studies. J Hum Nutr Diet. 2016 Dec;29(6):733–45. </w:t>
      </w:r>
    </w:p>
    <w:p w14:paraId="4E8C4D0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Kim JE, O’Connor LE, Sands LP, Slebodnik MB, Campbell WW. Effects of dietary protein intake on body composition changes after weight loss in older adults: a systematic review and meta-analysis. Nutrition Reviews/Oxford Academic. Nutr Rev. 2016;74(3):210–24. </w:t>
      </w:r>
    </w:p>
    <w:p w14:paraId="7773622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Donaldson AIC, Smith TO, Alder S, Johnstone AM, De Roos B, Aucott LS, et al. Effect of nonmeat, high-protein supplementation on quality of life and clinical outcomes in older residents of care homes: a systematic review and meta-analysis. Nutrition Reviews. Oxford Academic. Nutr Rev. 2019;77(2):116–27. </w:t>
      </w:r>
    </w:p>
    <w:p w14:paraId="208A3C6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Kim IY, Deutz NEP, Wolfe RR. Update on maximal anabolic response to dietary protein. Clin Nutr. 2018 Apr 1;37(2):411–8. </w:t>
      </w:r>
    </w:p>
    <w:p w14:paraId="723B1B9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Norton LE, Wilson GJ, Layman DK, Moulton CJ, Garlick PJ. Leucine content of dietary proteins is a determinant of postprandial skeletal muscle protein synthesis in adult rats. Nutr Metab (Lond). 2012;9(1):67. </w:t>
      </w:r>
    </w:p>
    <w:p w14:paraId="609E858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Mitchell WK, Phillips BE, Williams JP, Rankin D, Lund JN, Smith K, et al. A Dose- rather than Delivery Profile–Dependent Mechanism Regulates the “Muscle-Full” Effect in Response to Oral Essential Amino Acid Intake in Young Men. J Nutr. 2015;145(2):207.</w:t>
      </w:r>
    </w:p>
    <w:p w14:paraId="3C76BC2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Gaal S, Kerr MA, Ward M, McNulty H, Livingstone MBE. Breakfast Consumption in the UK: Patterns, Nutrient Intake and Diet Quality. A Study from the International Breakfast Research Initiative Group. Nutrients. 2018;10(8). </w:t>
      </w:r>
    </w:p>
    <w:p w14:paraId="321D120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Hoffman JR, Falvo MJ. Protein – Which is Best? J Sports Sci Med. 2004;3(3):118. /</w:t>
      </w:r>
    </w:p>
    <w:p w14:paraId="2048E1D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Berrazaga I, Micard V, Gueugneau M, Walrand S. The Role of the Anabolic Properties of Plant- versus Animal-Based Protein Sources in Supporting Muscle Mass Maintenance: A Critical Review. Nutrients. 2019;11(8). </w:t>
      </w:r>
    </w:p>
    <w:p w14:paraId="270DE74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Gran P, Larsen AE, Bonham M, Dordevic AL, Rupasinghe T, Silva C, et al. Muscle p70S6K phosphorylation in response to soy and dairy rich meals in middle aged men with metabolic syndrome: A randomised crossover trial. Nutr Metab. 2014;11(1):1–14. </w:t>
      </w:r>
    </w:p>
    <w:p w14:paraId="5B6D67C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Messina M, Lynch H, Dickinson JM, Reed KE. No Difference Between the Effects of Supplementing With Soy Protein Versus Animal Protein on Gains in Muscle Mass and Strength in Response to Resistance Exercise. 2018;28(6):674-685.</w:t>
      </w:r>
    </w:p>
    <w:p w14:paraId="0F331BD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Tang JE, Moore DR, Kujbida GW, Tarnopolsky MA, Phillips SM. Ingestion of whey hydrolysate, casein, or soy protein isolate: Effects on mixed muscle protein synthesis at rest and following resistance exercise in young men. J Appl Physiol. 2009;107(3):987–92. </w:t>
      </w:r>
    </w:p>
    <w:p w14:paraId="36C05CE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Posadzki P, Pieper D, Bajpai R, Makaruk H, Könsgen N, Neuhaus AL, et al. Exercise/physical activity and health outcomes: an overview of Cochrane systematic reviews. BMC Public Health. 2020;20(1):1–12. </w:t>
      </w:r>
    </w:p>
    <w:p w14:paraId="0CB7DFA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Petermann-Rocha F, Chen M, Gray SR, Ho FK, Pell JP, Celis-Morales C. Factors </w:t>
      </w:r>
      <w:r w:rsidRPr="00CA4ABC">
        <w:rPr>
          <w:rFonts w:cstheme="minorHAnsi"/>
          <w:noProof/>
        </w:rPr>
        <w:lastRenderedPageBreak/>
        <w:t xml:space="preserve">associated with sarcopenia: A cross-sectional analysis using UK Biobank. Maturitas. 2020;133:60–7. </w:t>
      </w:r>
    </w:p>
    <w:p w14:paraId="050CFC0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Shur NF, Creedon L, Skirrow S, Atherton PJ, MacDonald IA, Lund J, et al. Age-related changes in muscle architecture and metabolism in humans: The likely contribution of physical inactivity to age-related functional decline. Ageing Res Rev. 2021;68. </w:t>
      </w:r>
    </w:p>
    <w:p w14:paraId="5E2DDFB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Faulkner JA, Davis CS, Mendias CL, Brooks S V. The aging of elite male athletes: age-related changes in performance and skeletal muscle structure and function. Clin J Sport Med. 2008;18(6):501. </w:t>
      </w:r>
    </w:p>
    <w:p w14:paraId="20EBCE9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Makizako H, Nakai Y, Tomioka K, Taniguchi Y, Sato N, Wada A, et al. Effects of a Multicomponent Exercise Program in Physical Function and Muscle Mass in Sarcopenic/Pre-Sarcopenic Adults. J Clin Med. 2020;9(5). </w:t>
      </w:r>
    </w:p>
    <w:p w14:paraId="1161344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Global Recommendations on Physical Activity for Health. Geneva: World Health Organization. WHO Guidelines Approved by the Guidelines Review Committee. 2010.</w:t>
      </w:r>
    </w:p>
    <w:p w14:paraId="59201F5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Bull FC, Al-Ansari SS, Biddle S, Borodulin K, Buman MP, Cardon G, et al. World Health Organization 2020 guidelines on physical activity and sedentary behaviour. Br J Sports Med. 2020;54(24):1451–62.</w:t>
      </w:r>
    </w:p>
    <w:p w14:paraId="405F8E1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Physical Activity Guidelines Resources [Internet] . [cited 2020 Feb 2]. Available from: https://www.acsm.org/education-resources/trending-topics-resources/physical-activity-guidelines/lists/guidelines-resources/physical-activity-guidelines-for-americans-2nd-edition</w:t>
      </w:r>
    </w:p>
    <w:p w14:paraId="2CDA223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Exercise - NHS  [Intenet.} [cited 2020 Feb 3]. Available from: https://www.nhs.uk/live-well/exercise/</w:t>
      </w:r>
    </w:p>
    <w:p w14:paraId="475FF52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Tanaka H, Tarumi T, Rittweger J. Aging and Physiological Lessons from Master Athletes. Compr Physiol. 2019;10(1):261–96. </w:t>
      </w:r>
    </w:p>
    <w:p w14:paraId="474D544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Hirvensalo M, Lintunen T. Life-course perspective for physical activity and sports participation. Eur Rev Aging Phys Act. 2011];8(1):13–22. </w:t>
      </w:r>
    </w:p>
    <w:p w14:paraId="7CA60F1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Aggio D, Papacosta O, Lennon L, Whincup P, Wannamethee G, Jefferis BJ. Association between physical activity levels in mid-life with physical activity in old age: a 20-year tracking study in a prospective cohort. BMJ Open. 2017;7(8):e017378.</w:t>
      </w:r>
    </w:p>
    <w:p w14:paraId="099DB82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Kryger AI, Andersen JL. Resistance training in the oldest old: consequences for muscle strength, fiber types, fiber size, and MHC isoforms. Scand J Med Sci Sports. 2007 Aug 1;17(4):422–30.</w:t>
      </w:r>
    </w:p>
    <w:p w14:paraId="02AE7F1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Damas F, Libardi CA, Ugrinowitsch C. The development of skeletal muscle hypertrophy through resistance training: the role of muscle damage and muscle protein synthesis. Eur J Appl Physiol. 2018;118(3):485–500. </w:t>
      </w:r>
    </w:p>
    <w:p w14:paraId="7B4D934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Biolo G, Maggi SP, Williams BD, Tipton KD, Wolfe RR. Increased rates of muscle protein turnover and amino acid transport after resistance exercise in humans. Am J Physiol  . 1995;268(3 Pt 1). </w:t>
      </w:r>
    </w:p>
    <w:p w14:paraId="6A17FE6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Steele J, Raubold K, Kemmler W, Fisher J, Gentil P, Giessing J. The Effects of 6 Months of Progressive High Effort Resistance Training Methods upon Strength, Body Composition, Function, and Wellbeing of Elderly Adults. Biomed Res Int. 2017;2017:2541090. </w:t>
      </w:r>
    </w:p>
    <w:p w14:paraId="3587D70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Hassan BH, Hewitt J, Keogh JWL, Bermeo S, Duque G, Henwood TR. Impact of resistance training on sarcopenia in nursing care facilities: A pilot study. Geriatr Nurs (Minneap). 2016;37(2):116–21. </w:t>
      </w:r>
    </w:p>
    <w:p w14:paraId="37516CC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Liu CJ, Latham NK. Progressive resistance strength training for improving physical function in older adults. Cochrane Database of Systematic Reviews. 2009; </w:t>
      </w:r>
      <w:r w:rsidRPr="00CA4ABC">
        <w:rPr>
          <w:rFonts w:cstheme="minorHAnsi"/>
          <w:noProof/>
        </w:rPr>
        <w:lastRenderedPageBreak/>
        <w:t>2009(3):CD002759.</w:t>
      </w:r>
    </w:p>
    <w:p w14:paraId="49C604F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Visser M, Pahor M, Taaffe DR, Goodpaster BH, Simonsick EM, Newman AB, et al. Relationship of interleukin-6 and tumor necrosis factor-alpha with muscle mass and muscle strength in elderly men and women: the Health ABC Study. J Gerontol A Biol Sci Med Sci. 2002;57(5). </w:t>
      </w:r>
    </w:p>
    <w:p w14:paraId="4CB8BA2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Kosek DJ, Kim JS, Petrella JK, Cross JM, Bamman MM. Efficacy of 3 days/wk resistance training on myofiber hypertrophy and myogenic mechanisms in young vs. older adults. J Appl Physiol. 2006;101(2):531–44. </w:t>
      </w:r>
    </w:p>
    <w:p w14:paraId="65C9C51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Booth FW, Laye MJ. The future: genes, physical activity and health. Acta Physiol (Oxf)  . 2010 Aug;199(4):549–56. </w:t>
      </w:r>
    </w:p>
    <w:p w14:paraId="089A6D7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Kumar V, Selby A, Rankin D, Patel R, Atherton P, Hildebrandt W, et al. Age-related differences in the dose-response relationship of muscle protein synthesis to resistance exercise in young and old men. J Physiol. 2009;587(1):211–7. </w:t>
      </w:r>
    </w:p>
    <w:p w14:paraId="2766B9A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Fry CS, Drummond MJ, Glynn EL, Dickinson JM, Gundermann DM, Timmerman KL, et al. Aging impairs contraction-induced human skeletal muscle mTORC1 signaling and protein synthesis. Skelet Muscle. 2011;1(1). </w:t>
      </w:r>
    </w:p>
    <w:p w14:paraId="2AED682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Atherton PJ, Smith K. Muscle protein synthesis in response to nutrition and exercise. J Physiol. 2012;590(Pt 5):1049. </w:t>
      </w:r>
    </w:p>
    <w:p w14:paraId="70C17F4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Fragala MS, Cadore EL, Dorgo S, Izquierdo M, Kraemer WJ, Peterson MD, et al. Resistance Training for Older Adults: Position Statement From the National Strength and Conditioning Association. 2019; 33(8):2109-2052.</w:t>
      </w:r>
    </w:p>
    <w:p w14:paraId="4A3BA75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Paulussen KJM, McKenna CF, Beals JW, Wilund KR, Salvador AF, Burd NA. Anabolic Resistance of Muscle Protein Turnover Comes in Various Shapes and Sizes. Front Nutr. 2021;8:115. </w:t>
      </w:r>
    </w:p>
    <w:p w14:paraId="6D8FC6C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Morton RW, Murphy KT, McKellar SR, Schoenfeld BJ, Henselmans M, Helms E, et al. A systematic review, meta-analysis and meta-regression of the effect of protein supplementation on resistance training-induced gains in muscle mass and strength in healthy adults. Br J Sports Med. 2018;52(6):376–84. </w:t>
      </w:r>
    </w:p>
    <w:p w14:paraId="3FCA1BD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Hou L, Lei Y, Li X, Huo C, Jia X, Yang J, et al. Effect of Protein Supplementation Combined With Resistance Training on Muscle Mass, Strength and Function in the Elderly: A Systematic Review and Meta-Analysis. Journal of Nutrition, Health and Aging. Springer-Verlag France; 2019; 23:451–8. </w:t>
      </w:r>
    </w:p>
    <w:p w14:paraId="479A9C4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Liao C De, Chen HC, Huang SW, Liou TH. The role of muscle mass gain following protein supplementation plus exercise therapy in older adults with sarcopenia and frailty risks: A systematic review and meta-regression analysis of randomized trials. Nutrients. MDPI AG; 2019: 11. </w:t>
      </w:r>
    </w:p>
    <w:p w14:paraId="116B6C0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Pennings B, Koopman R, Beelen M, Senden JMG, Saris WHM, Van Loon LJC. Exercising before protein intake allows for greater use of dietary protein-derived amino acids for de novo muscle protein synthesis in both young and elderly men. Am J Clin Nutr  . 2011;93(2):322–31. </w:t>
      </w:r>
    </w:p>
    <w:p w14:paraId="611CF10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Hodson N, West DWD, Philp A, Burd NA, Moore DR. Molecular regulation of human skeletal muscle protein synthesis in response to exercise and nutrients: A compass for overcoming age-related anabolic resistance. Am J Physiol - Cell Physiol. 2019;317(6):C1061–78. </w:t>
      </w:r>
    </w:p>
    <w:p w14:paraId="2E57B698" w14:textId="4812FB6D"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Witard OC, </w:t>
      </w:r>
      <w:r w:rsidR="00B51C37">
        <w:rPr>
          <w:rFonts w:cstheme="minorHAnsi"/>
          <w:noProof/>
        </w:rPr>
        <w:t>Bannock L, Tipto KD</w:t>
      </w:r>
      <w:r w:rsidRPr="00CA4ABC">
        <w:rPr>
          <w:rFonts w:cstheme="minorHAnsi"/>
          <w:noProof/>
        </w:rPr>
        <w:t>.</w:t>
      </w:r>
      <w:r w:rsidR="00B51C37">
        <w:rPr>
          <w:rFonts w:cstheme="minorHAnsi"/>
          <w:noProof/>
        </w:rPr>
        <w:t xml:space="preserve"> Making sense of Muscle Protein Synthesis: A Focus on Muscle Growth During Resistance Training. Int Jour of Sport Nutr and Ex Met; 2021; 32(10): 49-61. </w:t>
      </w:r>
      <w:r w:rsidRPr="00CA4ABC">
        <w:rPr>
          <w:rFonts w:cstheme="minorHAnsi"/>
          <w:noProof/>
        </w:rPr>
        <w:t xml:space="preserve"> </w:t>
      </w:r>
    </w:p>
    <w:p w14:paraId="7604B44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 xml:space="preserve">Balagopal P, Schimke JC, Ades P, Adey D, Nair KS. Age effect on transcript levels and synthesis rate of muscle MHC and response to resistance exercise. Am J Physiol Endocrinol Metab. 2001;280(2). </w:t>
      </w:r>
    </w:p>
    <w:p w14:paraId="2D8486BF" w14:textId="1B4452C0"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Drummond MJ, Dreyer HC, Pennings B, Fry CS, Dhanani S, Dillon EL, et al. Skeletal muscle protein anabolic response to resistance exercise and essential amino acids is delayed with aging. J Appl Physiol. 2008;104(5):1452–61. </w:t>
      </w:r>
    </w:p>
    <w:p w14:paraId="5032128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Roth SM, Ivey FM, Martel GF, Lemmer JT, Hurlbut DE, Siegel EL, et al. Muscle size responses to strength training in young and older men and women. J Am Geriatr Soc  . 2001;49(11):1428–33. </w:t>
      </w:r>
    </w:p>
    <w:p w14:paraId="2BFE517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Holwerda AM, Paulussen KJM, Overkamp M, Goessens JPB, Kramer IF, Wodzig WKWH, et al. Dose-Dependent Increases in Whole-Body Net Protein Balance and Dietary Protein-Derived Amino Acid Incorporation into Myofibrillar Protein During Recovery from Resistance Exercise in Older Men. J Nutr. 2019;149(2):221–30. </w:t>
      </w:r>
    </w:p>
    <w:p w14:paraId="5687019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Symonsi TB, Sheffield-Moore M, Mamerow MM, Wolfe RR, Paddon-Jones D. The anabolic response to resistance exercise and a protein-rich meal is not diminished by age. J Nutr Health Aging. 2011;15(5):376–81. </w:t>
      </w:r>
    </w:p>
    <w:p w14:paraId="1454D7C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ten Haaf DSM, Eijsvogels TMH, Bongers CCWG, Horstman AMH, Timmers S, de Groot LCPGM, et al. Protein supplementation improves lean body mass in physically active older adults: a randomized placebo-controlled trial. J Cachexia Sarcopenia Muscle  . 2019;10(2):298–310. </w:t>
      </w:r>
    </w:p>
    <w:p w14:paraId="15E6793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Reinders I, Visser M, et al. The cost effectiveness of personalized dietary advice to increase protein intake in older adults with lower habitual protein intake: a randomized controlled trial. Eur J Nutr. 2021;61(1):505-520.</w:t>
      </w:r>
    </w:p>
    <w:p w14:paraId="45C4BB8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Morell P, Fiszman S. Revisiting the role of protein-induced satiation and satiety. Food Hydrocoll. 2017;68:199–210. </w:t>
      </w:r>
    </w:p>
    <w:p w14:paraId="275AD24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Astrup A. The satiating power of protein--a key to obesity prevention? Am J Clin Nutr. 2005;82(1):1–2. </w:t>
      </w:r>
    </w:p>
    <w:p w14:paraId="6241DC6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Lennard-Jones JE. Ethical and legal aspects of clinical hydration and nutritional support. BJU Int. 2000 ;85(4):398–403.</w:t>
      </w:r>
    </w:p>
    <w:p w14:paraId="13B09FB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Weigle DS, Breen PA, Matthys CC, Callahan HS, Meeuws KE, Burden VR, et al. A high-protein diet induces sustained reductions in appetite, ad libitum caloric intake, and body weight despite compensatory changes in diurnal plasma leptin and ghrelin concentrations. Am J Clin Nutr. 2005;82(1):41-8.</w:t>
      </w:r>
    </w:p>
    <w:p w14:paraId="79EB78C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Irvine P, Mouzet JB, Marteau C, Sallé A, Genaitay M, Favreau AM, et al. Short-term effect of a protein load on appetite and food intake in diseased mildly undernourished elderly people. Clin Nutr. 2004;23(5):1146–52.</w:t>
      </w:r>
    </w:p>
    <w:p w14:paraId="598579E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Tuttiett ER, Green DJ, Stevenson EJ, Hill TR, Corfe BM, Williams EA. Short-term protein supplementation does not alter energy intake, macronutrient intake and appetite in 50–75 year old adults. Nutrients. 2021;13(5):1711. </w:t>
      </w:r>
    </w:p>
    <w:p w14:paraId="70A3813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Oberoi A, Giezenaar C, Jensen C, Lange K, Hausken T, Jones KL, et al. Acute effects of whey protein on energy intake, appetite and gastric emptying in younger and older, obese men. Nutr Diabetes 2020 101. 2020;10(1):1–9. </w:t>
      </w:r>
    </w:p>
    <w:p w14:paraId="4BA202F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Giezenaar C, Trahair LG, Rigda R, Hutchison AT, Feinle-Bisset C, Luscombe-Marsh ND, et al. Lesser suppression of energy intake by orally ingested whey protein in healthy older men compared with young controls. Am J Physiol Regul Integr Comp Physiol  . 2015;309(8):R845–54. </w:t>
      </w:r>
    </w:p>
    <w:p w14:paraId="21577BB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Landi F, Calvani R, Tosato M, Martone AM, Ortolani E, Savera G, et al. Anorexia of </w:t>
      </w:r>
      <w:r w:rsidRPr="00CA4ABC">
        <w:rPr>
          <w:rFonts w:cstheme="minorHAnsi"/>
          <w:noProof/>
        </w:rPr>
        <w:lastRenderedPageBreak/>
        <w:t>aging: Risk factors, consequences, and potential treatments. Nutrients. 2016;8(2):69.</w:t>
      </w:r>
    </w:p>
    <w:p w14:paraId="3432F79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Campbell M, Fitzpatrick R, Haines A, Kinmonth AL, Sandercock P, Spiegelhalter D, et al. Framework for design and evaluation of complex interventions to improve health. BMJ  Br Med J. 2000;321(7262):694. </w:t>
      </w:r>
    </w:p>
    <w:p w14:paraId="22517EA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Skivington K, Matthews L, Simpson SA, Craig P, Baird J, Blazeby JM, et al. A new framework for developing and evaluating complex interventions: update of Medical Research Council guidance. BMJ. 2021;374. </w:t>
      </w:r>
    </w:p>
    <w:p w14:paraId="2B75816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Craig P, Dieppe P, Macintyre S, Mitchie S, Nazareth I, Petticrew M. Developing and evaluating complex interventions: the new Medical Research Council guidance. BMJ  . 2008;337(7676):979–83.</w:t>
      </w:r>
    </w:p>
    <w:p w14:paraId="55F1012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Vasudevan A, Ford E. Motivational Factors and Barriers Towards Initiating and Maintaining Strength Training in Women: a Systematic Review and Meta-synthesis. Prev Sci. 2022;23(4):674–95. </w:t>
      </w:r>
    </w:p>
    <w:p w14:paraId="19C57D9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Iragorri N, Spackman E. Assessing the value of screening tools: Reviewing the challenges and opportunities of cost-effectiveness analysis. Public Health Rev. 2018;39(1):1–27. </w:t>
      </w:r>
    </w:p>
    <w:p w14:paraId="486F2C6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Rodrigo CP, Fagúndez LJM, Serván PR, Bartrina JA. Screeners and brief assessment methods. Nutr Hosp. 2015;31 Suppl 3:91–8. </w:t>
      </w:r>
    </w:p>
    <w:p w14:paraId="6C07F1A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Serón-Arbeloa C, Labarta-Monzón L, Puzo-Foncillas J, Mallor-Bonet T, Lafita-López A, Bueno-Vidales N, et al. Malnutrition Screening and Assessment. Nutrients. 2022;14(12).</w:t>
      </w:r>
    </w:p>
    <w:p w14:paraId="07CEFD1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Marinos Elia P. THE 'MUST' REPORT Nutritional screening of adults: a multidisciplinary responsibility Executive Summary Chairman of MAG and Editor Advancing Clinical Nutrition. </w:t>
      </w:r>
    </w:p>
    <w:p w14:paraId="2ACF6E3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Hemiö K, Pölönen A, Ahonen K, Kosola M, Viitasalo K, Lindström J. A Simple Tool for Diet Evaluation in Primary Health Care: Validation of a 16-Item Food Intake Questionnaire. Int J Environ Res Public Health. 2014;11(3):2683.</w:t>
      </w:r>
    </w:p>
    <w:p w14:paraId="72C2E85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Shatenstein B, Payette H. Evaluation of the Relative Validity of the Short Diet Questionnaire for Assessing Usual Consumption Frequencies of Selected Nutrients and Foods. Nutrients. 2015;7(8):6362–74.</w:t>
      </w:r>
    </w:p>
    <w:p w14:paraId="3A579D8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Roddam AW, Spencer E, Banks E, Beral V, Reeves G, Appleby P, et al. Reproducibility of a short semi-quantitative food group questionnaire and its performance in estimating nutrient intake compared with a 7-day diet diary in the Million Women Study. Public Health Nutr. 2005;8(2):201–13. </w:t>
      </w:r>
    </w:p>
    <w:p w14:paraId="4E433B1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Khalesi S, Doshi D, Buys N, Sun J. Validation of a short food frequency questionnaire in Australian adults. Int J Food Sci Nutr. 2017;68(3):349–57. </w:t>
      </w:r>
    </w:p>
    <w:p w14:paraId="043F465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Kris-Etherton P, Eissenstat B, Jaax S, Srinath U, Scott L, Rader J, et al. Validation for MEDFICTS, a Dietary Assessment Instrument for Evaluating Adherence to Total and Saturated Fat Recommendations of the National Cholesterol Education Program Step 1 and Step 2 Diets. J Am Diet Assoc. 2001;101(1):81–6. </w:t>
      </w:r>
    </w:p>
    <w:p w14:paraId="0A7A2EA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Van Assema P, Brug J, Ronda G, Steenhuis I. The relative validity of a short Dutch questionnaire as a means to categorize adults and adolescents to total and saturated fat intake. J Hum Nutr Diet. 200114(5):377–90. </w:t>
      </w:r>
    </w:p>
    <w:p w14:paraId="0C5D901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Rohrmann S, Klein G. Development and validation of a short food list to assess the intake of total fat, saturated, mono-unsaturated, polyunsaturated fatty acids and cholesterol. Eur J Public Health. 2003;13(3):262–8.</w:t>
      </w:r>
    </w:p>
    <w:p w14:paraId="7C6DBC1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Taylor AJ, Wong H, Wish K, Carrow J, Bell D, Bindeman J, et al. Validation of the </w:t>
      </w:r>
      <w:r w:rsidRPr="00CA4ABC">
        <w:rPr>
          <w:rFonts w:cstheme="minorHAnsi"/>
          <w:noProof/>
        </w:rPr>
        <w:lastRenderedPageBreak/>
        <w:t xml:space="preserve">MEDFICTS dietary questionnaire: A clinical tool to assess adherence to American Heart Association dietary fat intake guidelines. Nutrition Journal. BioMed Central; 2003; 2 1–6. </w:t>
      </w:r>
    </w:p>
    <w:p w14:paraId="18D684B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Thompson FE, Midthune D, Subar AF, Kipnis V, Kahle LL, Schatzkin A. Development and evaluation of a short instrument to estimate usual dietary intake of percentage energy from fat. J Am Diet Assoc. 2007;107(5):760–7. </w:t>
      </w:r>
    </w:p>
    <w:p w14:paraId="78AF4F8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Thompson FE, Midthune D, Williams GC, Yaroch AL, Hurley TG, Resnicow K, et al. Evaluation of a short dietary assessment instrument for percentage energy from fat in an intervention study. J Nutr. 2008;138(1). </w:t>
      </w:r>
    </w:p>
    <w:p w14:paraId="788BCEF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Mochari H, Gao Q, Mosca L. Validation of the MEDFICTS Dietary Assessment Questionnaire in a Diverse Population. J Am Diet Assoc. 2008;108(5):817–22. </w:t>
      </w:r>
    </w:p>
    <w:p w14:paraId="268F54D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Dickinson KM, Delaney CL, Allan R, Spark I, Miller MD. Validation of a Brief Dietary Assessment Tool for Estimating Dietary EPA and DHA Intake in Australian Adults at Risk of Cardiovascular Disease. J Am Coll Nutr. 2015;34(4):333–9. </w:t>
      </w:r>
    </w:p>
    <w:p w14:paraId="63B75D4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Francis H, Stevenson R. Validity and test-retest reliability of a short dietary questionnaire to assess intake of saturated fat and free sugars: a preliminary study. J Hum Nutr Diet. 2013;26(3):234–42.</w:t>
      </w:r>
    </w:p>
    <w:p w14:paraId="0C815E9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Healey G, Brough L, Murphy R, Hedderley D, Butts C, Coad J. Validity and Reproducibility of a Habitual Dietary Fibre Intake Short Food Frequency Questionnaire. Nutrients. 2016;8(9). </w:t>
      </w:r>
    </w:p>
    <w:p w14:paraId="5A16370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Wijnhoven HAH, Elstgeest LEM, de Vet HCW, Nicolaou M, Snijder MB, Visser M. Development and validation of a short food questionnaire to screen for low protein intake in community-dwelling older adults: The Protein Screener 55+ (Pro55+). PLoS One. 2018;13(5). </w:t>
      </w:r>
    </w:p>
    <w:p w14:paraId="214A94B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Rizzoli R, Biver E, Bonjour JP, Coxam V, Goltzman D, Kanis JA, et al. Benefits and safety of dietary protein for bone health—an expert consensus paper endorsed by the European Society for Clinical and Economical Aspects of Osteopororosis, Osteoarthritis, and Musculoskeletal Diseases and by the International Osteoporosis Foundation. Osteoporosis International. Springer London. 2018;29:1933–48.</w:t>
      </w:r>
    </w:p>
    <w:p w14:paraId="4536E8C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Park YJ, Chung S, Hwang JT, Shon J, Kim E. A review of recent evidence of dietary protein intake and health. Nutr Res Pract. 2022;16(Suppl 1):S37–46. </w:t>
      </w:r>
    </w:p>
    <w:p w14:paraId="668DB12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DAPA Measurement Toolkit  [Internet]. [cited 2022 Aug 24]. Available from: https://dapa-toolkit.mrc.ac.uk/diet/introduction/nutrients-foods-and-diets</w:t>
      </w:r>
    </w:p>
    <w:p w14:paraId="64D2E7B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Block G. Human dietary assessment: Methods and issues. Prev Med (Baltim). 1989;18(5):653–60. </w:t>
      </w:r>
    </w:p>
    <w:p w14:paraId="0A10EFB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Thompson FE, Subar AF. Dietary Assessment Methodology. Nutr Prev Treat Dis. 2017;5–48. </w:t>
      </w:r>
    </w:p>
    <w:p w14:paraId="46C8FFD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Shim J-S, Oh K, Kim HC. Dietary assessment methods in epidemiologic studies. Epidemiol Health. 2014;36:e2014009. </w:t>
      </w:r>
    </w:p>
    <w:p w14:paraId="280BDC6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Cade JE, Warthon-Medina M, Albar S, Alwan NA, Ness A, Roe M, et al. DIET@NET: Best Practice Guidelines for dietary assessment in health research. BMC Med. 2017 ;15(1):1–15. </w:t>
      </w:r>
    </w:p>
    <w:p w14:paraId="6A14556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Dao MC, Subar AF, Warthon-Medina M, Cade JE, Burrows T, Golley RK, et al. Dietary Assessment Toolkits: An Overview. Public Health Nutr. 2019;22(3):404.</w:t>
      </w:r>
    </w:p>
    <w:p w14:paraId="291E454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DAPA Measurement Toolkit  [Internet]. [cited 2022 Aug 24]. Available from: https://dapa-toolkit.mrc.ac.uk/diet-individual-analysis-decision-matrix</w:t>
      </w:r>
    </w:p>
    <w:p w14:paraId="0953EF3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Schatzkin A, Kipnis V, Carroll RJ, Midthune D, Subar AF, Bingham S, et al. A </w:t>
      </w:r>
      <w:r w:rsidRPr="00CA4ABC">
        <w:rPr>
          <w:rFonts w:cstheme="minorHAnsi"/>
          <w:noProof/>
        </w:rPr>
        <w:lastRenderedPageBreak/>
        <w:t>comparison of a food frequency questionnaire with a 24-hour recall for use in an epidemiological cohort study: results from the biomarker-based Observing Protein and Energy Nutrition (OPEN) study. Int J Epidemiol. 2003];32(6):1054–62.</w:t>
      </w:r>
    </w:p>
    <w:p w14:paraId="740BC1B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Bingham SA, Gill C, Welch A, Cassidy A, Runswick SA, Oakes S, et al. Validation of dietary assessment methods in the UK arm of EPIC using weighed records, and 24-hour urinary nitrogen and potassium and serum vitamin C and carotenoids as biomarkers. Int J Epidemiol. 1997 ;26(suppl_1):S137–51. </w:t>
      </w:r>
    </w:p>
    <w:p w14:paraId="0213ECB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DAPA Measurement Toolkit  [Internet]. [cited 2022 Aug 24]. Available from: https://dapa-toolkit.mrc.ac.uk/diet/objective-methods/introduction</w:t>
      </w:r>
    </w:p>
    <w:p w14:paraId="516DE55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Pourhoseingholi MA, Vahedi M, Rahimzadeh M. Sample size calculation in medical studies. Gastroenterol Hepatol From Bed to Bench. 20136(1):14.</w:t>
      </w:r>
    </w:p>
    <w:p w14:paraId="00048D9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Tuttiett ER, Ioannou E, Wijnhoven HAH, Corfe BM, Williams EA. Adaptation and validation of a protein intake screening tool for a UK adult population. J Nutr Sci  . 2022;11:e100. </w:t>
      </w:r>
    </w:p>
    <w:p w14:paraId="49B950F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Parmenter K, Wardle J. Development of a general nutrition knowledge questionnaire for adults. Eur J Clin Nutr. 1999;53(4):298–308. </w:t>
      </w:r>
    </w:p>
    <w:p w14:paraId="656415E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Kliemann N, Wardle J, Johnson F, Croker H. Reliability and validity of a revised version of the General Nutrition Knowledge Questionnaire. Eur J Clin Nutr. 2016;70(10):1174. </w:t>
      </w:r>
    </w:p>
    <w:p w14:paraId="4BA853FF" w14:textId="77777777" w:rsidR="00AA34C2"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Visser M, Hung Y, Verbeke W. Protein knowledge of older adults and identification of subgroups with poor knowledge. Nutrients. 2021;13(3):1–11. </w:t>
      </w:r>
    </w:p>
    <w:p w14:paraId="13AB2FC3" w14:textId="77777777" w:rsidR="00AA34C2" w:rsidRDefault="00AA34C2" w:rsidP="00AA34C2">
      <w:pPr>
        <w:pStyle w:val="ListParagraph"/>
        <w:widowControl w:val="0"/>
        <w:numPr>
          <w:ilvl w:val="0"/>
          <w:numId w:val="39"/>
        </w:numPr>
        <w:autoSpaceDE w:val="0"/>
        <w:autoSpaceDN w:val="0"/>
        <w:adjustRightInd w:val="0"/>
        <w:rPr>
          <w:rFonts w:ascii="Calibri" w:hAnsi="Calibri" w:cs="Calibri"/>
          <w:noProof/>
        </w:rPr>
      </w:pPr>
      <w:r w:rsidRPr="00FE3DBD">
        <w:rPr>
          <w:rFonts w:ascii="Calibri" w:hAnsi="Calibri" w:cs="Calibri"/>
          <w:noProof/>
        </w:rPr>
        <w:t>Charan J, Biswas T. How to Calculate Sample Size for Different Study Designs in Medical Research? Indian J Psychol Med. 2013;35(2):121.</w:t>
      </w:r>
    </w:p>
    <w:p w14:paraId="29540250" w14:textId="77777777" w:rsidR="00AA34C2" w:rsidRPr="00FE3DBD" w:rsidRDefault="00AA34C2" w:rsidP="00AA34C2">
      <w:pPr>
        <w:pStyle w:val="ListParagraph"/>
        <w:widowControl w:val="0"/>
        <w:numPr>
          <w:ilvl w:val="0"/>
          <w:numId w:val="39"/>
        </w:numPr>
        <w:autoSpaceDE w:val="0"/>
        <w:autoSpaceDN w:val="0"/>
        <w:adjustRightInd w:val="0"/>
        <w:rPr>
          <w:rFonts w:ascii="Calibri" w:hAnsi="Calibri" w:cs="Calibri"/>
          <w:noProof/>
        </w:rPr>
      </w:pPr>
      <w:r w:rsidRPr="00821D82">
        <w:rPr>
          <w:rFonts w:ascii="Calibri" w:hAnsi="Calibri" w:cs="Calibri"/>
          <w:noProof/>
        </w:rPr>
        <w:t xml:space="preserve">Morris S, Cater JD, Green MA, Johnstone AM, Brunstrom JM, Stevenson EJ, et al. Inadequacy of protein intake in older UK adults. Geriatr. 2020;5(1). </w:t>
      </w:r>
    </w:p>
    <w:p w14:paraId="16E992E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Mendez MA, Popkin BM, Buckland G, Schroder H, Amiano P, Barricarte A, et al. Alternative Methods of Accounting for Underreporting and Overreporting When Measuring Dietary Intake-Obesity Relations. Am J Epidemiol. 2011;173(4):448. </w:t>
      </w:r>
    </w:p>
    <w:p w14:paraId="19B65C1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McCrory MA, Hajduk CL, Roberts SB. Procedures for screening out inaccurate reports of dietary energy intake. Public Health Nutr. 2002 5(6A):873–82.</w:t>
      </w:r>
    </w:p>
    <w:p w14:paraId="03F8084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Rhee JJ, Sampson L, Cho E, Hughes MD, Hu FB, Willett WC. Comparison of Methods to Account for Implausible Reporting of Energy Intake in Epidemiologic Studies. Am J Epidemiol. 2015;181(4):225. </w:t>
      </w:r>
    </w:p>
    <w:p w14:paraId="5D62FD9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Black AE. The sensitivity and specificity of the Goldberg cut-off for EI:BMR for identifying diet reports of poor validity. Eur J Clin Nutr. 2000;54(5):395–404. </w:t>
      </w:r>
    </w:p>
    <w:p w14:paraId="39A7434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Goldbergy GR, Black AE, et al. Critical evaluation of energy intake data using fundamental principles of energy physiology: 1. Derivation of cut-off limits to identify under-recording. Eur J Clin Nutr. 1991;45:569–81. </w:t>
      </w:r>
    </w:p>
    <w:p w14:paraId="60CBCD5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Grzybowski M, Younger JG. Statistical methodology: III. Receiver operating characteristic (ROC) curves. Acad Emerg Med. 1997;4(8):818–26. </w:t>
      </w:r>
    </w:p>
    <w:p w14:paraId="059122F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Schatzkin A, Kipnis V, Carroll RJ, Midthune D, Subar AF, Bingham S, et al. A comparison of a food frequency questionnaire with a 24-hour recall for use in an epidemiological cohort study: results from the biomarker-based Observing Protein and Energy Nutrition (OPEN) study. Int J Epidemiol. 2003;32(6):1054–62.</w:t>
      </w:r>
    </w:p>
    <w:p w14:paraId="2BF7964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Sabir Z, Rosendahl-Riise H, Dierkes J, Dahl H, Hjartåker A. Comparison of dietary intake measured by a web-based FFQ and repeated 24-hour dietary recalls: the Hordaland Health Study. J Nutr Sci. 2022;11:e98.</w:t>
      </w:r>
    </w:p>
    <w:p w14:paraId="544D0A3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 xml:space="preserve">Medin AC, Carlsen MH, Hambly C, Speakman JR, Strohmaier S, Andersen LF. The validity of a web-based FFQ assessed by doubly labelled water and multiple 24-h recalls. Br J Nutr. 2017;118(12):1106–17. </w:t>
      </w:r>
    </w:p>
    <w:p w14:paraId="2A8ECE4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Subar AF, Kipnis V, Troiano RP, Midthune D, Schoeller DA, Bingham S, et al. Using Intake Biomarkers to Evaluate the Extent of Dietary Misreporting in a Large Sample of Adults: The OPEN Study. Am J Epidemiol. 2003;158(1):1–13.</w:t>
      </w:r>
    </w:p>
    <w:p w14:paraId="438D61C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Banna JC, Fialkowski MK, Townsend MS. Misreporting of Dietary Intake Affects Estimated Nutrient Intakes in Low-Income Spanish-Speaking Women. J Acad Nutr Diet. 2015;115(7):1124.</w:t>
      </w:r>
    </w:p>
    <w:p w14:paraId="21EBCD4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Livingstone MBE, Black AE. Markers of the validity of reported energy intake. J Nutr  . 2003;133 Suppl 3(3 SUPPL.). </w:t>
      </w:r>
    </w:p>
    <w:p w14:paraId="6E2FF8E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Jessri M, Lou WY, L’abbé MR. Evaluation of different methods to handle misreporting in obesity research: evidence from the Canadian national nutrition survey. 2015; </w:t>
      </w:r>
    </w:p>
    <w:p w14:paraId="416CD8B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Huang TTK, Roberts SB, Howarth NC, McCrory MA. Effect of screening out implausible energy intake reports on relationships between diet and BMI. Obes Res. 2005;13(7):1205–17. </w:t>
      </w:r>
    </w:p>
    <w:p w14:paraId="07C3994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Murakami K, Livingstone MBE. Prevalence and characteristics of misreporting of energy intake in US adults: NHANES 2003-2012. Br J Nutr. 2015;114(8):1294–303. </w:t>
      </w:r>
    </w:p>
    <w:p w14:paraId="75DB679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Hunty A de la, Buttriss J, Draper J, Roche H, Levey G, Florescu A, et al. UK Nutrition Research Partnership (NRP) workshop: Forum on advancing dietary intake assessment. Nutr Bull. 2021;46(2):228–37. </w:t>
      </w:r>
    </w:p>
    <w:p w14:paraId="7D2129C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Black AE. Critical evaluation of energy intake using the Goldberg cut-off for energy intake:basal metabolic rate. A practical guide to its calculation, use and limitations. Int J Obes Relat Metab Disord. 2000;24(9):1119–30. </w:t>
      </w:r>
    </w:p>
    <w:p w14:paraId="7C4C73C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Colditz GA, Manson JE, Hankinson SE. The Nurses’ Health Study: 20-year contribution to the understanding of health among women. J women’s Heal. 1997;6(1):49–62. </w:t>
      </w:r>
    </w:p>
    <w:p w14:paraId="1C01C9C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Lafay L, Mennen L, Basdevant A, Charles MA, Borys JM, Eschwège E, et al. Does energy intake underreporting involve all kinds of food or only specific food items? Results from the Fleurbaix Laventie Ville Santé (FLVS) study. Int J Obes Relat Metab Disord. 2000;24(11):1500–6. </w:t>
      </w:r>
    </w:p>
    <w:p w14:paraId="0BA7556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Tomé D, Dubarry M, Fromentin G. Nutritional Value of Milk and Meat Products Derived from Cloning. Liebert Inc. 2004;6(2):172–7. </w:t>
      </w:r>
    </w:p>
    <w:p w14:paraId="2D831B8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Heyssel RM, Bozian RC, Darby WJ, Bell MC. Vitamin B12 turnover in man. The assimilation of vitamin B12 from natural foodstuff by man and estimates of minimal daily dietary requirements. Am J Clin Nutr. 1966;18(3):176–84. </w:t>
      </w:r>
    </w:p>
    <w:p w14:paraId="19C46AE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O’Leary F, Samman S. Vitamin B12 in Health and Disease. Nutrients. 2010;2(3):299. </w:t>
      </w:r>
    </w:p>
    <w:p w14:paraId="1F45FDB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Tuttle LJ, Sinacore DR, Mueller MJ. Intermuscular adipose tissue is muscle specific and associated with poor functional performance. J Aging Res. 2012; 2012:172957.</w:t>
      </w:r>
    </w:p>
    <w:p w14:paraId="5B23B24B" w14:textId="77777777" w:rsidR="00AA34C2"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Derbyshire E. Micronutrient Intakes of British Adults Across Mid-Life: A Secondary Analysis of the UK National Diet and Nutrition Survey. Front Nutr. 2018;5:55. </w:t>
      </w:r>
    </w:p>
    <w:p w14:paraId="037BCC6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821D82">
        <w:rPr>
          <w:rFonts w:ascii="Calibri" w:hAnsi="Calibri" w:cs="Calibri"/>
          <w:noProof/>
        </w:rPr>
        <w:t>Lo</w:t>
      </w:r>
      <w:r w:rsidRPr="00FE3DBD">
        <w:rPr>
          <w:rFonts w:cstheme="minorHAnsi"/>
          <w:noProof/>
        </w:rPr>
        <w:t>chlainn MN, Bowyer RCE, Welch AA, Whelan K, Steves CJ. Higher dietary protein intake is associated with sarcopenia in older British twins. Age Ageing. 2023;1: 52(2)</w:t>
      </w:r>
      <w:r w:rsidRPr="00FE3DBD">
        <w:rPr>
          <w:rFonts w:cstheme="minorHAnsi"/>
          <w:color w:val="212121"/>
          <w:shd w:val="clear" w:color="auto" w:fill="FFFFFF"/>
        </w:rPr>
        <w:t xml:space="preserve"> afad018.</w:t>
      </w:r>
    </w:p>
    <w:p w14:paraId="3F5D472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Lonnie M, Hooker E, Brunstrom JM, Corfe BM, Green MA, Watson AW, et al. Protein for life: Review of optimal protein intake, sustainable dietary sources and the effect on appetite in ageing adults. Nutrients. MDPI AG; 2018; 10(3): 360.</w:t>
      </w:r>
    </w:p>
    <w:p w14:paraId="787EDAA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Kiesswetter E, Siebentritt HM, Schoene D, Kob R, Freiberger E, Sieber CC, et al. Validation of the German version of the Protein Screener 55+. Eur J Clin Nutr. 2023.</w:t>
      </w:r>
    </w:p>
    <w:p w14:paraId="35967FA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Krok-Schoen JL, Archdeacon Price A, Luo M, Kelly OJ, Taylor CA. Low Dietary Protein Intakes and Associated Dietary Patterns and Functional Limitations in an Aging Population: A NHANES Analysis. J Nutr Heal Aging. 2019; 23(4):338-347.</w:t>
      </w:r>
    </w:p>
    <w:p w14:paraId="69ABD47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Leng G, Adan RAH, Belot M, Brunstrom JM, De Graaf K, Dickson SL, et al. The determinants of food choice. Proc Nutr Soc. 2017;76(3):316–27. </w:t>
      </w:r>
    </w:p>
    <w:p w14:paraId="0002351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Hwalla N, Al Dhaheri AS, Radwan H, Alfawaz HA, Fouda MA, Al-Daghri NM, et al. The Prevalence of Micronutrient Deficiencies and  Inadequacies in the Middle East and Approaches to  Interventions. Nutr 2017, Vol 9, Page 229. 2017; 9(3):229. </w:t>
      </w:r>
    </w:p>
    <w:p w14:paraId="6FBC849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Shepherd R. Social determinants of food choice. Proc Nutr Soc. 1999;58(4):807–12.</w:t>
      </w:r>
    </w:p>
    <w:p w14:paraId="2E381DC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Parmenter K, Waller J, Wardle J. Demographic variation in nutrition knowledge in England. Health Educ Res. 2000;15(2):163–74.</w:t>
      </w:r>
    </w:p>
    <w:p w14:paraId="39DC340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Spronk I, Kullen C, Burdon C, O’Connor H. Relationship between nutrition knowledge and dietary intake. Br J Nutr. 2014;111(10):1713–26. </w:t>
      </w:r>
    </w:p>
    <w:p w14:paraId="4FC5330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Trakman GL, Forsyth A, Hoye R, Belski R. Developing and validating a nutrition knowledge questionnaire: key methods and considerations. Public Health Nutr. 2017;20(15):2670–9.</w:t>
      </w:r>
    </w:p>
    <w:p w14:paraId="5B448E9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Whitehouse G, Lawlis T. Protein supplements and adolescent athletes: A pilot study investigating the risk knowledge, motivations and prevalence of use. Nutr Diet. 201;74(5):509–15. </w:t>
      </w:r>
    </w:p>
    <w:p w14:paraId="701FA71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Ackerman P, Warren C, Miketinas D. Construct Validity of a Dietary Protein Assessment Questionnaire to Explore College Students’ Attitudes Towards Dietary Protein. 2020;84554139.</w:t>
      </w:r>
    </w:p>
    <w:p w14:paraId="09596AC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Neumann BL, Baum JI. Assessment of Attitudes, Preferences and Knowledge Regarding Dietary Protein Consumption and Health. FASEB J. 2016;30:1164.6-1164.6.</w:t>
      </w:r>
    </w:p>
    <w:p w14:paraId="46623D4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Enriquez JP, Archila-Godinez JC. Social and cultural influences on food choices: A review. 2021;62(13):3698-3704.</w:t>
      </w:r>
    </w:p>
    <w:p w14:paraId="41D545E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Michie S, van Stralen MM, West R. The behaviour change wheel: A new method for characterising and designing behaviour change interventions. Implement Sci  . 2011;6(1):1–12. </w:t>
      </w:r>
    </w:p>
    <w:p w14:paraId="2DE76D7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Nutrition claims  [Internet.] [cited 2022 Sep 12]. Available from: https://food.ec.europa.eu/safety/labelling-and-nutrition/nutrition-and-health-claims/nutrition-claims_en</w:t>
      </w:r>
    </w:p>
    <w:p w14:paraId="225FFB3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American College of Sports Medicine position stand. Progression models in resistance training for healthy adults. Med Sci Sports Exerc.2009;41(3):687–708. </w:t>
      </w:r>
    </w:p>
    <w:p w14:paraId="573596F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Public Health England. National Diet and Nutrition Survey. Results from years 7 and 8 (combined). London. Public Health England. London; 2018;2–26. </w:t>
      </w:r>
    </w:p>
    <w:p w14:paraId="3DEE6D9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Smeuninx B, Greig CA, Breen L. Amount, Source and Pattern of Dietary Protein Intake Across the Adult Lifespan: A Cross-Sectional Study. Front Nutr. 2020;7:25. </w:t>
      </w:r>
    </w:p>
    <w:p w14:paraId="7EEEC8C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Carstensen LL, Hartel CR. Motivation and Behavioral Change. National Research Council (US) Committee on Aging Frontiers in SocialPsychology P and ADP. 2006.</w:t>
      </w:r>
    </w:p>
    <w:p w14:paraId="2998E6A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Whitelock E, Ensaff H. On Your Own: Older Adults’ Food Choice and Dietary Habits. Nutr. 2018;10(4):413. </w:t>
      </w:r>
    </w:p>
    <w:p w14:paraId="69D5CB1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Smith L, Tully M, Jacob L, Blackburn N, Adlakha D, Caserotti P, et al. The Association Between Sedentary Behavior and Sarcopenia Among Adults Aged ≥65 Years in Low- and Middle-Income Countries. Int J Environ Res Public Health. 2020;17(5):1708. </w:t>
      </w:r>
    </w:p>
    <w:p w14:paraId="49DE230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Aparicio-Ugarriza R, Luzardo-Socorro R, Palacios G, Bibiloni MM, Argelich E, Tur JA, et al. What is the relationship between physical fitness level and macro- and micronutrient intake in Spanish older adults? Eur J Nutr. 2019;58(4):1579–90.</w:t>
      </w:r>
    </w:p>
    <w:p w14:paraId="69F38BC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Phillips SM, van Loon LJC. Dietary protein for athletes: from requirements to optimum adaptation. J Sports Sci. 2011;29 Suppl 1(SUPPL. 1).</w:t>
      </w:r>
    </w:p>
    <w:p w14:paraId="3F472EC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Schmidt JA, Rinaldi S, Scalbert A, Ferrari P, Achaintre D, Gunter MJ, et al. Plasma concentrations and intakes of amino acids in male meat-eaters, fish-eaters, vegetarians and vegans: a cross-sectional analysis in the EPIC-Oxford cohort. Eur J Clin Nutr. 2016;70(3):306. </w:t>
      </w:r>
    </w:p>
    <w:p w14:paraId="28D9A8E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Tang JE, Moore DR, Kujbida GW, Tarnopolsky MA, Phillips SM. Ingestion of whey hydrolysate, casein, or soy protein isolate: effects on mixed muscle protein synthesis at rest and following resistance exercise in young men. J Appl Physiol  . 2009 Sep [cited 2019 Jul 18];107(3):987–92. </w:t>
      </w:r>
    </w:p>
    <w:p w14:paraId="4131C3B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Gorissen SHM, Witard OC. Characterising the muscle anabolic potential of dairy, meat and plant-based protein sources in older adults. Proc Nutr Soc. 2018;77(1):20–31. </w:t>
      </w:r>
    </w:p>
    <w:p w14:paraId="2D2E31D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Wilkinson DJ, Hossain T, Hill DS, Phillips BE, Crossland H, Williams J, et al. Effects of leucine and its metabolite β-hydroxy-β-methylbutyrate on human skeletal muscle protein metabolism. J Physiol. 2013;591(11):2911–23. </w:t>
      </w:r>
    </w:p>
    <w:p w14:paraId="603B410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Breen L, Phillips SM. Skeletal muscle protein metabolism in the elderly: Interventions to counteract the “anabolic resistance” of ageing. Nutr Metab. 2011;9(68)</w:t>
      </w:r>
    </w:p>
    <w:p w14:paraId="5C3A724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Get portion wise! - British Nutrition Foundation  [Internet]. [cited 2022 Nov 14]. Available from: https://www.nutrition.org.uk/putting-it-into-practice/balancing-the-diet/get-portion-wise/</w:t>
      </w:r>
    </w:p>
    <w:p w14:paraId="493FB5C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The Eatwell Guide - NHS  [Internet]. [cited 2022 Dec 19]. Available from: https://www.nhs.uk/live-well/eat-well/food-guidelines-and-food-labels/the-eatwell-guide/</w:t>
      </w:r>
    </w:p>
    <w:p w14:paraId="2C2CBFC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Cardon-Thomas DK, Riviere T, Tieges Z, Greig CA. Dietary Protein in Older Adults: Adequate Daily Intake but Potential for Improved Distribution. Nutrients. 2017;9(3). </w:t>
      </w:r>
    </w:p>
    <w:p w14:paraId="4BC4EE4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Almoosawi S, Winter J, Prynne CJ, Hardy R, Stephen AM. Daily profiles of energy and nutrient intakes: are eating profiles changing over time? Eur J Clin Nutr. 2012;66(6):678–86.</w:t>
      </w:r>
    </w:p>
    <w:p w14:paraId="5CF62F9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Mamerow MM, Mettler JA, English KL, Casperson SL, Arentson-Lantz E, Sheffield-Moore M, et al. Dietary Protein Distribution Positively Influences 24-h Muscle Protein Synthesis in Healthy Adults. J Nutr. 2014;144(6):876. </w:t>
      </w:r>
    </w:p>
    <w:p w14:paraId="6B8BF80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Verreijen AM, van den Helder J, Streppel MT, Rotteveel I, Heman D, van Dronkelaar C, et al. A higher protein intake at breakfast and lunch is associated with a higher total daily protein intake in older adults: a post‐hoc cross‐sectional analysis of four randomised controlled trials. J Hum Nutr Diet. 2021;34(2):384. </w:t>
      </w:r>
    </w:p>
    <w:p w14:paraId="73B8599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Yasuda J, Tomita T, Arimitsu T, Fujita S. Evenly Distributed Protein Intake over 3 Meals Augments Resistance Exercise–Induced Muscle Hypertrophy in Healthy Young Men. J Nutr. 2020;150(7):1845–51. </w:t>
      </w:r>
    </w:p>
    <w:p w14:paraId="0252300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Mishra S, Goldman JD, Sahyoun NR, Moshfegh AJ. Association between dietary protein intake and grip strength among adults aged 51 years and over: What We Eat in America, National Health and Nutrition Examination Survey 2011-2014. PLoS One. 2018;13(1). </w:t>
      </w:r>
    </w:p>
    <w:p w14:paraId="260A4B1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Hudson JL, Bergia RE, Campbell WW. Protein Distribution and Muscle-Related </w:t>
      </w:r>
      <w:r w:rsidRPr="00CA4ABC">
        <w:rPr>
          <w:rFonts w:cstheme="minorHAnsi"/>
          <w:noProof/>
        </w:rPr>
        <w:lastRenderedPageBreak/>
        <w:t>Outcomes: Does the Evidence Support the Concept? Nutrients . 2020;12(5).</w:t>
      </w:r>
    </w:p>
    <w:p w14:paraId="73EFD8E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Pearson N, Naylor PJ, Ashe MC, Fernandez M, Yoong SL, Wolfenden L. Guidance for conducting feasibility and pilot studies for implementation trials. Pilot Feasibility Stud  . 2020 Dec 1 [cited 2022 Nov 1];6(1):1–12. Available from: https://pilotfeasibilitystudies.biomedcentral.com/articles/10.1186/s40814-020-00634-w</w:t>
      </w:r>
    </w:p>
    <w:p w14:paraId="5360BFB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Infurna FJ, Gerstorf D, Lachman ME. Midlife in the 2020s: Opportunities and Challenges. Am Psychol  . 2020 May 1 [cited 2022 Dec 20];75(4):470. Available from: /pmc/articles/PMC7347230/</w:t>
      </w:r>
    </w:p>
    <w:p w14:paraId="41A82A3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Prime Minister’s statement on coronavirus (COVID-19): 23 March 2020 - GOV.UK  . [cited 2021 Jun 2]. Available from: https://www.gov.uk/government/speeches/pm-address-to-the-nation-on-coronavirus-23-march-2020</w:t>
      </w:r>
    </w:p>
    <w:p w14:paraId="6B67A20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Active Lives Adult Survey Coronavirus (Covid-19) Report. 2020; </w:t>
      </w:r>
    </w:p>
    <w:p w14:paraId="01BF7C3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Cronshaw S. Web workouts and consumer well-being: The role of digital-physical activity during the UK COVID-19 lockdown. J Consum Aff. 2022 Mar 1;56(1):449–64. </w:t>
      </w:r>
    </w:p>
    <w:p w14:paraId="2A0C770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Stockwell S, Trott M, Tully M, Shin J, Barnett Y, Butler L, et al. Changes in physical activity and sedentary behaviours from before to during the COVID-19 pandemic lockdown: a systematic review. BMJ Open Sport Exerc Med. 2021;7(1):e000960.</w:t>
      </w:r>
    </w:p>
    <w:p w14:paraId="3B3F6B3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Overcoming Barriers to Physical Activity. Physical Activity. CDC [Internet]. [cited 2022 Nov 1].</w:t>
      </w:r>
    </w:p>
    <w:p w14:paraId="0AFFF5E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Eldridge SM, Lancaster GA, Campbell MJ, Thabane L, Hopewell S, Coleman CL, et al. Defining Feasibility and Pilot Studies in Preparation for Randomised Controlled Trials: Development of a Conceptual Framework. 2016; 11(3):e0150205.</w:t>
      </w:r>
    </w:p>
    <w:p w14:paraId="1889036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Lopes JSS, Machado AF, Micheletti JK, de Almeida AC, Cavina AP, Pastre CM. Effects of training with elastic resistance versus conventional resistance on muscular strength: A systematic review and meta-analysis. SAGE Open Med. 2019;7:205031211983111. </w:t>
      </w:r>
    </w:p>
    <w:p w14:paraId="5B5506A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Gibson AL, Wagner DR, Heyward VH. Assessing Balance and Designing Balance Programs. In: Advanced fitness assessment and exercise prescription. 2019;349–73. </w:t>
      </w:r>
    </w:p>
    <w:p w14:paraId="67EDD66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Gillespie LD, Robertson MC, Gillespie WJ, Sherrington C, Gates S, Clemson LM, et al. Interventions for preventing falls in older people living in the community. Cochrane Database Syst Rev. 2012;2012(9).</w:t>
      </w:r>
    </w:p>
    <w:p w14:paraId="2A4789D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Berner LA, Becker G, Wise M, Doi J. Characterization of dietary protein among older adults in the United States: amount, animal sources, and meal patterns. J Acad Nutr Diet. 2013;113(6):809–15. </w:t>
      </w:r>
    </w:p>
    <w:p w14:paraId="15807F3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List of ethnic groups - GOV.UK [Internet]. [cited 2022 Jan 20]. Available from: https://www.ethnicity-facts-figures.service.gov.uk/style-guide/ethnic-groups</w:t>
      </w:r>
    </w:p>
    <w:p w14:paraId="7D9DF11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Clinical Assessment Recommendations | American Society of Hand Therapists (ASHT)  [Internet]. [cited 2022 Nov 1]. Available from: https://asht.org/practice/clinical-assessment-recommendations</w:t>
      </w:r>
    </w:p>
    <w:p w14:paraId="2F38015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Klavora P. Vertical-jump Tests: A Critical Review : Strength &amp; Conditioning Journal. 2000; 22(5):70.</w:t>
      </w:r>
    </w:p>
    <w:p w14:paraId="129725D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Bergquist R, Weber M, Schwenk M, Ulseth S, Helbostad JL, Vereijken B, et al. Performance-based clinical tests of balance and muscle strength used in young seniors: A systematic literature review. BMC Geriatr. 2019 Jan 9;19(1). </w:t>
      </w:r>
    </w:p>
    <w:p w14:paraId="4B928EE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Nelson M. Food portion sizes : a photographic atlas. London: MAFF Publications; 1997. </w:t>
      </w:r>
    </w:p>
    <w:p w14:paraId="508114C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 xml:space="preserve">Flint A, Raben A, Blundell JE, Astrup A. Reproducibility, power and validity of visual analogue scales in assessment of appetite sensations in single test meal studies. Int J Obes. 2000;24(1):38–48. </w:t>
      </w:r>
    </w:p>
    <w:p w14:paraId="0307D0F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Braun V, Clarke V. Reflecting on reflexive thematic analysis. 2019;11(4):589–97. </w:t>
      </w:r>
    </w:p>
    <w:p w14:paraId="5DE975E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Braun, Virginia; Clarke V. Theamtic Analysis: A Practical Guide. Sage Publications. 2021; 22(2).</w:t>
      </w:r>
    </w:p>
    <w:p w14:paraId="605D837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Gillen MM. Associations between positive body image and indicators of men’s and women’s mental and physical health. Body Image. 2015;13:67–74. </w:t>
      </w:r>
    </w:p>
    <w:p w14:paraId="7E88C3C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Koh YS, Asharani P V., Devi F, Roystonn K, Wang P, Vaingankar JA, et al. A cross-sectional study on the perceived barriers to physical activity and their associations with domain-specific physical activity and sedentary behaviour. BMC Public Health  . 2022;22(1):1–11. </w:t>
      </w:r>
    </w:p>
    <w:p w14:paraId="5FCB331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The Lancet Haematology. Equal opportunities for clinical trial participation. Lancet Haematol. 2021;8(8):e535. </w:t>
      </w:r>
    </w:p>
    <w:p w14:paraId="11748B3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Stavric V, Kayes NM, Rashid U, Saywell NL. The Effectiveness of Self-Guided Digital Interventions to Improve Physical Activity and Exercise Outcomes for People With Chronic Conditions: A Systematic Review and Meta-Analysis. Front Rehabil Sci. 2022 Jun 24;3:120. </w:t>
      </w:r>
    </w:p>
    <w:p w14:paraId="3F0DB93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Lang S, McLelland C, MacDonald D, Hamilton DF. Do digital interventions increase adherence to home exercise rehabilitation? A systematic review of randomised controlled trials. Arch Physiother. 2022;12(1):1–12. </w:t>
      </w:r>
    </w:p>
    <w:p w14:paraId="0C872C9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Vikberg S, Björk S, Nordström A, Nordström P, Hult A. Feasibility of an Online Delivered, Home-Based Resistance Training Program for Older Adults – A Mixed Methods Approach. Front Psychol. 2022;13:3075. </w:t>
      </w:r>
    </w:p>
    <w:p w14:paraId="38C6DD9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Herrema AL, Westerman MJ, Dongen EVJI, Kudla U, Veltkamp M. Combined Protein-Rich Diet With Resistance Exercise Intervention to Counteract Sarcopenia: A Qualitative Study on Drivers and Barriers of Compliance. J Aging Phys Act. 2018;26(1):106–13. </w:t>
      </w:r>
    </w:p>
    <w:p w14:paraId="402F0AC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Pittaoulis A, Phillips E. Can oral supplementation with a collagen-casein-based liquid protein improve serum albumin levels in hemodialysis patients? Dial Transplant. 2007;36(5):258–65. </w:t>
      </w:r>
    </w:p>
    <w:p w14:paraId="67BD148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Picetti D, Foster S, Pangle A, Scrader A, Wei JY, Azhar G. Knowledge and consumption of protein in older adults: Opportunity for improvement. International Journal of Development Research (IJDR). 2017;7</w:t>
      </w:r>
    </w:p>
    <w:p w14:paraId="5BC8C37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Quashie NT, Wagner M, Verbakel E, Deindl · Christian. Socioeconomic differences in informal caregiving in Europe. Eur J Ageing. 2022;19:621–32.</w:t>
      </w:r>
    </w:p>
    <w:p w14:paraId="3FFFE9A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Picorelli AMA, Pereira LSM, Pereira DS, Felício D, Sherrington C. Adherence to exercise programs for older people is influenced by program characteristics and personal factors: A systematic review. J Physiother. 2014;60(3):151–6. </w:t>
      </w:r>
    </w:p>
    <w:p w14:paraId="57B3665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Hecksteden A, Faude O, Meyer T, Donath L. How to Construct, Conduct and Analyze an Exercise Training Study? Front Physiol. 2018 Jul 26;9(JUL). </w:t>
      </w:r>
    </w:p>
    <w:p w14:paraId="1869D3B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Batterham AM, Atkinson G. How big does my sample need to be? A primer on the murky world of sample size estimation. Phys Ther Sport. 2005;6(3):153–63. </w:t>
      </w:r>
    </w:p>
    <w:p w14:paraId="2EEB476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Kelly L, Harrison M, Richardson N, Carroll P, Robertson S, Keohane A, et al. Reaching beyond the ‘worried well’: pre-adoption characteristics of participants in ‘Men on the Move’, a community-based physical activity programme. J Public Health. 2019;41(2):e192–202. </w:t>
      </w:r>
    </w:p>
    <w:p w14:paraId="132012C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 xml:space="preserve">Armstrong RB. Mechanisms of exercise-induced delayed onset muscular soreness: A brief review. Med Sci Sports Exerc. 1984;16(6):529–38. </w:t>
      </w:r>
    </w:p>
    <w:p w14:paraId="507DA25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Delayed Onset Muscle Soreness (DOMS). 2011 [Internet[ [cited 2022 Nov 1]; Available from: www.acsm.org.</w:t>
      </w:r>
    </w:p>
    <w:p w14:paraId="7EC94D4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Thorp AA, Owen N, Neuhaus M, Dunstan DW. Sedentary behaviors and subsequent health outcomes in adults a systematic review of longitudinal studies, 1996-2011. Am J Prev Med. 2011;41(2):207–15. </w:t>
      </w:r>
    </w:p>
    <w:p w14:paraId="0BA671B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Wilmot EG, Edwardson CL, Achana FA, Davies MJ, Gorely T, Gray LJ, et al. Sedentary time in adults and the association with diabetes, cardiovascular disease and death: systematic review and meta-analysis. Diabetologia. 2012;55(11):2895–905. </w:t>
      </w:r>
    </w:p>
    <w:p w14:paraId="0B643F2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Gillison FB, Skevington SM, Sato A, Standage M, Evangelidou S. The effects of exercise interventions on quality of life in clinical and healthy populations; a meta-analysis. Soc Sci Med. 2009;68(9):1700–10. </w:t>
      </w:r>
    </w:p>
    <w:p w14:paraId="1FD6DF2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Henwood T, Tuckett A, Edelstein O, Bartlett H. Exercise in later life: The older adults’ perspective about resistance training. Ageing Soc. 2011;31(8):1330–49. </w:t>
      </w:r>
    </w:p>
    <w:p w14:paraId="113BD94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Bethancourt HJ, Rosenberg DE, Beatty T, Arterburn DE. Barriers to and Facilitators of Physical Activity Program Use Among Older Adults. Clin Med Res. 2014;12(1–2):10. </w:t>
      </w:r>
    </w:p>
    <w:p w14:paraId="400B20C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Wienke B, Jekauc D. A Qualitative Analysis of Emotional Facilitators in Exercise. Front Psychol. 2016;7:1296.</w:t>
      </w:r>
    </w:p>
    <w:p w14:paraId="05F6588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Bergquist R, Iversen VM, Mork PJ, Fimland MS. Muscle Activity in Upper-Body Single-Joint Resistance Exercises with Elastic Resistance Bands vs. Free Weights. J Hum Kinet. 2018;61(1):5.</w:t>
      </w:r>
    </w:p>
    <w:p w14:paraId="56AEF6C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Blocquiaux S, Gorski T, Van Roie E, Ramaekers M, Van Thienen R, Nielens H, et al. The effect of resistance training, detraining and retraining on muscle strength and power, myofibre size, satellite cells and myonuclei in older men. Exp Gerontol. 2020;133:110860. </w:t>
      </w:r>
    </w:p>
    <w:p w14:paraId="113E11E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Sansano-Nadal O, Giné-Garriga M, Brach JS, Wert DM, Jerez-Roig J, Guerra-Balic M, et al. Exercise-Based Interventions to Enhance Long-Term Sustainability of Physical Activity in Older Adults: A Systematic Review and Meta-Analysis of Randomized Clinical Trials. Int J Environ Res Public Health. 2019;16(14):2527. </w:t>
      </w:r>
    </w:p>
    <w:p w14:paraId="15427E9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Hughes DC, Ellefsen S, Baar K. Adaptations to Endurance and Strength Training. Cold Spring Harb Perspect Med. 2018;8(6). </w:t>
      </w:r>
    </w:p>
    <w:p w14:paraId="32FEA03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Brook MS, Wilkinson DJ, Mitchell WK, Lund JN, Szewczyk NJ, Greenhaff PL, et al. Skeletal muscle hypertrophy adaptations predominate in the early stages of resistance exercise training, matching deuterium oxide-derived measures of muscle protein synthesis and mechanistic target of rapamycin complex 1 signaling. FASEB J. 2015;29(11):4485–96.</w:t>
      </w:r>
    </w:p>
    <w:p w14:paraId="6D54935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Coetsee C, Terblanche E. The time course of changes induced by resistance training and detraining on muscular and physical function in older adults. Eur Rev Aging Phys Act. 2015;12(1).</w:t>
      </w:r>
    </w:p>
    <w:p w14:paraId="60A5C0D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Ben-Harchache S, Horner K. Does protein supplementation impact appetite and energy intake in older adults? A systematic review. Proc Nutr Soc. 2020;79(OCE2):610. </w:t>
      </w:r>
    </w:p>
    <w:p w14:paraId="51E37CD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SACN. 2010 [Internet] [cited 2022 Nov 21]; Available from: www.sacn.gov.uk</w:t>
      </w:r>
    </w:p>
    <w:p w14:paraId="1F38958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Vitamins and minerals - Vitamin A - NHS [Internet]. [cited 2022 Nov 21]. Available from: https://www.nhs.uk/conditions/vitamins-and-minerals/vitamin-a/</w:t>
      </w:r>
    </w:p>
    <w:p w14:paraId="58CC2A1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Manteghinejad A, Javanmard SH. Challenges and opportunities of digital health in a </w:t>
      </w:r>
      <w:r w:rsidRPr="00CA4ABC">
        <w:rPr>
          <w:rFonts w:cstheme="minorHAnsi"/>
          <w:noProof/>
        </w:rPr>
        <w:lastRenderedPageBreak/>
        <w:t xml:space="preserve">post-COVID19 world. J Res Med Sc. 2021;26(1). </w:t>
      </w:r>
    </w:p>
    <w:p w14:paraId="2B777EF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Leigh S, Daly R, Stevens S, Lapajne L, Clayton C, Andrews T, et al. Web-based internet searches for digital health products in the United Kingdom before and during the COVID-19 pandemic: a time-series analysis using app libraries from the Organisation for the Review of Care and Health Applications (ORCHA). BMJ Open. 2021;11(10). </w:t>
      </w:r>
    </w:p>
    <w:p w14:paraId="224F601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Kern J, Skye A, Krupnick M, Pawley S, Pedersen A, Preciado K, et al. Digital Health Trends. Innovation, evidence, regulation and adoption. IQVIA and the IQVIA Institute. 2021.</w:t>
      </w:r>
    </w:p>
    <w:p w14:paraId="5A26245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DeJonckheere M, Vaughn LM. Semistructured interviewing in primary care research: a balance of relationship and rigour. Fam Med Community Heal. 2019;7(2):e000057. </w:t>
      </w:r>
    </w:p>
    <w:p w14:paraId="044C796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Hennink M, Kaiser BN. Sample sizes for saturation in qualitative research: A systematic review of empirical tests. Soc Sci Med. 2022 Jan 1;292:114523. </w:t>
      </w:r>
    </w:p>
    <w:p w14:paraId="04DABB9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Kitzinger J. Qualitative research. Introducing focus groups. BMJ. 1995;311(7000):299. </w:t>
      </w:r>
    </w:p>
    <w:p w14:paraId="565C434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Nitz JC, Low Choy NL. Falling is not just for older women: support for pre-emptive prevention intervention before 60. Climacteric. 2009;11(6):461–6. </w:t>
      </w:r>
    </w:p>
    <w:p w14:paraId="2C8E2BC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Preston NJ, Farquhar MC, Walshe CE, Stevinson C, Ewing G, Calman LA, et al. Strategies designed to help healthcare professionals to recruit participants to research studies. Cochrane Database Syst Rev. 2016;2016(2). </w:t>
      </w:r>
    </w:p>
    <w:p w14:paraId="6532261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Ryan F, Coughlan M, Cronin P. Interviewing in qualitative research: The one-to-one interview. IJTR. 2013;16(6):309–14. </w:t>
      </w:r>
    </w:p>
    <w:p w14:paraId="4FED28E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Jamshed S. Qualitative research method-interviewing and observation. J Basic Clin Pharm. 2014;5(4):87.</w:t>
      </w:r>
    </w:p>
    <w:p w14:paraId="58474E9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Gratton C, Jones I. Research methods for sport studies. 2004; 288. </w:t>
      </w:r>
    </w:p>
    <w:p w14:paraId="429E7F1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Braun V, Clarke V. Successful Qualitative Research: Student Resources. 2013;1–2. </w:t>
      </w:r>
    </w:p>
    <w:p w14:paraId="557EBB2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Smith B, McGannon KR. Developing rigor in qualitative research: problems and opportunities within sport and exercise psychology. Int Rev Sport Exerc Psychol  . 2018;11(1):101–21. </w:t>
      </w:r>
    </w:p>
    <w:p w14:paraId="79DF5FB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King AC, Haskell WL, Young DR, Oka RK, Stefanick ML. Long-term effects of varying intensities and formats of physical activity on participation rates, fitness, and lipoproteins in men and women aged 50 to 65 years. Circulation. 1995;91(10):2596–604. </w:t>
      </w:r>
    </w:p>
    <w:p w14:paraId="0967324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Connell CM, Janevic MR. Effects of a Telephone-Based Exercise Intervention for Dementia Caregiving Wives: A Randomized Controlled Trial. J Appl Gerontol. 2009;28(2):171.</w:t>
      </w:r>
    </w:p>
    <w:p w14:paraId="57002541"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Noble H, Smith J. Issues of validity and reliability in qualitative research. Evid Based Nurs. 2015;18(2):34–5.</w:t>
      </w:r>
    </w:p>
    <w:p w14:paraId="3BA2248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Liu C, Latham NK. Progressive resistance strength training for improving physical function in older adults. Cochrane Database Syst Rev. 2009;(3):CD002759. </w:t>
      </w:r>
    </w:p>
    <w:p w14:paraId="56610B5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Tagawa R, Watanabe D, Ito K, Otsuyama T, Nakayama K, Sanbongi C, et al. Synergistic Effect of Increased Total Protein Intake and Strength Training on Muscle Strength: A Dose-Response Meta-analysis of Randomized Controlled Trials. Sport Med - Open. 2022;8(1):1–12. </w:t>
      </w:r>
    </w:p>
    <w:p w14:paraId="63FBF0F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Shafiee G, Keshtkar A, Soltani A, Ahadi Z, Larijani B, Heshmat R. Prevalence of sarcopenia in the world: a systematic review and meta- analysis of general population studies. J Diabetes Metab Disord. 2017;16(1). </w:t>
      </w:r>
    </w:p>
    <w:p w14:paraId="535781E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de Fátima Ribeiro Silva C, Ohara DG, Matos AP, Pinto ACPN, Pegorari MS. Short Physical Performance Battery as a Measure of Physical Performance and Mortality </w:t>
      </w:r>
      <w:r w:rsidRPr="00CA4ABC">
        <w:rPr>
          <w:rFonts w:cstheme="minorHAnsi"/>
          <w:noProof/>
        </w:rPr>
        <w:lastRenderedPageBreak/>
        <w:t xml:space="preserve">Predictor in Older Adults: A Comprehensive Literature Review. Int J Environ Res Public Heal. 2021;18(20):10612. </w:t>
      </w:r>
    </w:p>
    <w:p w14:paraId="5F1F5CC6"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Law TD, Clark LA, Clark BC. Resistance Exercise to Prevent and Manage Sarcopenia and Dynapenia. Annu Rev Gerontol Geriatr. 2016;36(1):205. </w:t>
      </w:r>
    </w:p>
    <w:p w14:paraId="5136FA4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McArthur D, Dumas A, Woodend K, Beach S, Stacey D. Factors influencing adherence to regular exercise in middle-aged women: A qualitative study to inform clinical practice. BMC Womens Health. 2014;14(1):1–8. </w:t>
      </w:r>
    </w:p>
    <w:p w14:paraId="452D957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Perakslis E, Ginsburg GS. Digital Health—The Need to Assess Benefits, Risks, and Value. JAMA. 2021;325(2):127–8. </w:t>
      </w:r>
    </w:p>
    <w:p w14:paraId="00CCF91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Solis-Navarro L, Gismero A, Fernández-Jané C, Torres-Castro R, Solá-Madurell M, Bergé C, et al. Effectiveness of home-based exercise delivered by digital health in older adults: a systematic review and meta-analysis. Age Ageing. 2022];51(11). Available from: https://academic.oup.com/ageing/article/51/11/afac243/6806169</w:t>
      </w:r>
    </w:p>
    <w:p w14:paraId="527C939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Slade SC, Dionne CE, Underwood M, Buchbinder R. Consensus on Exercise Reporting Template (CERT): Explanation and Elaboration Statement. Br J Sports Med [Internet]. 2016;50(23):1428–37.</w:t>
      </w:r>
    </w:p>
    <w:p w14:paraId="1035DB9A" w14:textId="77777777" w:rsidR="00AA34C2"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Huffman KM, Slentz CA, Kraus WE. Control arms in exercise training studies: transitioning from an era of intervention efficacy to one of comparative clinical effectiveness research. Jour Appl Physiol. 2011;111(3):946–8. </w:t>
      </w:r>
    </w:p>
    <w:p w14:paraId="7D364B2E" w14:textId="77777777" w:rsidR="00AA34C2" w:rsidRPr="00F32CAB" w:rsidRDefault="00AA34C2" w:rsidP="00AA34C2">
      <w:pPr>
        <w:pStyle w:val="ListParagraph"/>
        <w:widowControl w:val="0"/>
        <w:numPr>
          <w:ilvl w:val="0"/>
          <w:numId w:val="39"/>
        </w:numPr>
        <w:autoSpaceDE w:val="0"/>
        <w:autoSpaceDN w:val="0"/>
        <w:adjustRightInd w:val="0"/>
        <w:rPr>
          <w:rFonts w:ascii="Calibri" w:hAnsi="Calibri" w:cs="Calibri"/>
          <w:noProof/>
        </w:rPr>
      </w:pPr>
      <w:r w:rsidRPr="00F32CAB">
        <w:rPr>
          <w:rFonts w:ascii="Calibri" w:hAnsi="Calibri" w:cs="Calibri"/>
          <w:noProof/>
        </w:rPr>
        <w:t xml:space="preserve">Newman AB, Kupelian V, Visser M, Simonsick EM, Goodpaster BH, Kritchevsky SB, et al. Strength, but not muscle mass, is associated with mortality in the health, aging and body composition study cohort. Journals Gerontol - Ser A Biol Sci Med Sci. 2006;61(1):72–7. </w:t>
      </w:r>
    </w:p>
    <w:p w14:paraId="26EF124F" w14:textId="77777777" w:rsidR="00AA34C2" w:rsidRPr="00F32CAB" w:rsidRDefault="00AA34C2" w:rsidP="00AA34C2">
      <w:pPr>
        <w:pStyle w:val="ListParagraph"/>
        <w:widowControl w:val="0"/>
        <w:numPr>
          <w:ilvl w:val="0"/>
          <w:numId w:val="39"/>
        </w:numPr>
        <w:autoSpaceDE w:val="0"/>
        <w:autoSpaceDN w:val="0"/>
        <w:adjustRightInd w:val="0"/>
        <w:rPr>
          <w:rFonts w:ascii="Calibri" w:hAnsi="Calibri" w:cs="Calibri"/>
          <w:noProof/>
        </w:rPr>
      </w:pPr>
      <w:r w:rsidRPr="00F32CAB">
        <w:rPr>
          <w:rFonts w:ascii="Calibri" w:hAnsi="Calibri" w:cs="Calibri"/>
          <w:noProof/>
        </w:rPr>
        <w:t xml:space="preserve">Wei J, Jiao J, Chen CL, Tao W yuan, Ying YJ, Zhang WW, et al. The association between low calf circumference and mortality: a systematic review and meta-analysis. Eur Geriatr Med. 2022;13(3):597–609. </w:t>
      </w:r>
    </w:p>
    <w:p w14:paraId="3C9E1812" w14:textId="77777777" w:rsidR="00AA34C2" w:rsidRPr="00F32CAB" w:rsidRDefault="00AA34C2" w:rsidP="00AA34C2">
      <w:pPr>
        <w:pStyle w:val="ListParagraph"/>
        <w:widowControl w:val="0"/>
        <w:numPr>
          <w:ilvl w:val="0"/>
          <w:numId w:val="39"/>
        </w:numPr>
        <w:autoSpaceDE w:val="0"/>
        <w:autoSpaceDN w:val="0"/>
        <w:adjustRightInd w:val="0"/>
        <w:rPr>
          <w:rFonts w:ascii="Calibri" w:hAnsi="Calibri" w:cs="Calibri"/>
          <w:noProof/>
        </w:rPr>
      </w:pPr>
      <w:r w:rsidRPr="00F32CAB">
        <w:rPr>
          <w:rFonts w:ascii="Calibri" w:hAnsi="Calibri" w:cs="Calibri"/>
          <w:noProof/>
        </w:rPr>
        <w:t xml:space="preserve">Dodds RM, Murray JC, Granic A, Hurst C, Uwimpuhwe G, Richardson S, et al. Prevalence and factors associated with poor performance in the 5-chair stand test: findings from the Cognitive Function and Ageing Study II and proposed Newcastle protocol for use in the assessment of sarcopenia. J Cachexia Sarcopenia Muscle. 2021;12(2):308–18. </w:t>
      </w:r>
    </w:p>
    <w:p w14:paraId="180E4D4C" w14:textId="77777777" w:rsidR="00AA34C2" w:rsidRPr="00F32CAB" w:rsidRDefault="00AA34C2" w:rsidP="00AA34C2">
      <w:pPr>
        <w:pStyle w:val="ListParagraph"/>
        <w:widowControl w:val="0"/>
        <w:numPr>
          <w:ilvl w:val="0"/>
          <w:numId w:val="39"/>
        </w:numPr>
        <w:autoSpaceDE w:val="0"/>
        <w:autoSpaceDN w:val="0"/>
        <w:adjustRightInd w:val="0"/>
        <w:rPr>
          <w:rFonts w:ascii="Calibri" w:hAnsi="Calibri" w:cs="Calibri"/>
          <w:noProof/>
        </w:rPr>
      </w:pPr>
      <w:r w:rsidRPr="00F32CAB">
        <w:rPr>
          <w:rFonts w:ascii="Calibri" w:hAnsi="Calibri" w:cs="Calibri"/>
          <w:noProof/>
        </w:rPr>
        <w:t xml:space="preserve">Cao C, Cade WT, Li S, McMillan J, Friedenreich C, Yang L. Association of Balance Function with All-Cause and Cause-Specific Mortality among US Adults. JAMA Otolaryngol - Head Neck Surg. 2021;147(5):460–8. </w:t>
      </w:r>
    </w:p>
    <w:p w14:paraId="77B81F8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The MOS 36-Item Short-Form Health Survey (SF-36): I. Conceptual Framework and Item Selection on JSTOR [Internet]. Available from: https://www.jstor.org/stable/3765916</w:t>
      </w:r>
    </w:p>
    <w:p w14:paraId="6D9E130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Rapid Assessment of Physical Activity (RAPA) | Health Promotion Research Center [Internet]. Available from: https://depts.washington.edu/hprc/programs-tools/tools-guides/rapa/</w:t>
      </w:r>
    </w:p>
    <w:p w14:paraId="644CA19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Heyward VH. Advanced fitness assessment and exercise prescription. 2006;425. </w:t>
      </w:r>
    </w:p>
    <w:p w14:paraId="6AE145D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Kerksick CM, Rasmussen CJ, Lancaster SL, Magu B, Smith P, Melton C, et al. The effects of protein and amino acid supplementation on performance and training adaptations during ten weeks of resistance training. J strength Cond Res. 2006;20(3):643–53. </w:t>
      </w:r>
    </w:p>
    <w:p w14:paraId="5F42788A"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Richardson J, Godfrey B, Walklate S. Rapid, remote and responsive research during COVID-19. SAGE jounrals. 2021;14(1).</w:t>
      </w:r>
    </w:p>
    <w:p w14:paraId="14174224"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Eldridge SM, Lancaster GA, Campbell MJ, Thabane L, Hopewell S, Coleman CL, et al. Defining feasibility and pilot studies in preparation for randomised controlled trials: Development of a conceptual framework. PLoS One [Internet]. 2016 Mar 1 [cited 2022 Nov 1];11(3). Available from: https://www.nihr.ac.uk/documents/guidance-on-applying-for-feasibility-studies/20474</w:t>
      </w:r>
    </w:p>
    <w:p w14:paraId="5B512A28"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Regnault A, Willgoss T, Barbic S, (SIG) O behalf of the IS for Q of LR (ISOQOL) MMSIG. Towards the use of mixed methods inquiry as best practice in health outcomes research. J Patient-Reported Outcomes. 2018;2. </w:t>
      </w:r>
    </w:p>
    <w:p w14:paraId="53CB1A8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Hart PD, Buck DJ. The effect of resistance training on health-related quality of life in older adults: Systematic review and meta-analysis. Heal Promot Perspect. 2019;9(1):1–12. </w:t>
      </w:r>
    </w:p>
    <w:p w14:paraId="31C53FE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Office of Research on Women’s Health [Internet]. Available from: https://orwh.od.nih.gov/toolkit/</w:t>
      </w:r>
    </w:p>
    <w:p w14:paraId="7732383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Markofski MM, Volpi E. Protein metabolism in women and men: similarities and disparities. Curr Opin Clin Nutr Metab Care. 2011;14(1):93.</w:t>
      </w:r>
    </w:p>
    <w:p w14:paraId="5CA497DC"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Roberts BM, Nuckols G, Krieger JW. Sex Differences in Resistance Training: A Systematic Review and Meta-Analysis. J strength Cond Res. 2020;34(5):1448–60.</w:t>
      </w:r>
    </w:p>
    <w:p w14:paraId="3162BE25"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Digital divide narrowed by pandemic, but around 1.5m homes remain offline - Ofcom [Internet]. Available from: https://www.ofcom.org.uk/about-ofcom/latest/media/media-releases/2021/digital-divide-narrowed-but-around-1.5m-homes-offline</w:t>
      </w:r>
    </w:p>
    <w:p w14:paraId="34256882"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The Lancet Haematology. Equal opportunities for clinical trial participation. Lancet Haematol 2021;8(8):e535. </w:t>
      </w:r>
    </w:p>
    <w:p w14:paraId="1A271F9E"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Kaufmann M, Tzanetakis M. Doing Internet research with hard-to-reach communities: methodological reflections on gaining meaningful access. Qual Res. 2020;20(6):927. </w:t>
      </w:r>
    </w:p>
    <w:p w14:paraId="69F4A27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Shaghaghi A, Bhopal RS, Sheikh A. Approaches to Recruiting ‘Hard-To-Reach’ Populations into Re­search: A Review of the Literature. Heal Promot Perspect. 2011;1(2):86.</w:t>
      </w:r>
    </w:p>
    <w:p w14:paraId="6908FC8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Phillips SM. Resistance exercise: good for more than just Grandma and Grandpa’s muscles. Appl Physiol Nutr Metab. 2007;32(6):1198–205. </w:t>
      </w:r>
    </w:p>
    <w:p w14:paraId="18CBBBD4" w14:textId="77777777" w:rsidR="00AA34C2"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Gavaravarapu SRM. Nutrition communication - Rhetoric &amp; reality. Indian J Med Res. 2019;149(3):333.353. </w:t>
      </w:r>
    </w:p>
    <w:p w14:paraId="5AF17B1F"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Pr>
          <w:rFonts w:ascii="Calibri" w:hAnsi="Calibri" w:cs="Calibri"/>
          <w:noProof/>
        </w:rPr>
        <w:t xml:space="preserve">Picetti D, Foster S et al. </w:t>
      </w:r>
      <w:r w:rsidRPr="00821D82">
        <w:rPr>
          <w:rFonts w:ascii="Calibri" w:hAnsi="Calibri" w:cs="Calibri"/>
          <w:noProof/>
        </w:rPr>
        <w:t>Knowledge and consumption of protein in older adults: Opportunity for improvement | International Journal of Development Research (IJDR)</w:t>
      </w:r>
      <w:r>
        <w:rPr>
          <w:rFonts w:ascii="Calibri" w:hAnsi="Calibri" w:cs="Calibri"/>
          <w:noProof/>
        </w:rPr>
        <w:t>. 2017;7.</w:t>
      </w:r>
    </w:p>
    <w:p w14:paraId="7D0D3C8F" w14:textId="77777777" w:rsidR="00AA34C2"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Gavaravarapu SRM, Pavarala V. Communicating Nutrition in Community Settings: Case Studies in Critical Examination of Institutional Approaches in India. J Creat Commun. 2014;9(1):23–48.</w:t>
      </w:r>
    </w:p>
    <w:p w14:paraId="7FD9342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 </w:t>
      </w:r>
      <w:r w:rsidRPr="00821D82">
        <w:rPr>
          <w:rFonts w:ascii="Calibri" w:hAnsi="Calibri" w:cs="Calibri"/>
          <w:noProof/>
        </w:rPr>
        <w:t xml:space="preserve">Trakman GL, Forsyth A, Hoye R, Belski R. Developing and validating a nutrition knowledge questionnaire: key methods and considerations. Public Health Nutr. 2017 Oct 1;20(15):2670–9. </w:t>
      </w:r>
    </w:p>
    <w:p w14:paraId="4AB2C643"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Sun J, Harris K, Vazire S. Is well-being associated with the quantity and quality of social interactions? J Pers Soc Psychol. 2020;119(6):1478–96. </w:t>
      </w:r>
    </w:p>
    <w:p w14:paraId="476CC930"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Agostini D, Zeppa SD, Lucertini F, Annibalini G, Gervasi M, Marini CF, et al. Muscle and Bone Health in Postmenopausal Women: Role of Protein and Vitamin D Supplementation Combined with Exercise Training. Nutr. 2018;10(8):1103. </w:t>
      </w:r>
    </w:p>
    <w:p w14:paraId="336F0FE7"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lastRenderedPageBreak/>
        <w:t xml:space="preserve">Kerr D, Morton A, Dick I, Prince R. Exercise effects on bone mass in postmenopausal women are site-specific and load-dependent. J Bone Miner Res. 1996;11(2):218–25. </w:t>
      </w:r>
    </w:p>
    <w:p w14:paraId="46C1E61D"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 xml:space="preserve">Boaz A, Hanney S, Borst R, O’Shea A, Kok M. How to engage stakeholders in research: Design principles to support improvement. Heal Res Policy Syst. 2018;16(1):1–9. </w:t>
      </w:r>
    </w:p>
    <w:p w14:paraId="17A5AE2B"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Overview Physical activity: exercise referral schemes | Guidance | NICE [Internet].. Available from: https://www.nice.org.uk/guidance/ph54</w:t>
      </w:r>
    </w:p>
    <w:p w14:paraId="4A1773F9" w14:textId="77777777" w:rsidR="00AA34C2" w:rsidRPr="00CA4ABC" w:rsidRDefault="00AA34C2" w:rsidP="00AA34C2">
      <w:pPr>
        <w:pStyle w:val="ListParagraph"/>
        <w:widowControl w:val="0"/>
        <w:numPr>
          <w:ilvl w:val="0"/>
          <w:numId w:val="39"/>
        </w:numPr>
        <w:autoSpaceDE w:val="0"/>
        <w:autoSpaceDN w:val="0"/>
        <w:adjustRightInd w:val="0"/>
        <w:rPr>
          <w:rFonts w:cstheme="minorHAnsi"/>
          <w:noProof/>
        </w:rPr>
      </w:pPr>
      <w:r w:rsidRPr="00CA4ABC">
        <w:rPr>
          <w:rFonts w:cstheme="minorHAnsi"/>
          <w:noProof/>
        </w:rPr>
        <w:t>Beckford SE. The Relationship Between Habitual Physical Activity and Food Choices. [Internet]. 2018. Available from: https://digitalcommons.unl.edu/nutritiondiss</w:t>
      </w:r>
    </w:p>
    <w:p w14:paraId="2413CF13" w14:textId="6D41BE43" w:rsidR="008A7196" w:rsidRDefault="00AA34C2" w:rsidP="00821D82">
      <w:pPr>
        <w:widowControl w:val="0"/>
        <w:autoSpaceDE w:val="0"/>
        <w:autoSpaceDN w:val="0"/>
        <w:adjustRightInd w:val="0"/>
        <w:ind w:left="640" w:hanging="640"/>
        <w:rPr>
          <w:rFonts w:cstheme="minorHAnsi"/>
        </w:rPr>
      </w:pPr>
      <w:r w:rsidRPr="00CA4ABC">
        <w:rPr>
          <w:rFonts w:cstheme="minorHAnsi"/>
        </w:rPr>
        <w:fldChar w:fldCharType="end"/>
      </w:r>
    </w:p>
    <w:p w14:paraId="66902600" w14:textId="77777777" w:rsidR="008A7196" w:rsidRDefault="008A7196">
      <w:pPr>
        <w:rPr>
          <w:rFonts w:cstheme="minorHAnsi"/>
        </w:rPr>
      </w:pPr>
      <w:r>
        <w:rPr>
          <w:rFonts w:cstheme="minorHAnsi"/>
        </w:rPr>
        <w:br w:type="page"/>
      </w:r>
    </w:p>
    <w:p w14:paraId="7CE0B44F" w14:textId="77777777" w:rsidR="008A7196" w:rsidRPr="008A7196" w:rsidRDefault="008A7196" w:rsidP="008A7196">
      <w:pPr>
        <w:pStyle w:val="Heading2"/>
        <w:rPr>
          <w:rFonts w:asciiTheme="minorHAnsi" w:hAnsiTheme="minorHAnsi" w:cstheme="minorHAnsi"/>
          <w:b/>
          <w:bCs/>
          <w:color w:val="000000" w:themeColor="text1"/>
        </w:rPr>
      </w:pPr>
      <w:bookmarkStart w:id="417" w:name="_Toc135384430"/>
      <w:r w:rsidRPr="008A7196">
        <w:rPr>
          <w:rFonts w:asciiTheme="minorHAnsi" w:hAnsiTheme="minorHAnsi" w:cstheme="minorHAnsi"/>
          <w:b/>
          <w:bCs/>
          <w:color w:val="000000" w:themeColor="text1"/>
        </w:rPr>
        <w:lastRenderedPageBreak/>
        <w:t>Appendix:</w:t>
      </w:r>
      <w:bookmarkEnd w:id="417"/>
    </w:p>
    <w:p w14:paraId="5372404C" w14:textId="77777777" w:rsidR="008A7196" w:rsidRPr="00862EFB" w:rsidRDefault="008A7196" w:rsidP="008A7196">
      <w:pPr>
        <w:rPr>
          <w:rFonts w:cstheme="minorHAnsi"/>
        </w:rPr>
      </w:pPr>
    </w:p>
    <w:p w14:paraId="6119785A" w14:textId="77777777" w:rsidR="008A7196" w:rsidRPr="00862EFB" w:rsidRDefault="008A7196" w:rsidP="008A7196">
      <w:pPr>
        <w:rPr>
          <w:rFonts w:cstheme="minorHAnsi"/>
        </w:rPr>
      </w:pPr>
      <w:r w:rsidRPr="00862EFB">
        <w:rPr>
          <w:rFonts w:cstheme="minorHAnsi"/>
        </w:rPr>
        <w:t>Appendix 1: Ethics approval letter for the SheffProUK study:</w:t>
      </w:r>
    </w:p>
    <w:p w14:paraId="292AFF3F" w14:textId="77777777" w:rsidR="008A7196" w:rsidRPr="00862EFB" w:rsidRDefault="008A7196" w:rsidP="008A7196">
      <w:pPr>
        <w:rPr>
          <w:rFonts w:cstheme="minorHAnsi"/>
        </w:rPr>
      </w:pPr>
      <w:r w:rsidRPr="00862EFB">
        <w:rPr>
          <w:rFonts w:cstheme="minorHAnsi"/>
          <w:noProof/>
        </w:rPr>
        <w:drawing>
          <wp:inline distT="0" distB="0" distL="0" distR="0" wp14:anchorId="4C96A556" wp14:editId="4A51A4A4">
            <wp:extent cx="5727700" cy="81051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718ED299" w14:textId="77777777" w:rsidR="008A7196" w:rsidRPr="00862EFB" w:rsidRDefault="008A7196" w:rsidP="008A7196">
      <w:pPr>
        <w:rPr>
          <w:rFonts w:cstheme="minorHAnsi"/>
        </w:rPr>
      </w:pPr>
    </w:p>
    <w:p w14:paraId="0F323910" w14:textId="77777777" w:rsidR="008A7196" w:rsidRPr="00862EFB" w:rsidRDefault="008A7196" w:rsidP="008A7196">
      <w:pPr>
        <w:rPr>
          <w:rFonts w:cstheme="minorHAnsi"/>
        </w:rPr>
      </w:pPr>
    </w:p>
    <w:p w14:paraId="14C3C97F" w14:textId="77777777" w:rsidR="008A7196" w:rsidRPr="00862EFB" w:rsidRDefault="008A7196" w:rsidP="008A7196">
      <w:pPr>
        <w:rPr>
          <w:rFonts w:cstheme="minorHAnsi"/>
        </w:rPr>
      </w:pPr>
      <w:r w:rsidRPr="00862EFB">
        <w:rPr>
          <w:rFonts w:cstheme="minorHAnsi"/>
        </w:rPr>
        <w:t>Appendix 2: SheffProUK part 1  googleforms survey:</w:t>
      </w:r>
    </w:p>
    <w:p w14:paraId="3615C6D5" w14:textId="77777777" w:rsidR="008A7196" w:rsidRPr="00862EFB" w:rsidRDefault="008A7196" w:rsidP="008A7196">
      <w:pPr>
        <w:rPr>
          <w:rFonts w:cstheme="minorHAnsi"/>
        </w:rPr>
      </w:pPr>
      <w:r w:rsidRPr="00862EFB">
        <w:rPr>
          <w:rFonts w:cstheme="minorHAnsi"/>
          <w:noProof/>
        </w:rPr>
        <w:drawing>
          <wp:inline distT="0" distB="0" distL="0" distR="0" wp14:anchorId="3925FD99" wp14:editId="017E9E25">
            <wp:extent cx="5727700" cy="809561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7700" cy="8095615"/>
                    </a:xfrm>
                    <a:prstGeom prst="rect">
                      <a:avLst/>
                    </a:prstGeom>
                  </pic:spPr>
                </pic:pic>
              </a:graphicData>
            </a:graphic>
          </wp:inline>
        </w:drawing>
      </w:r>
    </w:p>
    <w:p w14:paraId="7C79ADF8" w14:textId="77777777" w:rsidR="008A7196" w:rsidRPr="00862EFB" w:rsidRDefault="008A7196" w:rsidP="008A7196">
      <w:pPr>
        <w:rPr>
          <w:rFonts w:cstheme="minorHAnsi"/>
          <w:noProof/>
        </w:rPr>
      </w:pPr>
      <w:r w:rsidRPr="00862EFB">
        <w:rPr>
          <w:rFonts w:cstheme="minorHAnsi"/>
          <w:noProof/>
        </w:rPr>
        <w:lastRenderedPageBreak/>
        <w:drawing>
          <wp:inline distT="0" distB="0" distL="0" distR="0" wp14:anchorId="71859076" wp14:editId="2C03E05A">
            <wp:extent cx="5727700" cy="809561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8095615"/>
                    </a:xfrm>
                    <a:prstGeom prst="rect">
                      <a:avLst/>
                    </a:prstGeom>
                  </pic:spPr>
                </pic:pic>
              </a:graphicData>
            </a:graphic>
          </wp:inline>
        </w:drawing>
      </w:r>
      <w:r w:rsidRPr="00862EFB">
        <w:rPr>
          <w:rFonts w:cstheme="minorHAnsi"/>
          <w:noProof/>
        </w:rPr>
        <w:t xml:space="preserve"> </w:t>
      </w:r>
      <w:r w:rsidRPr="00862EFB">
        <w:rPr>
          <w:rFonts w:cstheme="minorHAnsi"/>
          <w:noProof/>
        </w:rPr>
        <w:lastRenderedPageBreak/>
        <w:drawing>
          <wp:inline distT="0" distB="0" distL="0" distR="0" wp14:anchorId="2BC2A7DA" wp14:editId="65AE10CA">
            <wp:extent cx="5727700" cy="809561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8095615"/>
                    </a:xfrm>
                    <a:prstGeom prst="rect">
                      <a:avLst/>
                    </a:prstGeom>
                  </pic:spPr>
                </pic:pic>
              </a:graphicData>
            </a:graphic>
          </wp:inline>
        </w:drawing>
      </w:r>
    </w:p>
    <w:p w14:paraId="63140611" w14:textId="77777777" w:rsidR="008A7196" w:rsidRPr="00862EFB" w:rsidRDefault="008A7196" w:rsidP="008A7196">
      <w:pPr>
        <w:rPr>
          <w:rFonts w:cstheme="minorHAnsi"/>
          <w:noProof/>
        </w:rPr>
      </w:pPr>
      <w:r w:rsidRPr="00862EFB">
        <w:rPr>
          <w:rFonts w:cstheme="minorHAnsi"/>
          <w:noProof/>
        </w:rPr>
        <w:lastRenderedPageBreak/>
        <w:drawing>
          <wp:inline distT="0" distB="0" distL="0" distR="0" wp14:anchorId="61C6F0DE" wp14:editId="28136C89">
            <wp:extent cx="5727700" cy="809561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65">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1239A780" w14:textId="77777777" w:rsidR="008A7196" w:rsidRPr="00862EFB" w:rsidRDefault="008A7196" w:rsidP="008A7196">
      <w:pPr>
        <w:rPr>
          <w:rFonts w:cstheme="minorHAnsi"/>
          <w:noProof/>
        </w:rPr>
      </w:pPr>
      <w:r w:rsidRPr="00862EFB">
        <w:rPr>
          <w:rFonts w:cstheme="minorHAnsi"/>
          <w:noProof/>
        </w:rPr>
        <w:lastRenderedPageBreak/>
        <w:drawing>
          <wp:inline distT="0" distB="0" distL="0" distR="0" wp14:anchorId="0C378F3A" wp14:editId="4A7E542D">
            <wp:extent cx="5727700" cy="809561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66">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t xml:space="preserve"> </w:t>
      </w:r>
      <w:r w:rsidRPr="00862EFB">
        <w:rPr>
          <w:rFonts w:cstheme="minorHAnsi"/>
          <w:noProof/>
        </w:rPr>
        <w:lastRenderedPageBreak/>
        <w:drawing>
          <wp:inline distT="0" distB="0" distL="0" distR="0" wp14:anchorId="6B700D59" wp14:editId="44BD08B7">
            <wp:extent cx="5727700" cy="809561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67">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23043836" wp14:editId="73ED4063">
            <wp:extent cx="5727700" cy="809561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68">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6FCC0ED2" wp14:editId="02618E0C">
            <wp:extent cx="5727700" cy="809561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69">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73930A4B" wp14:editId="6AFED855">
            <wp:extent cx="5727700" cy="809561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70">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4DBE13D0" wp14:editId="100AF1CD">
            <wp:extent cx="5727700" cy="809561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71">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0EEAF3C8" wp14:editId="6696FCDF">
            <wp:extent cx="5727700" cy="809561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72">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496FE036" wp14:editId="63F9525A">
            <wp:extent cx="5727700" cy="8095615"/>
            <wp:effectExtent l="0" t="0" r="0" b="0"/>
            <wp:docPr id="125" name="Picture 125" descr="A picture containing tex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icture containing text, whit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6ED9459F" wp14:editId="2050D96D">
            <wp:extent cx="5727700" cy="809561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74">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58B1FD64" wp14:editId="3F52DA84">
            <wp:extent cx="5727700" cy="809561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75">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6895D716" wp14:editId="57695EBA">
            <wp:extent cx="5727700" cy="809561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76">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48DB8D80"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0063E974" wp14:editId="13FFBF7D">
            <wp:extent cx="5727700" cy="8095615"/>
            <wp:effectExtent l="0" t="0" r="0" b="0"/>
            <wp:docPr id="129" name="Picture 1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Text, letter&#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29D04397" w14:textId="77777777" w:rsidR="008A7196" w:rsidRPr="00862EFB" w:rsidRDefault="008A7196" w:rsidP="008A7196">
      <w:pPr>
        <w:rPr>
          <w:rFonts w:cstheme="minorHAnsi"/>
        </w:rPr>
      </w:pPr>
    </w:p>
    <w:p w14:paraId="35BDB466" w14:textId="77777777" w:rsidR="008A7196" w:rsidRPr="00862EFB" w:rsidRDefault="008A7196" w:rsidP="008A7196">
      <w:pPr>
        <w:rPr>
          <w:rFonts w:cstheme="minorHAnsi"/>
        </w:rPr>
      </w:pPr>
    </w:p>
    <w:p w14:paraId="49BE7DE7" w14:textId="77777777" w:rsidR="008A7196" w:rsidRPr="00862EFB" w:rsidRDefault="008A7196" w:rsidP="008A7196">
      <w:pPr>
        <w:rPr>
          <w:rFonts w:cstheme="minorHAnsi"/>
        </w:rPr>
      </w:pPr>
    </w:p>
    <w:p w14:paraId="2BF0E062" w14:textId="77777777" w:rsidR="008A7196" w:rsidRPr="00862EFB" w:rsidRDefault="008A7196" w:rsidP="008A7196">
      <w:pPr>
        <w:rPr>
          <w:rFonts w:cstheme="minorHAnsi"/>
        </w:rPr>
      </w:pPr>
    </w:p>
    <w:p w14:paraId="52DCE4CB" w14:textId="77777777" w:rsidR="008A7196" w:rsidRPr="00862EFB" w:rsidRDefault="008A7196" w:rsidP="008A7196">
      <w:pPr>
        <w:rPr>
          <w:rFonts w:cstheme="minorHAnsi"/>
        </w:rPr>
      </w:pPr>
      <w:r w:rsidRPr="00862EFB">
        <w:rPr>
          <w:rFonts w:cstheme="minorHAnsi"/>
        </w:rPr>
        <w:lastRenderedPageBreak/>
        <w:t>Appendix 3: SheffProUK part 3 google forms survey</w:t>
      </w:r>
    </w:p>
    <w:p w14:paraId="7F422DBD" w14:textId="77777777" w:rsidR="008A7196" w:rsidRPr="00862EFB" w:rsidRDefault="008A7196" w:rsidP="008A7196">
      <w:pPr>
        <w:rPr>
          <w:rFonts w:cstheme="minorHAnsi"/>
        </w:rPr>
      </w:pPr>
    </w:p>
    <w:p w14:paraId="28E19E61" w14:textId="77777777" w:rsidR="008A7196" w:rsidRPr="00862EFB" w:rsidRDefault="008A7196" w:rsidP="008A7196">
      <w:pPr>
        <w:rPr>
          <w:rFonts w:cstheme="minorHAnsi"/>
        </w:rPr>
      </w:pPr>
      <w:r w:rsidRPr="00862EFB">
        <w:rPr>
          <w:rFonts w:cstheme="minorHAnsi"/>
          <w:noProof/>
        </w:rPr>
        <w:drawing>
          <wp:inline distT="0" distB="0" distL="0" distR="0" wp14:anchorId="5561E8AA" wp14:editId="2827AA31">
            <wp:extent cx="5727700" cy="809561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27700" cy="8095615"/>
                    </a:xfrm>
                    <a:prstGeom prst="rect">
                      <a:avLst/>
                    </a:prstGeom>
                  </pic:spPr>
                </pic:pic>
              </a:graphicData>
            </a:graphic>
          </wp:inline>
        </w:drawing>
      </w:r>
    </w:p>
    <w:p w14:paraId="7285A64F" w14:textId="77777777" w:rsidR="008A7196" w:rsidRPr="00862EFB" w:rsidRDefault="008A7196" w:rsidP="008A7196">
      <w:pPr>
        <w:rPr>
          <w:rFonts w:cstheme="minorHAnsi"/>
        </w:rPr>
      </w:pPr>
    </w:p>
    <w:p w14:paraId="0C4A11F3"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14B8DD17" wp14:editId="1306732E">
            <wp:extent cx="5727700" cy="809561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27700" cy="8095615"/>
                    </a:xfrm>
                    <a:prstGeom prst="rect">
                      <a:avLst/>
                    </a:prstGeom>
                  </pic:spPr>
                </pic:pic>
              </a:graphicData>
            </a:graphic>
          </wp:inline>
        </w:drawing>
      </w:r>
    </w:p>
    <w:p w14:paraId="109F4476" w14:textId="77777777" w:rsidR="008A7196" w:rsidRPr="00862EFB" w:rsidRDefault="008A7196" w:rsidP="008A7196">
      <w:pPr>
        <w:rPr>
          <w:rFonts w:cstheme="minorHAnsi"/>
        </w:rPr>
      </w:pPr>
    </w:p>
    <w:p w14:paraId="49122AA6"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797D6B8C" wp14:editId="5B93D0C5">
            <wp:extent cx="5727700" cy="809561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27700" cy="8095615"/>
                    </a:xfrm>
                    <a:prstGeom prst="rect">
                      <a:avLst/>
                    </a:prstGeom>
                  </pic:spPr>
                </pic:pic>
              </a:graphicData>
            </a:graphic>
          </wp:inline>
        </w:drawing>
      </w:r>
    </w:p>
    <w:p w14:paraId="58FAFC98" w14:textId="77777777" w:rsidR="008A7196" w:rsidRPr="00862EFB" w:rsidRDefault="008A7196" w:rsidP="008A7196">
      <w:pPr>
        <w:rPr>
          <w:rFonts w:cstheme="minorHAnsi"/>
        </w:rPr>
      </w:pPr>
    </w:p>
    <w:p w14:paraId="2FB92857"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50BCF998" wp14:editId="7CC028DD">
            <wp:extent cx="5727700" cy="809561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27700" cy="8095615"/>
                    </a:xfrm>
                    <a:prstGeom prst="rect">
                      <a:avLst/>
                    </a:prstGeom>
                  </pic:spPr>
                </pic:pic>
              </a:graphicData>
            </a:graphic>
          </wp:inline>
        </w:drawing>
      </w:r>
    </w:p>
    <w:p w14:paraId="6D4D5244" w14:textId="77777777" w:rsidR="008A7196" w:rsidRPr="00862EFB" w:rsidRDefault="008A7196" w:rsidP="008A7196">
      <w:pPr>
        <w:rPr>
          <w:rFonts w:cstheme="minorHAnsi"/>
        </w:rPr>
      </w:pPr>
    </w:p>
    <w:p w14:paraId="4A59F18A" w14:textId="77777777" w:rsidR="008A7196" w:rsidRPr="00862EFB" w:rsidRDefault="008A7196" w:rsidP="008A7196">
      <w:pPr>
        <w:rPr>
          <w:rFonts w:cstheme="minorHAnsi"/>
        </w:rPr>
      </w:pPr>
      <w:r w:rsidRPr="00862EFB">
        <w:rPr>
          <w:rFonts w:cstheme="minorHAnsi"/>
        </w:rPr>
        <w:lastRenderedPageBreak/>
        <w:t xml:space="preserve"> </w:t>
      </w:r>
      <w:r w:rsidRPr="00862EFB">
        <w:rPr>
          <w:rFonts w:cstheme="minorHAnsi"/>
          <w:noProof/>
        </w:rPr>
        <w:drawing>
          <wp:inline distT="0" distB="0" distL="0" distR="0" wp14:anchorId="72EC8EA8" wp14:editId="7829C448">
            <wp:extent cx="5727700" cy="809561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27700" cy="8095615"/>
                    </a:xfrm>
                    <a:prstGeom prst="rect">
                      <a:avLst/>
                    </a:prstGeom>
                  </pic:spPr>
                </pic:pic>
              </a:graphicData>
            </a:graphic>
          </wp:inline>
        </w:drawing>
      </w:r>
    </w:p>
    <w:p w14:paraId="77941844"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755BE4BB" wp14:editId="6162CD65">
            <wp:extent cx="5727700" cy="809561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83">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0773E071" w14:textId="77777777" w:rsidR="008A7196" w:rsidRPr="00862EFB" w:rsidRDefault="008A7196" w:rsidP="008A7196">
      <w:pPr>
        <w:rPr>
          <w:rFonts w:cstheme="minorHAnsi"/>
        </w:rPr>
        <w:sectPr w:rsidR="008A7196" w:rsidRPr="00862EFB" w:rsidSect="00EF1855">
          <w:pgSz w:w="11900" w:h="16840"/>
          <w:pgMar w:top="1440" w:right="1440" w:bottom="1440" w:left="1440" w:header="708" w:footer="708" w:gutter="0"/>
          <w:cols w:space="708"/>
          <w:docGrid w:linePitch="360"/>
        </w:sectPr>
      </w:pPr>
      <w:r w:rsidRPr="00862EFB">
        <w:rPr>
          <w:rFonts w:cstheme="minorHAnsi"/>
          <w:noProof/>
        </w:rPr>
        <w:lastRenderedPageBreak/>
        <w:drawing>
          <wp:inline distT="0" distB="0" distL="0" distR="0" wp14:anchorId="266E9873" wp14:editId="7BDB37CF">
            <wp:extent cx="5727700" cy="8095615"/>
            <wp:effectExtent l="0" t="0" r="0" b="0"/>
            <wp:docPr id="113" name="Picture 1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Text, letter&#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03760CB9" w14:textId="77777777" w:rsidR="008A7196" w:rsidRPr="00862EFB" w:rsidRDefault="008A7196" w:rsidP="008A7196">
      <w:pPr>
        <w:rPr>
          <w:rFonts w:cstheme="minorHAnsi"/>
        </w:rPr>
      </w:pPr>
      <w:r w:rsidRPr="00862EFB">
        <w:rPr>
          <w:rFonts w:cstheme="minorHAnsi"/>
        </w:rPr>
        <w:lastRenderedPageBreak/>
        <w:t>Appendix 4: Recruitment poster for SheffProUK study:</w:t>
      </w:r>
    </w:p>
    <w:p w14:paraId="62D2B520" w14:textId="77777777" w:rsidR="008A7196" w:rsidRPr="00862EFB" w:rsidRDefault="008A7196" w:rsidP="008A7196">
      <w:pPr>
        <w:rPr>
          <w:rFonts w:cstheme="minorHAnsi"/>
        </w:rPr>
      </w:pPr>
      <w:r w:rsidRPr="00862EFB">
        <w:rPr>
          <w:rFonts w:cstheme="minorHAnsi"/>
          <w:noProof/>
        </w:rPr>
        <w:drawing>
          <wp:inline distT="0" distB="0" distL="0" distR="0" wp14:anchorId="23F8FDB5" wp14:editId="2229C5D3">
            <wp:extent cx="4549429" cy="8087360"/>
            <wp:effectExtent l="0" t="0" r="0"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5">
                      <a:extLst>
                        <a:ext uri="{28A0092B-C50C-407E-A947-70E740481C1C}">
                          <a14:useLocalDpi xmlns:a14="http://schemas.microsoft.com/office/drawing/2010/main" val="0"/>
                        </a:ext>
                      </a:extLst>
                    </a:blip>
                    <a:stretch>
                      <a:fillRect/>
                    </a:stretch>
                  </pic:blipFill>
                  <pic:spPr>
                    <a:xfrm>
                      <a:off x="0" y="0"/>
                      <a:ext cx="4557492" cy="8101692"/>
                    </a:xfrm>
                    <a:prstGeom prst="rect">
                      <a:avLst/>
                    </a:prstGeom>
                  </pic:spPr>
                </pic:pic>
              </a:graphicData>
            </a:graphic>
          </wp:inline>
        </w:drawing>
      </w:r>
    </w:p>
    <w:p w14:paraId="487B7500" w14:textId="77777777" w:rsidR="008A7196" w:rsidRPr="00862EFB" w:rsidRDefault="008A7196" w:rsidP="008A7196">
      <w:pPr>
        <w:rPr>
          <w:rFonts w:cstheme="minorHAnsi"/>
        </w:rPr>
      </w:pPr>
    </w:p>
    <w:p w14:paraId="4DEAA21A" w14:textId="77777777" w:rsidR="006A102B" w:rsidRDefault="006A102B" w:rsidP="008A7196">
      <w:pPr>
        <w:rPr>
          <w:rFonts w:cstheme="minorHAnsi"/>
        </w:rPr>
      </w:pPr>
    </w:p>
    <w:p w14:paraId="349631F2" w14:textId="77777777" w:rsidR="006A102B" w:rsidRDefault="006A102B" w:rsidP="008A7196">
      <w:pPr>
        <w:rPr>
          <w:rFonts w:cstheme="minorHAnsi"/>
        </w:rPr>
      </w:pPr>
    </w:p>
    <w:p w14:paraId="43445BD0" w14:textId="3D59AEDD" w:rsidR="008A7196" w:rsidRPr="00862EFB" w:rsidRDefault="008A7196" w:rsidP="008A7196">
      <w:pPr>
        <w:rPr>
          <w:rFonts w:cstheme="minorHAnsi"/>
        </w:rPr>
      </w:pPr>
      <w:r w:rsidRPr="00862EFB">
        <w:rPr>
          <w:rFonts w:cstheme="minorHAnsi"/>
        </w:rPr>
        <w:lastRenderedPageBreak/>
        <w:t>Appendix 5: Email sent out as part of the recruitment campaign for the SheffProUK study:</w:t>
      </w:r>
    </w:p>
    <w:p w14:paraId="30831A19" w14:textId="77777777" w:rsidR="008A7196" w:rsidRPr="00862EFB" w:rsidRDefault="008A7196" w:rsidP="008A7196">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heme="minorHAnsi" w:hAnsiTheme="minorHAnsi" w:cstheme="minorHAnsi"/>
        </w:rPr>
      </w:pPr>
    </w:p>
    <w:p w14:paraId="308CFB43" w14:textId="77777777" w:rsidR="008A7196" w:rsidRPr="00862EFB" w:rsidRDefault="008A7196" w:rsidP="008A7196">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heme="minorHAnsi" w:hAnsiTheme="minorHAnsi" w:cstheme="minorHAnsi"/>
          <w:b/>
        </w:rPr>
      </w:pPr>
      <w:r w:rsidRPr="00862EFB">
        <w:rPr>
          <w:rFonts w:asciiTheme="minorHAnsi" w:hAnsiTheme="minorHAnsi" w:cstheme="minorHAnsi"/>
          <w:szCs w:val="24"/>
        </w:rPr>
        <w:fldChar w:fldCharType="begin"/>
      </w:r>
      <w:r w:rsidRPr="00862EFB">
        <w:rPr>
          <w:rFonts w:asciiTheme="minorHAnsi" w:hAnsiTheme="minorHAnsi" w:cstheme="minorHAnsi"/>
          <w:szCs w:val="24"/>
        </w:rPr>
        <w:instrText xml:space="preserve"> INCLUDEPICTURE "https://www.sheffield.ac.uk/polopoly_fs/1.420008!/image/cimalogo.jpg" \* MERGEFORMATINET </w:instrText>
      </w:r>
      <w:r w:rsidRPr="00862EFB">
        <w:rPr>
          <w:rFonts w:asciiTheme="minorHAnsi" w:hAnsiTheme="minorHAnsi" w:cstheme="minorHAnsi"/>
          <w:szCs w:val="24"/>
        </w:rPr>
        <w:fldChar w:fldCharType="end"/>
      </w:r>
      <w:r w:rsidRPr="00862EFB">
        <w:rPr>
          <w:rFonts w:asciiTheme="minorHAnsi" w:hAnsiTheme="minorHAnsi" w:cstheme="minorHAnsi"/>
          <w:b/>
          <w:szCs w:val="24"/>
        </w:rPr>
        <w:t xml:space="preserve">Subject: </w:t>
      </w:r>
      <w:r w:rsidRPr="00862EFB">
        <w:rPr>
          <w:rFonts w:asciiTheme="minorHAnsi" w:hAnsiTheme="minorHAnsi" w:cstheme="minorHAnsi"/>
          <w:szCs w:val="24"/>
        </w:rPr>
        <w:t>Volunteers required for protein intake and knowledge study.</w:t>
      </w:r>
      <w:r w:rsidRPr="00862EFB">
        <w:rPr>
          <w:rFonts w:asciiTheme="minorHAnsi" w:hAnsiTheme="minorHAnsi" w:cstheme="minorHAnsi"/>
          <w:szCs w:val="24"/>
        </w:rPr>
        <w:tab/>
      </w:r>
      <w:r w:rsidRPr="00862EFB">
        <w:rPr>
          <w:rFonts w:asciiTheme="minorHAnsi" w:hAnsiTheme="minorHAnsi" w:cstheme="minorHAnsi"/>
          <w:szCs w:val="24"/>
        </w:rPr>
        <w:tab/>
      </w:r>
      <w:r w:rsidRPr="00862EFB">
        <w:rPr>
          <w:rFonts w:asciiTheme="minorHAnsi" w:hAnsiTheme="minorHAnsi" w:cstheme="minorHAnsi"/>
          <w:szCs w:val="24"/>
        </w:rPr>
        <w:tab/>
      </w:r>
    </w:p>
    <w:p w14:paraId="2B900C70" w14:textId="77777777" w:rsidR="008A7196" w:rsidRPr="00862EFB" w:rsidRDefault="008A7196" w:rsidP="008A7196">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heme="minorHAnsi" w:hAnsiTheme="minorHAnsi" w:cstheme="minorHAnsi"/>
          <w:szCs w:val="24"/>
        </w:rPr>
      </w:pPr>
    </w:p>
    <w:p w14:paraId="5039E905" w14:textId="77777777" w:rsidR="008A7196" w:rsidRPr="00862EFB" w:rsidRDefault="008A7196" w:rsidP="008A7196">
      <w:pPr>
        <w:rPr>
          <w:rFonts w:cstheme="minorHAnsi"/>
          <w:lang w:eastAsia="en-GB"/>
        </w:rPr>
      </w:pPr>
      <w:r w:rsidRPr="00862EFB">
        <w:rPr>
          <w:rFonts w:cstheme="minorHAnsi"/>
          <w:color w:val="000000"/>
        </w:rPr>
        <w:t>Dear colleague,</w:t>
      </w:r>
      <w:r w:rsidRPr="00862EFB">
        <w:rPr>
          <w:rFonts w:cstheme="minorHAnsi"/>
          <w:color w:val="000000"/>
        </w:rPr>
        <w:br/>
      </w:r>
      <w:r w:rsidRPr="00862EFB">
        <w:rPr>
          <w:rFonts w:cstheme="minorHAnsi"/>
          <w:color w:val="000000"/>
        </w:rPr>
        <w:br/>
        <w:t>Researchers at our University are currently seeking volunteers to participate in a study investigating the suitability of a protein intake questionnaire for use in a UK population. It is also of interest to explore individual's knowledge about protein.</w:t>
      </w:r>
      <w:r w:rsidRPr="00862EFB">
        <w:rPr>
          <w:rStyle w:val="apple-converted-space"/>
          <w:rFonts w:cstheme="minorHAnsi"/>
          <w:color w:val="000000"/>
        </w:rPr>
        <w:t> </w:t>
      </w:r>
      <w:r w:rsidRPr="00862EFB">
        <w:rPr>
          <w:rFonts w:cstheme="minorHAnsi"/>
          <w:color w:val="000000"/>
        </w:rPr>
        <w:br/>
      </w:r>
      <w:r w:rsidRPr="00862EFB">
        <w:rPr>
          <w:rFonts w:cstheme="minorHAnsi"/>
          <w:color w:val="000000"/>
        </w:rPr>
        <w:br/>
        <w:t>We are looking to recruit 100+, UK-dwelling individuals aged 18 years or older. This is a three-part study consisting of two questionnaires and one dietary intake data collection:</w:t>
      </w:r>
      <w:r w:rsidRPr="00862EFB">
        <w:rPr>
          <w:rStyle w:val="apple-converted-space"/>
          <w:rFonts w:cstheme="minorHAnsi"/>
          <w:color w:val="000000"/>
        </w:rPr>
        <w:t> </w:t>
      </w:r>
      <w:r w:rsidRPr="00862EFB">
        <w:rPr>
          <w:rFonts w:cstheme="minorHAnsi"/>
          <w:color w:val="000000"/>
        </w:rPr>
        <w:br/>
      </w:r>
      <w:r w:rsidRPr="00862EFB">
        <w:rPr>
          <w:rFonts w:cstheme="minorHAnsi"/>
          <w:color w:val="000000"/>
        </w:rPr>
        <w:br/>
        <w:t>- Part 1 consists of 10 questions about your consumption of protein-containing food items.</w:t>
      </w:r>
      <w:r w:rsidRPr="00862EFB">
        <w:rPr>
          <w:rStyle w:val="apple-converted-space"/>
          <w:rFonts w:cstheme="minorHAnsi"/>
          <w:color w:val="000000"/>
        </w:rPr>
        <w:t> </w:t>
      </w:r>
      <w:r w:rsidRPr="00862EFB">
        <w:rPr>
          <w:rFonts w:cstheme="minorHAnsi"/>
          <w:color w:val="000000"/>
        </w:rPr>
        <w:br/>
      </w:r>
      <w:r w:rsidRPr="00862EFB">
        <w:rPr>
          <w:rFonts w:cstheme="minorHAnsi"/>
          <w:color w:val="000000"/>
        </w:rPr>
        <w:br/>
        <w:t>- In part 2, you will be asked to recall everything you ate and drank in a 24 hour period. </w:t>
      </w:r>
      <w:r w:rsidRPr="00862EFB">
        <w:rPr>
          <w:rStyle w:val="apple-converted-space"/>
          <w:rFonts w:cstheme="minorHAnsi"/>
          <w:color w:val="000000"/>
        </w:rPr>
        <w:t> </w:t>
      </w:r>
      <w:r w:rsidRPr="00862EFB">
        <w:rPr>
          <w:rFonts w:cstheme="minorHAnsi"/>
          <w:color w:val="000000"/>
        </w:rPr>
        <w:br/>
      </w:r>
      <w:r w:rsidRPr="00862EFB">
        <w:rPr>
          <w:rFonts w:cstheme="minorHAnsi"/>
          <w:color w:val="000000"/>
        </w:rPr>
        <w:br/>
        <w:t>- Part 3 comprises of 11 questions to find out more about your knowledge about protein and exercise. The study may be completed either online or via phone.</w:t>
      </w:r>
      <w:r w:rsidRPr="00862EFB">
        <w:rPr>
          <w:rStyle w:val="apple-converted-space"/>
          <w:rFonts w:cstheme="minorHAnsi"/>
          <w:color w:val="000000"/>
        </w:rPr>
        <w:t> </w:t>
      </w:r>
      <w:r w:rsidRPr="00862EFB">
        <w:rPr>
          <w:rFonts w:cstheme="minorHAnsi"/>
          <w:color w:val="000000"/>
        </w:rPr>
        <w:br/>
      </w:r>
      <w:r w:rsidRPr="00862EFB">
        <w:rPr>
          <w:rFonts w:cstheme="minorHAnsi"/>
          <w:color w:val="000000"/>
        </w:rPr>
        <w:br/>
        <w:t>This research will be valuable for paving the way for future investigations aimed at promoting healthy ageing. The research team would be most grateful for your time and assistance.</w:t>
      </w:r>
      <w:r w:rsidRPr="00862EFB">
        <w:rPr>
          <w:rFonts w:cstheme="minorHAnsi"/>
          <w:color w:val="000000"/>
        </w:rPr>
        <w:br/>
      </w:r>
      <w:r w:rsidRPr="00862EFB">
        <w:rPr>
          <w:rFonts w:cstheme="minorHAnsi"/>
          <w:color w:val="000000"/>
        </w:rPr>
        <w:br/>
        <w:t>Following the completion of the research you will also be eligible to enter a prize drawn to win one of five £100 vouchers.</w:t>
      </w:r>
      <w:r w:rsidRPr="00862EFB">
        <w:rPr>
          <w:rFonts w:cstheme="minorHAnsi"/>
          <w:color w:val="000000"/>
        </w:rPr>
        <w:br/>
      </w:r>
      <w:r w:rsidRPr="00862EFB">
        <w:rPr>
          <w:rFonts w:cstheme="minorHAnsi"/>
          <w:color w:val="000000"/>
        </w:rPr>
        <w:br/>
        <w:t>If you are interested, please follow the link which will take you to the first part of the research:</w:t>
      </w:r>
      <w:r w:rsidRPr="00862EFB">
        <w:rPr>
          <w:rFonts w:cstheme="minorHAnsi"/>
          <w:color w:val="000000"/>
        </w:rPr>
        <w:br/>
      </w:r>
      <w:r w:rsidRPr="00862EFB">
        <w:rPr>
          <w:rFonts w:cstheme="minorHAnsi"/>
          <w:color w:val="000000"/>
        </w:rPr>
        <w:br/>
      </w:r>
      <w:hyperlink r:id="rId86" w:tgtFrame="_blank" w:history="1">
        <w:r w:rsidRPr="00862EFB">
          <w:rPr>
            <w:rStyle w:val="Hyperlink"/>
            <w:rFonts w:cstheme="minorHAnsi"/>
          </w:rPr>
          <w:t>https://docs.google.com/forms/d/e/1FAIpQLSeZ7d3PPJCvAG2hw_KvCxEkD6fYLLCOAcGx3PBAwaOnjXS1Lg/viewform?usp=sf_link</w:t>
        </w:r>
      </w:hyperlink>
      <w:r w:rsidRPr="00862EFB">
        <w:rPr>
          <w:rFonts w:cstheme="minorHAnsi"/>
          <w:color w:val="000000"/>
        </w:rPr>
        <w:br/>
      </w:r>
      <w:r w:rsidRPr="00862EFB">
        <w:rPr>
          <w:rFonts w:cstheme="minorHAnsi"/>
          <w:color w:val="000000"/>
        </w:rPr>
        <w:br/>
        <w:t>If you would like more information, please contact the research team at</w:t>
      </w:r>
      <w:r w:rsidRPr="00862EFB">
        <w:rPr>
          <w:rStyle w:val="apple-converted-space"/>
          <w:rFonts w:cstheme="minorHAnsi"/>
          <w:color w:val="000000"/>
        </w:rPr>
        <w:t> </w:t>
      </w:r>
      <w:hyperlink r:id="rId87" w:tgtFrame="_blank" w:history="1">
        <w:r w:rsidRPr="00862EFB">
          <w:rPr>
            <w:rStyle w:val="Hyperlink"/>
            <w:rFonts w:cstheme="minorHAnsi"/>
          </w:rPr>
          <w:t>ertuttiett1@sheffield.ac.uk</w:t>
        </w:r>
      </w:hyperlink>
      <w:r w:rsidRPr="00862EFB">
        <w:rPr>
          <w:rFonts w:cstheme="minorHAnsi"/>
          <w:color w:val="000000"/>
        </w:rPr>
        <w:t>.</w:t>
      </w:r>
      <w:r w:rsidRPr="00862EFB">
        <w:rPr>
          <w:rStyle w:val="apple-converted-space"/>
          <w:rFonts w:cstheme="minorHAnsi"/>
          <w:color w:val="000000"/>
        </w:rPr>
        <w:t> </w:t>
      </w:r>
      <w:r w:rsidRPr="00862EFB">
        <w:rPr>
          <w:rFonts w:cstheme="minorHAnsi"/>
          <w:color w:val="000000"/>
        </w:rPr>
        <w:br/>
      </w:r>
      <w:r w:rsidRPr="00862EFB">
        <w:rPr>
          <w:rFonts w:cstheme="minorHAnsi"/>
          <w:color w:val="000000"/>
        </w:rPr>
        <w:br/>
        <w:t>Many thanks,</w:t>
      </w:r>
      <w:r w:rsidRPr="00862EFB">
        <w:rPr>
          <w:rStyle w:val="apple-converted-space"/>
          <w:rFonts w:cstheme="minorHAnsi"/>
          <w:color w:val="000000"/>
        </w:rPr>
        <w:t> </w:t>
      </w:r>
      <w:r w:rsidRPr="00862EFB">
        <w:rPr>
          <w:rFonts w:cstheme="minorHAnsi"/>
          <w:color w:val="000000"/>
        </w:rPr>
        <w:br/>
        <w:t>Esme Tuttiett</w:t>
      </w:r>
    </w:p>
    <w:p w14:paraId="58AD57D5" w14:textId="77777777" w:rsidR="008A7196" w:rsidRPr="00862EFB" w:rsidRDefault="008A7196" w:rsidP="008A7196">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rFonts w:asciiTheme="minorHAnsi" w:hAnsiTheme="minorHAnsi" w:cstheme="minorHAnsi"/>
          <w:szCs w:val="24"/>
        </w:rPr>
      </w:pPr>
    </w:p>
    <w:p w14:paraId="0D0F5941" w14:textId="77777777" w:rsidR="008A7196" w:rsidRPr="00862EFB" w:rsidRDefault="008A7196" w:rsidP="008A7196">
      <w:pPr>
        <w:rPr>
          <w:rFonts w:cstheme="minorHAnsi"/>
          <w:b/>
          <w:color w:val="000000"/>
        </w:rPr>
      </w:pPr>
      <w:r w:rsidRPr="00862EFB">
        <w:rPr>
          <w:rFonts w:cstheme="minorHAnsi"/>
          <w:b/>
          <w:color w:val="000000"/>
        </w:rPr>
        <w:t>Study Contact: Esme Tuttiett (PhD student)</w:t>
      </w:r>
    </w:p>
    <w:p w14:paraId="20DFC20C" w14:textId="77777777" w:rsidR="008A7196" w:rsidRPr="00862EFB" w:rsidRDefault="008A7196" w:rsidP="008A7196">
      <w:pPr>
        <w:rPr>
          <w:rFonts w:cstheme="minorHAnsi"/>
          <w:b/>
          <w:color w:val="000000"/>
          <w:lang w:val="fr-FR"/>
        </w:rPr>
      </w:pPr>
      <w:r w:rsidRPr="00862EFB">
        <w:rPr>
          <w:rFonts w:cstheme="minorHAnsi"/>
          <w:b/>
          <w:color w:val="000000"/>
          <w:lang w:val="fr-FR"/>
        </w:rPr>
        <w:t xml:space="preserve">Email: </w:t>
      </w:r>
      <w:hyperlink r:id="rId88" w:history="1">
        <w:r w:rsidRPr="00862EFB">
          <w:rPr>
            <w:rStyle w:val="Hyperlink"/>
            <w:rFonts w:cstheme="minorHAnsi"/>
            <w:b/>
            <w:color w:val="000000"/>
            <w:lang w:val="fr-FR"/>
          </w:rPr>
          <w:t>ertuttiett1@sheffield.ac.uk</w:t>
        </w:r>
      </w:hyperlink>
    </w:p>
    <w:p w14:paraId="4323F903" w14:textId="0106ECB5" w:rsidR="008A7196" w:rsidRPr="00862EFB" w:rsidRDefault="008A7196" w:rsidP="008A7196">
      <w:pPr>
        <w:rPr>
          <w:rFonts w:cstheme="minorHAnsi"/>
          <w:b/>
          <w:bCs/>
          <w:color w:val="000000"/>
        </w:rPr>
        <w:sectPr w:rsidR="008A7196" w:rsidRPr="00862EFB" w:rsidSect="00EF1855">
          <w:pgSz w:w="11900" w:h="16840"/>
          <w:pgMar w:top="1440" w:right="1440" w:bottom="1440" w:left="1440" w:header="708" w:footer="708" w:gutter="0"/>
          <w:cols w:space="708"/>
          <w:docGrid w:linePitch="360"/>
        </w:sectPr>
      </w:pPr>
      <w:r w:rsidRPr="00862EFB">
        <w:rPr>
          <w:rFonts w:cstheme="minorHAnsi"/>
          <w:b/>
          <w:color w:val="000000"/>
        </w:rPr>
        <w:t xml:space="preserve">Telephone </w:t>
      </w:r>
      <w:r w:rsidRPr="00862EFB">
        <w:rPr>
          <w:rFonts w:cstheme="minorHAnsi"/>
          <w:b/>
          <w:bCs/>
          <w:color w:val="000000"/>
        </w:rPr>
        <w:t>0792503470</w:t>
      </w:r>
    </w:p>
    <w:p w14:paraId="5614B9D6" w14:textId="77777777" w:rsidR="008A7196" w:rsidRPr="00862EFB" w:rsidRDefault="008A7196" w:rsidP="008A7196">
      <w:pPr>
        <w:rPr>
          <w:rFonts w:cstheme="minorHAnsi"/>
          <w:color w:val="000000"/>
          <w:lang w:eastAsia="en-GB"/>
        </w:rPr>
      </w:pPr>
    </w:p>
    <w:p w14:paraId="742A2719" w14:textId="77777777" w:rsidR="008A7196" w:rsidRPr="00862EFB" w:rsidRDefault="008A7196" w:rsidP="008A7196">
      <w:pPr>
        <w:rPr>
          <w:rFonts w:cstheme="minorHAnsi"/>
          <w:sz w:val="20"/>
          <w:lang w:eastAsia="en-GB" w:bidi="x-none"/>
        </w:rPr>
      </w:pPr>
    </w:p>
    <w:p w14:paraId="102ADA8D" w14:textId="5D040D6A" w:rsidR="008A7196" w:rsidRPr="00862EFB" w:rsidRDefault="008A7196" w:rsidP="008A7196">
      <w:pPr>
        <w:rPr>
          <w:rFonts w:cstheme="minorHAnsi"/>
        </w:rPr>
      </w:pPr>
      <w:r w:rsidRPr="00862EFB">
        <w:rPr>
          <w:rFonts w:cstheme="minorHAnsi"/>
        </w:rPr>
        <w:t>Appendix 6: article written by The Star a local newspaper in Sheffield about the SheffProUK study.</w:t>
      </w:r>
    </w:p>
    <w:p w14:paraId="570F1F6C" w14:textId="77777777" w:rsidR="008A7196" w:rsidRPr="00862EFB" w:rsidRDefault="008A7196" w:rsidP="008A7196">
      <w:pPr>
        <w:rPr>
          <w:rFonts w:cstheme="minorHAnsi"/>
        </w:rPr>
      </w:pPr>
      <w:r w:rsidRPr="00862EFB">
        <w:rPr>
          <w:rFonts w:cstheme="minorHAnsi"/>
          <w:noProof/>
        </w:rPr>
        <w:drawing>
          <wp:inline distT="0" distB="0" distL="0" distR="0" wp14:anchorId="3796E48D" wp14:editId="32CAD834">
            <wp:extent cx="5727700" cy="809561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9">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7A35680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2AD51AB5" wp14:editId="4C6E6719">
            <wp:extent cx="5727700" cy="809561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0">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6DE4765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4275FFA6" wp14:editId="43DD6DC7">
            <wp:extent cx="5727700" cy="809561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1">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709C9815" w14:textId="77777777" w:rsidR="008A7196" w:rsidRPr="00862EFB" w:rsidRDefault="008A7196" w:rsidP="008A7196">
      <w:pPr>
        <w:rPr>
          <w:rFonts w:cstheme="minorHAnsi"/>
        </w:rPr>
      </w:pPr>
    </w:p>
    <w:p w14:paraId="42834B8D" w14:textId="77777777" w:rsidR="008A7196" w:rsidRPr="00862EFB" w:rsidRDefault="008A7196" w:rsidP="008A7196">
      <w:pPr>
        <w:rPr>
          <w:rFonts w:cstheme="minorHAnsi"/>
        </w:rPr>
        <w:sectPr w:rsidR="008A7196" w:rsidRPr="00862EFB" w:rsidSect="00EF1855">
          <w:pgSz w:w="11900" w:h="16840"/>
          <w:pgMar w:top="1440" w:right="1440" w:bottom="1440" w:left="1440" w:header="708" w:footer="708" w:gutter="0"/>
          <w:cols w:space="708"/>
          <w:docGrid w:linePitch="360"/>
        </w:sectPr>
      </w:pPr>
    </w:p>
    <w:p w14:paraId="41F625AE" w14:textId="77777777" w:rsidR="008A7196" w:rsidRPr="00862EFB" w:rsidRDefault="008A7196" w:rsidP="008A7196">
      <w:pPr>
        <w:rPr>
          <w:rFonts w:cstheme="minorHAnsi"/>
        </w:rPr>
      </w:pPr>
      <w:r w:rsidRPr="00862EFB">
        <w:rPr>
          <w:rFonts w:cstheme="minorHAnsi"/>
        </w:rPr>
        <w:lastRenderedPageBreak/>
        <w:t>Appendix 7: Full responses for all participants to SheffProUK protein knowledge questions and the percentage of responses for each answer.</w:t>
      </w:r>
    </w:p>
    <w:tbl>
      <w:tblPr>
        <w:tblStyle w:val="TableGrid"/>
        <w:tblW w:w="15074" w:type="dxa"/>
        <w:tblInd w:w="-856" w:type="dxa"/>
        <w:tblLook w:val="04A0" w:firstRow="1" w:lastRow="0" w:firstColumn="1" w:lastColumn="0" w:noHBand="0" w:noVBand="1"/>
      </w:tblPr>
      <w:tblGrid>
        <w:gridCol w:w="8789"/>
        <w:gridCol w:w="3261"/>
        <w:gridCol w:w="3024"/>
      </w:tblGrid>
      <w:tr w:rsidR="008A7196" w:rsidRPr="00862EFB" w14:paraId="4AD15165" w14:textId="77777777" w:rsidTr="00C169F5">
        <w:trPr>
          <w:trHeight w:val="159"/>
        </w:trPr>
        <w:tc>
          <w:tcPr>
            <w:tcW w:w="8789" w:type="dxa"/>
          </w:tcPr>
          <w:p w14:paraId="1B106CAA" w14:textId="77777777" w:rsidR="008A7196" w:rsidRPr="00862EFB" w:rsidRDefault="008A7196" w:rsidP="00C169F5">
            <w:pPr>
              <w:spacing w:line="360" w:lineRule="auto"/>
              <w:rPr>
                <w:rFonts w:cstheme="minorHAnsi"/>
                <w:sz w:val="16"/>
                <w:szCs w:val="16"/>
              </w:rPr>
            </w:pPr>
            <w:r w:rsidRPr="00862EFB">
              <w:rPr>
                <w:rFonts w:cstheme="minorHAnsi"/>
                <w:sz w:val="16"/>
                <w:szCs w:val="16"/>
              </w:rPr>
              <w:t>Question</w:t>
            </w:r>
          </w:p>
        </w:tc>
        <w:tc>
          <w:tcPr>
            <w:tcW w:w="3261" w:type="dxa"/>
          </w:tcPr>
          <w:p w14:paraId="6025712D" w14:textId="77777777" w:rsidR="008A7196" w:rsidRPr="00862EFB" w:rsidRDefault="008A7196" w:rsidP="00C169F5">
            <w:pPr>
              <w:spacing w:line="360" w:lineRule="auto"/>
              <w:rPr>
                <w:rFonts w:cstheme="minorHAnsi"/>
                <w:sz w:val="16"/>
                <w:szCs w:val="16"/>
              </w:rPr>
            </w:pPr>
            <w:r w:rsidRPr="00862EFB">
              <w:rPr>
                <w:rFonts w:cstheme="minorHAnsi"/>
                <w:sz w:val="16"/>
                <w:szCs w:val="16"/>
              </w:rPr>
              <w:t>Correct answer and response (%)</w:t>
            </w:r>
          </w:p>
        </w:tc>
        <w:tc>
          <w:tcPr>
            <w:tcW w:w="3024" w:type="dxa"/>
          </w:tcPr>
          <w:p w14:paraId="1773A6C3" w14:textId="77777777" w:rsidR="008A7196" w:rsidRPr="00862EFB" w:rsidRDefault="008A7196" w:rsidP="00C169F5">
            <w:pPr>
              <w:spacing w:line="360" w:lineRule="auto"/>
              <w:rPr>
                <w:rFonts w:cstheme="minorHAnsi"/>
                <w:sz w:val="16"/>
                <w:szCs w:val="16"/>
              </w:rPr>
            </w:pPr>
            <w:r w:rsidRPr="00862EFB">
              <w:rPr>
                <w:rFonts w:cstheme="minorHAnsi"/>
                <w:sz w:val="16"/>
                <w:szCs w:val="16"/>
              </w:rPr>
              <w:t>Incorrect answers and response (%)</w:t>
            </w:r>
          </w:p>
        </w:tc>
      </w:tr>
      <w:tr w:rsidR="008A7196" w:rsidRPr="00862EFB" w14:paraId="16F8ED2E" w14:textId="77777777" w:rsidTr="00C169F5">
        <w:trPr>
          <w:trHeight w:val="143"/>
        </w:trPr>
        <w:tc>
          <w:tcPr>
            <w:tcW w:w="8789" w:type="dxa"/>
            <w:vMerge w:val="restart"/>
          </w:tcPr>
          <w:p w14:paraId="5B2C5F44" w14:textId="77777777" w:rsidR="008A7196" w:rsidRPr="00862EFB" w:rsidRDefault="008A7196" w:rsidP="00C169F5">
            <w:pPr>
              <w:spacing w:line="360" w:lineRule="auto"/>
              <w:rPr>
                <w:rFonts w:cstheme="minorHAnsi"/>
                <w:sz w:val="16"/>
                <w:szCs w:val="16"/>
              </w:rPr>
            </w:pPr>
            <w:r w:rsidRPr="00862EFB">
              <w:rPr>
                <w:rFonts w:cstheme="minorHAnsi"/>
                <w:sz w:val="16"/>
                <w:szCs w:val="16"/>
              </w:rPr>
              <w:t>How much cooked meat is a recommended serving of protein?</w:t>
            </w:r>
          </w:p>
        </w:tc>
        <w:tc>
          <w:tcPr>
            <w:tcW w:w="3261" w:type="dxa"/>
            <w:vMerge w:val="restart"/>
          </w:tcPr>
          <w:p w14:paraId="504F89CC" w14:textId="77777777" w:rsidR="008A7196" w:rsidRPr="00862EFB" w:rsidRDefault="008A7196" w:rsidP="00C169F5">
            <w:pPr>
              <w:spacing w:line="360" w:lineRule="auto"/>
              <w:rPr>
                <w:rFonts w:cstheme="minorHAnsi"/>
                <w:sz w:val="16"/>
                <w:szCs w:val="16"/>
              </w:rPr>
            </w:pPr>
            <w:r w:rsidRPr="00862EFB">
              <w:rPr>
                <w:rFonts w:cstheme="minorHAnsi"/>
                <w:sz w:val="16"/>
                <w:szCs w:val="16"/>
              </w:rPr>
              <w:t xml:space="preserve">[60-90g (3-4oz)] 178 (58.2) </w:t>
            </w:r>
          </w:p>
          <w:p w14:paraId="166625A3" w14:textId="77777777" w:rsidR="008A7196" w:rsidRPr="00862EFB" w:rsidRDefault="008A7196" w:rsidP="00C169F5">
            <w:pPr>
              <w:spacing w:line="360" w:lineRule="auto"/>
              <w:rPr>
                <w:rFonts w:cstheme="minorHAnsi"/>
                <w:sz w:val="16"/>
                <w:szCs w:val="16"/>
              </w:rPr>
            </w:pPr>
          </w:p>
        </w:tc>
        <w:tc>
          <w:tcPr>
            <w:tcW w:w="3024" w:type="dxa"/>
          </w:tcPr>
          <w:p w14:paraId="67BE9F7A" w14:textId="77777777" w:rsidR="008A7196" w:rsidRPr="00862EFB" w:rsidRDefault="008A7196" w:rsidP="00C169F5">
            <w:pPr>
              <w:spacing w:line="360" w:lineRule="auto"/>
              <w:rPr>
                <w:rFonts w:cstheme="minorHAnsi"/>
                <w:sz w:val="16"/>
                <w:szCs w:val="16"/>
              </w:rPr>
            </w:pPr>
            <w:r w:rsidRPr="00862EFB">
              <w:rPr>
                <w:rFonts w:cstheme="minorHAnsi"/>
                <w:sz w:val="16"/>
                <w:szCs w:val="16"/>
              </w:rPr>
              <w:t>[10-20g (1-2oz)]; 25 (8.2)</w:t>
            </w:r>
          </w:p>
        </w:tc>
      </w:tr>
      <w:tr w:rsidR="008A7196" w:rsidRPr="00862EFB" w14:paraId="5C94E8BA" w14:textId="77777777" w:rsidTr="00C169F5">
        <w:trPr>
          <w:trHeight w:val="265"/>
        </w:trPr>
        <w:tc>
          <w:tcPr>
            <w:tcW w:w="8789" w:type="dxa"/>
            <w:vMerge/>
          </w:tcPr>
          <w:p w14:paraId="66AFB9BA" w14:textId="77777777" w:rsidR="008A7196" w:rsidRPr="00862EFB" w:rsidRDefault="008A7196">
            <w:pPr>
              <w:pStyle w:val="ListParagraph"/>
              <w:numPr>
                <w:ilvl w:val="0"/>
                <w:numId w:val="41"/>
              </w:numPr>
              <w:spacing w:line="360" w:lineRule="auto"/>
              <w:rPr>
                <w:rFonts w:cstheme="minorHAnsi"/>
                <w:sz w:val="16"/>
                <w:szCs w:val="16"/>
              </w:rPr>
            </w:pPr>
          </w:p>
        </w:tc>
        <w:tc>
          <w:tcPr>
            <w:tcW w:w="3261" w:type="dxa"/>
            <w:vMerge/>
          </w:tcPr>
          <w:p w14:paraId="7E75015D" w14:textId="77777777" w:rsidR="008A7196" w:rsidRPr="00862EFB" w:rsidRDefault="008A7196" w:rsidP="00C169F5">
            <w:pPr>
              <w:spacing w:line="360" w:lineRule="auto"/>
              <w:rPr>
                <w:rFonts w:cstheme="minorHAnsi"/>
                <w:sz w:val="16"/>
                <w:szCs w:val="16"/>
              </w:rPr>
            </w:pPr>
          </w:p>
        </w:tc>
        <w:tc>
          <w:tcPr>
            <w:tcW w:w="3024" w:type="dxa"/>
          </w:tcPr>
          <w:p w14:paraId="69C24318" w14:textId="77777777" w:rsidR="008A7196" w:rsidRPr="00862EFB" w:rsidRDefault="008A7196" w:rsidP="00C169F5">
            <w:pPr>
              <w:spacing w:line="360" w:lineRule="auto"/>
              <w:rPr>
                <w:rFonts w:cstheme="minorHAnsi"/>
                <w:sz w:val="16"/>
                <w:szCs w:val="16"/>
              </w:rPr>
            </w:pPr>
            <w:r w:rsidRPr="00862EFB">
              <w:rPr>
                <w:rFonts w:cstheme="minorHAnsi"/>
                <w:sz w:val="16"/>
                <w:szCs w:val="16"/>
              </w:rPr>
              <w:t>[200g (8oz)]; 21 (6.9)</w:t>
            </w:r>
          </w:p>
        </w:tc>
      </w:tr>
      <w:tr w:rsidR="008A7196" w:rsidRPr="00862EFB" w14:paraId="39A35EF2" w14:textId="77777777" w:rsidTr="00C169F5">
        <w:trPr>
          <w:trHeight w:val="265"/>
        </w:trPr>
        <w:tc>
          <w:tcPr>
            <w:tcW w:w="8789" w:type="dxa"/>
            <w:vMerge/>
          </w:tcPr>
          <w:p w14:paraId="57B10ED2" w14:textId="77777777" w:rsidR="008A7196" w:rsidRPr="00862EFB" w:rsidRDefault="008A7196" w:rsidP="00C169F5">
            <w:pPr>
              <w:spacing w:line="360" w:lineRule="auto"/>
              <w:rPr>
                <w:rFonts w:cstheme="minorHAnsi"/>
                <w:sz w:val="16"/>
                <w:szCs w:val="16"/>
              </w:rPr>
            </w:pPr>
          </w:p>
        </w:tc>
        <w:tc>
          <w:tcPr>
            <w:tcW w:w="3261" w:type="dxa"/>
            <w:vMerge/>
          </w:tcPr>
          <w:p w14:paraId="3E9273AB" w14:textId="77777777" w:rsidR="008A7196" w:rsidRPr="00862EFB" w:rsidRDefault="008A7196" w:rsidP="00C169F5">
            <w:pPr>
              <w:spacing w:line="360" w:lineRule="auto"/>
              <w:rPr>
                <w:rFonts w:cstheme="minorHAnsi"/>
                <w:sz w:val="16"/>
                <w:szCs w:val="16"/>
              </w:rPr>
            </w:pPr>
          </w:p>
        </w:tc>
        <w:tc>
          <w:tcPr>
            <w:tcW w:w="3024" w:type="dxa"/>
          </w:tcPr>
          <w:p w14:paraId="136C37BF" w14:textId="77777777" w:rsidR="008A7196" w:rsidRPr="00862EFB" w:rsidRDefault="008A7196" w:rsidP="00C169F5">
            <w:pPr>
              <w:spacing w:line="360" w:lineRule="auto"/>
              <w:rPr>
                <w:rFonts w:cstheme="minorHAnsi"/>
                <w:sz w:val="16"/>
                <w:szCs w:val="16"/>
              </w:rPr>
            </w:pPr>
            <w:r w:rsidRPr="00862EFB">
              <w:rPr>
                <w:rFonts w:cstheme="minorHAnsi"/>
                <w:sz w:val="16"/>
                <w:szCs w:val="16"/>
              </w:rPr>
              <w:t>[Not sure] 82 (26.8)</w:t>
            </w:r>
          </w:p>
        </w:tc>
      </w:tr>
      <w:tr w:rsidR="008A7196" w:rsidRPr="00862EFB" w14:paraId="2B02ED46" w14:textId="77777777" w:rsidTr="00C169F5">
        <w:trPr>
          <w:trHeight w:val="171"/>
        </w:trPr>
        <w:tc>
          <w:tcPr>
            <w:tcW w:w="8789" w:type="dxa"/>
            <w:vMerge w:val="restart"/>
          </w:tcPr>
          <w:p w14:paraId="4B7E4B78" w14:textId="77777777" w:rsidR="008A7196" w:rsidRPr="00862EFB" w:rsidRDefault="008A7196" w:rsidP="00C169F5">
            <w:pPr>
              <w:spacing w:line="360" w:lineRule="auto"/>
              <w:rPr>
                <w:rFonts w:cstheme="minorHAnsi"/>
                <w:sz w:val="16"/>
                <w:szCs w:val="16"/>
              </w:rPr>
            </w:pPr>
            <w:r w:rsidRPr="00862EFB">
              <w:rPr>
                <w:rFonts w:cstheme="minorHAnsi"/>
                <w:sz w:val="16"/>
                <w:szCs w:val="16"/>
              </w:rPr>
              <w:t>How many eggs make up a recommended serving of protein*</w:t>
            </w:r>
          </w:p>
        </w:tc>
        <w:tc>
          <w:tcPr>
            <w:tcW w:w="3261" w:type="dxa"/>
            <w:vMerge w:val="restart"/>
          </w:tcPr>
          <w:p w14:paraId="47222777" w14:textId="77777777" w:rsidR="008A7196" w:rsidRPr="00862EFB" w:rsidRDefault="008A7196" w:rsidP="00C169F5">
            <w:pPr>
              <w:spacing w:line="360" w:lineRule="auto"/>
              <w:rPr>
                <w:rFonts w:cstheme="minorHAnsi"/>
                <w:sz w:val="16"/>
                <w:szCs w:val="16"/>
              </w:rPr>
            </w:pPr>
            <w:r w:rsidRPr="00862EFB">
              <w:rPr>
                <w:rFonts w:cstheme="minorHAnsi"/>
                <w:sz w:val="16"/>
                <w:szCs w:val="16"/>
              </w:rPr>
              <w:t>[2] 160 (52.3)</w:t>
            </w:r>
          </w:p>
          <w:p w14:paraId="0450D727" w14:textId="77777777" w:rsidR="008A7196" w:rsidRPr="00862EFB" w:rsidRDefault="008A7196" w:rsidP="00C169F5">
            <w:pPr>
              <w:spacing w:line="360" w:lineRule="auto"/>
              <w:rPr>
                <w:rFonts w:cstheme="minorHAnsi"/>
                <w:sz w:val="16"/>
                <w:szCs w:val="16"/>
              </w:rPr>
            </w:pPr>
          </w:p>
        </w:tc>
        <w:tc>
          <w:tcPr>
            <w:tcW w:w="3024" w:type="dxa"/>
          </w:tcPr>
          <w:p w14:paraId="2C5A9B42" w14:textId="77777777" w:rsidR="008A7196" w:rsidRPr="00862EFB" w:rsidRDefault="008A7196" w:rsidP="00C169F5">
            <w:pPr>
              <w:spacing w:line="360" w:lineRule="auto"/>
              <w:rPr>
                <w:rFonts w:cstheme="minorHAnsi"/>
                <w:sz w:val="16"/>
                <w:szCs w:val="16"/>
              </w:rPr>
            </w:pPr>
            <w:r w:rsidRPr="00862EFB">
              <w:rPr>
                <w:rFonts w:cstheme="minorHAnsi"/>
                <w:sz w:val="16"/>
                <w:szCs w:val="16"/>
              </w:rPr>
              <w:t>[1] 98 (27.2)</w:t>
            </w:r>
          </w:p>
        </w:tc>
      </w:tr>
      <w:tr w:rsidR="008A7196" w:rsidRPr="00862EFB" w14:paraId="2C17ADFB" w14:textId="77777777" w:rsidTr="00C169F5">
        <w:trPr>
          <w:trHeight w:val="97"/>
        </w:trPr>
        <w:tc>
          <w:tcPr>
            <w:tcW w:w="8789" w:type="dxa"/>
            <w:vMerge/>
          </w:tcPr>
          <w:p w14:paraId="2A55560C" w14:textId="77777777" w:rsidR="008A7196" w:rsidRPr="00862EFB" w:rsidRDefault="008A7196" w:rsidP="00C169F5">
            <w:pPr>
              <w:spacing w:line="360" w:lineRule="auto"/>
              <w:rPr>
                <w:rFonts w:cstheme="minorHAnsi"/>
                <w:sz w:val="16"/>
                <w:szCs w:val="16"/>
              </w:rPr>
            </w:pPr>
          </w:p>
        </w:tc>
        <w:tc>
          <w:tcPr>
            <w:tcW w:w="3261" w:type="dxa"/>
            <w:vMerge/>
          </w:tcPr>
          <w:p w14:paraId="26D2C601" w14:textId="77777777" w:rsidR="008A7196" w:rsidRPr="00862EFB" w:rsidRDefault="008A7196" w:rsidP="00C169F5">
            <w:pPr>
              <w:spacing w:line="360" w:lineRule="auto"/>
              <w:rPr>
                <w:rFonts w:cstheme="minorHAnsi"/>
                <w:sz w:val="16"/>
                <w:szCs w:val="16"/>
              </w:rPr>
            </w:pPr>
          </w:p>
        </w:tc>
        <w:tc>
          <w:tcPr>
            <w:tcW w:w="3024" w:type="dxa"/>
          </w:tcPr>
          <w:p w14:paraId="7F02DE50" w14:textId="77777777" w:rsidR="008A7196" w:rsidRPr="00862EFB" w:rsidRDefault="008A7196" w:rsidP="00C169F5">
            <w:pPr>
              <w:spacing w:line="360" w:lineRule="auto"/>
              <w:rPr>
                <w:rFonts w:cstheme="minorHAnsi"/>
                <w:sz w:val="16"/>
                <w:szCs w:val="16"/>
              </w:rPr>
            </w:pPr>
            <w:r w:rsidRPr="00862EFB">
              <w:rPr>
                <w:rFonts w:cstheme="minorHAnsi"/>
                <w:sz w:val="16"/>
                <w:szCs w:val="16"/>
              </w:rPr>
              <w:t>[3] 15 (4.9)</w:t>
            </w:r>
          </w:p>
        </w:tc>
      </w:tr>
      <w:tr w:rsidR="008A7196" w:rsidRPr="00862EFB" w14:paraId="4741E363" w14:textId="77777777" w:rsidTr="00C169F5">
        <w:trPr>
          <w:trHeight w:val="97"/>
        </w:trPr>
        <w:tc>
          <w:tcPr>
            <w:tcW w:w="8789" w:type="dxa"/>
            <w:vMerge/>
          </w:tcPr>
          <w:p w14:paraId="237A4709" w14:textId="77777777" w:rsidR="008A7196" w:rsidRPr="00862EFB" w:rsidRDefault="008A7196" w:rsidP="00C169F5">
            <w:pPr>
              <w:spacing w:line="360" w:lineRule="auto"/>
              <w:rPr>
                <w:rFonts w:cstheme="minorHAnsi"/>
                <w:sz w:val="16"/>
                <w:szCs w:val="16"/>
              </w:rPr>
            </w:pPr>
          </w:p>
        </w:tc>
        <w:tc>
          <w:tcPr>
            <w:tcW w:w="3261" w:type="dxa"/>
            <w:vMerge/>
          </w:tcPr>
          <w:p w14:paraId="2503D75F" w14:textId="77777777" w:rsidR="008A7196" w:rsidRPr="00862EFB" w:rsidRDefault="008A7196" w:rsidP="00C169F5">
            <w:pPr>
              <w:spacing w:line="360" w:lineRule="auto"/>
              <w:rPr>
                <w:rFonts w:cstheme="minorHAnsi"/>
                <w:sz w:val="16"/>
                <w:szCs w:val="16"/>
              </w:rPr>
            </w:pPr>
          </w:p>
        </w:tc>
        <w:tc>
          <w:tcPr>
            <w:tcW w:w="3024" w:type="dxa"/>
          </w:tcPr>
          <w:p w14:paraId="1F6A2CB5" w14:textId="77777777" w:rsidR="008A7196" w:rsidRPr="00862EFB" w:rsidRDefault="008A7196" w:rsidP="00C169F5">
            <w:pPr>
              <w:spacing w:line="360" w:lineRule="auto"/>
              <w:rPr>
                <w:rFonts w:cstheme="minorHAnsi"/>
                <w:sz w:val="16"/>
                <w:szCs w:val="16"/>
              </w:rPr>
            </w:pPr>
            <w:r w:rsidRPr="00862EFB">
              <w:rPr>
                <w:rFonts w:cstheme="minorHAnsi"/>
                <w:sz w:val="16"/>
                <w:szCs w:val="16"/>
              </w:rPr>
              <w:t>[4] 3 (1.0)</w:t>
            </w:r>
          </w:p>
        </w:tc>
      </w:tr>
      <w:tr w:rsidR="008A7196" w:rsidRPr="00862EFB" w14:paraId="4B518921" w14:textId="77777777" w:rsidTr="00C169F5">
        <w:trPr>
          <w:trHeight w:val="74"/>
        </w:trPr>
        <w:tc>
          <w:tcPr>
            <w:tcW w:w="8789" w:type="dxa"/>
            <w:vMerge/>
          </w:tcPr>
          <w:p w14:paraId="45BD1951" w14:textId="77777777" w:rsidR="008A7196" w:rsidRPr="00862EFB" w:rsidRDefault="008A7196" w:rsidP="00C169F5">
            <w:pPr>
              <w:spacing w:line="360" w:lineRule="auto"/>
              <w:rPr>
                <w:rFonts w:cstheme="minorHAnsi"/>
                <w:sz w:val="16"/>
                <w:szCs w:val="16"/>
              </w:rPr>
            </w:pPr>
          </w:p>
        </w:tc>
        <w:tc>
          <w:tcPr>
            <w:tcW w:w="3261" w:type="dxa"/>
            <w:vMerge/>
          </w:tcPr>
          <w:p w14:paraId="028115CA" w14:textId="77777777" w:rsidR="008A7196" w:rsidRPr="00862EFB" w:rsidRDefault="008A7196" w:rsidP="00C169F5">
            <w:pPr>
              <w:spacing w:line="360" w:lineRule="auto"/>
              <w:rPr>
                <w:rFonts w:cstheme="minorHAnsi"/>
                <w:sz w:val="16"/>
                <w:szCs w:val="16"/>
              </w:rPr>
            </w:pPr>
          </w:p>
        </w:tc>
        <w:tc>
          <w:tcPr>
            <w:tcW w:w="3024" w:type="dxa"/>
          </w:tcPr>
          <w:p w14:paraId="2D2DA64C" w14:textId="77777777" w:rsidR="008A7196" w:rsidRPr="00862EFB" w:rsidRDefault="008A7196" w:rsidP="00C169F5">
            <w:pPr>
              <w:spacing w:line="360" w:lineRule="auto"/>
              <w:rPr>
                <w:rFonts w:cstheme="minorHAnsi"/>
                <w:sz w:val="16"/>
                <w:szCs w:val="16"/>
              </w:rPr>
            </w:pPr>
            <w:r w:rsidRPr="00862EFB">
              <w:rPr>
                <w:rFonts w:cstheme="minorHAnsi"/>
                <w:sz w:val="16"/>
                <w:szCs w:val="16"/>
              </w:rPr>
              <w:t>[Not sure] 45 (14.7)</w:t>
            </w:r>
          </w:p>
        </w:tc>
      </w:tr>
      <w:tr w:rsidR="008A7196" w:rsidRPr="00862EFB" w14:paraId="03EC8666" w14:textId="77777777" w:rsidTr="00C169F5">
        <w:trPr>
          <w:trHeight w:val="245"/>
        </w:trPr>
        <w:tc>
          <w:tcPr>
            <w:tcW w:w="8789" w:type="dxa"/>
            <w:vMerge w:val="restart"/>
          </w:tcPr>
          <w:p w14:paraId="12068777" w14:textId="77777777" w:rsidR="008A7196" w:rsidRPr="00862EFB" w:rsidRDefault="008A7196" w:rsidP="00C169F5">
            <w:pPr>
              <w:spacing w:line="360" w:lineRule="auto"/>
              <w:rPr>
                <w:rFonts w:cstheme="minorHAnsi"/>
                <w:sz w:val="16"/>
                <w:szCs w:val="16"/>
              </w:rPr>
            </w:pPr>
            <w:r w:rsidRPr="00862EFB">
              <w:rPr>
                <w:rFonts w:cstheme="minorHAnsi"/>
                <w:sz w:val="16"/>
                <w:szCs w:val="16"/>
              </w:rPr>
              <w:t>Which health condition has been linked with low protein intakes?</w:t>
            </w:r>
          </w:p>
        </w:tc>
        <w:tc>
          <w:tcPr>
            <w:tcW w:w="3261" w:type="dxa"/>
            <w:vMerge w:val="restart"/>
          </w:tcPr>
          <w:p w14:paraId="1F8796DB" w14:textId="77777777" w:rsidR="008A7196" w:rsidRPr="00862EFB" w:rsidRDefault="008A7196" w:rsidP="00C169F5">
            <w:pPr>
              <w:spacing w:line="360" w:lineRule="auto"/>
              <w:rPr>
                <w:rFonts w:cstheme="minorHAnsi"/>
                <w:sz w:val="16"/>
                <w:szCs w:val="16"/>
              </w:rPr>
            </w:pPr>
            <w:r w:rsidRPr="00862EFB">
              <w:rPr>
                <w:rFonts w:cstheme="minorHAnsi"/>
                <w:sz w:val="16"/>
                <w:szCs w:val="16"/>
              </w:rPr>
              <w:t>[Muscle wasting (sarcopenia)] 264 (86.2)</w:t>
            </w:r>
          </w:p>
        </w:tc>
        <w:tc>
          <w:tcPr>
            <w:tcW w:w="3024" w:type="dxa"/>
          </w:tcPr>
          <w:p w14:paraId="2FB312FF" w14:textId="77777777" w:rsidR="008A7196" w:rsidRPr="00862EFB" w:rsidRDefault="008A7196" w:rsidP="00C169F5">
            <w:pPr>
              <w:spacing w:line="360" w:lineRule="auto"/>
              <w:rPr>
                <w:rFonts w:cstheme="minorHAnsi"/>
                <w:sz w:val="16"/>
                <w:szCs w:val="16"/>
              </w:rPr>
            </w:pPr>
            <w:r w:rsidRPr="00862EFB">
              <w:rPr>
                <w:rFonts w:cstheme="minorHAnsi"/>
                <w:sz w:val="16"/>
                <w:szCs w:val="16"/>
              </w:rPr>
              <w:t>Brittle bones 22 (7.2)</w:t>
            </w:r>
          </w:p>
        </w:tc>
      </w:tr>
      <w:tr w:rsidR="008A7196" w:rsidRPr="00862EFB" w14:paraId="12840B69" w14:textId="77777777" w:rsidTr="00C169F5">
        <w:trPr>
          <w:trHeight w:val="97"/>
        </w:trPr>
        <w:tc>
          <w:tcPr>
            <w:tcW w:w="8789" w:type="dxa"/>
            <w:vMerge/>
          </w:tcPr>
          <w:p w14:paraId="23ECAEA7" w14:textId="77777777" w:rsidR="008A7196" w:rsidRPr="00862EFB" w:rsidRDefault="008A7196" w:rsidP="00C169F5">
            <w:pPr>
              <w:spacing w:line="360" w:lineRule="auto"/>
              <w:rPr>
                <w:rFonts w:cstheme="minorHAnsi"/>
                <w:sz w:val="16"/>
                <w:szCs w:val="16"/>
              </w:rPr>
            </w:pPr>
          </w:p>
        </w:tc>
        <w:tc>
          <w:tcPr>
            <w:tcW w:w="3261" w:type="dxa"/>
            <w:vMerge/>
          </w:tcPr>
          <w:p w14:paraId="49F50DF7" w14:textId="77777777" w:rsidR="008A7196" w:rsidRPr="00862EFB" w:rsidRDefault="008A7196" w:rsidP="00C169F5">
            <w:pPr>
              <w:spacing w:line="360" w:lineRule="auto"/>
              <w:rPr>
                <w:rFonts w:cstheme="minorHAnsi"/>
                <w:sz w:val="16"/>
                <w:szCs w:val="16"/>
              </w:rPr>
            </w:pPr>
          </w:p>
        </w:tc>
        <w:tc>
          <w:tcPr>
            <w:tcW w:w="3024" w:type="dxa"/>
          </w:tcPr>
          <w:p w14:paraId="592599A4" w14:textId="77777777" w:rsidR="008A7196" w:rsidRPr="00862EFB" w:rsidRDefault="008A7196" w:rsidP="00C169F5">
            <w:pPr>
              <w:spacing w:line="360" w:lineRule="auto"/>
              <w:rPr>
                <w:rFonts w:cstheme="minorHAnsi"/>
                <w:sz w:val="16"/>
                <w:szCs w:val="16"/>
              </w:rPr>
            </w:pPr>
            <w:r w:rsidRPr="00862EFB">
              <w:rPr>
                <w:rFonts w:cstheme="minorHAnsi"/>
                <w:sz w:val="16"/>
                <w:szCs w:val="16"/>
              </w:rPr>
              <w:t>Diabetes 3 (1)</w:t>
            </w:r>
          </w:p>
        </w:tc>
      </w:tr>
      <w:tr w:rsidR="008A7196" w:rsidRPr="00862EFB" w14:paraId="015B2948" w14:textId="77777777" w:rsidTr="00C169F5">
        <w:trPr>
          <w:trHeight w:val="97"/>
        </w:trPr>
        <w:tc>
          <w:tcPr>
            <w:tcW w:w="8789" w:type="dxa"/>
            <w:vMerge/>
          </w:tcPr>
          <w:p w14:paraId="6EB68505" w14:textId="77777777" w:rsidR="008A7196" w:rsidRPr="00862EFB" w:rsidRDefault="008A7196" w:rsidP="00C169F5">
            <w:pPr>
              <w:spacing w:line="360" w:lineRule="auto"/>
              <w:rPr>
                <w:rFonts w:cstheme="minorHAnsi"/>
                <w:sz w:val="16"/>
                <w:szCs w:val="16"/>
              </w:rPr>
            </w:pPr>
          </w:p>
        </w:tc>
        <w:tc>
          <w:tcPr>
            <w:tcW w:w="3261" w:type="dxa"/>
            <w:vMerge/>
          </w:tcPr>
          <w:p w14:paraId="6B1A14C3" w14:textId="77777777" w:rsidR="008A7196" w:rsidRPr="00862EFB" w:rsidRDefault="008A7196" w:rsidP="00C169F5">
            <w:pPr>
              <w:spacing w:line="360" w:lineRule="auto"/>
              <w:rPr>
                <w:rFonts w:cstheme="minorHAnsi"/>
                <w:sz w:val="16"/>
                <w:szCs w:val="16"/>
              </w:rPr>
            </w:pPr>
          </w:p>
        </w:tc>
        <w:tc>
          <w:tcPr>
            <w:tcW w:w="3024" w:type="dxa"/>
          </w:tcPr>
          <w:p w14:paraId="629B7818" w14:textId="77777777" w:rsidR="008A7196" w:rsidRPr="00862EFB" w:rsidRDefault="008A7196" w:rsidP="00C169F5">
            <w:pPr>
              <w:spacing w:line="360" w:lineRule="auto"/>
              <w:rPr>
                <w:rFonts w:cstheme="minorHAnsi"/>
                <w:sz w:val="16"/>
                <w:szCs w:val="16"/>
              </w:rPr>
            </w:pPr>
            <w:r w:rsidRPr="00862EFB">
              <w:rPr>
                <w:rFonts w:cstheme="minorHAnsi"/>
                <w:sz w:val="16"/>
                <w:szCs w:val="16"/>
              </w:rPr>
              <w:t>Heart disease (5.6)</w:t>
            </w:r>
          </w:p>
        </w:tc>
      </w:tr>
      <w:tr w:rsidR="008A7196" w:rsidRPr="00862EFB" w14:paraId="7D999FD7" w14:textId="77777777" w:rsidTr="00C169F5">
        <w:trPr>
          <w:trHeight w:val="74"/>
        </w:trPr>
        <w:tc>
          <w:tcPr>
            <w:tcW w:w="8789" w:type="dxa"/>
            <w:vMerge w:val="restart"/>
          </w:tcPr>
          <w:p w14:paraId="214B6C9A" w14:textId="77777777" w:rsidR="008A7196" w:rsidRPr="00862EFB" w:rsidRDefault="008A7196" w:rsidP="00C169F5">
            <w:pPr>
              <w:spacing w:line="360" w:lineRule="auto"/>
              <w:rPr>
                <w:rFonts w:cstheme="minorHAnsi"/>
                <w:sz w:val="16"/>
                <w:szCs w:val="16"/>
              </w:rPr>
            </w:pPr>
            <w:r w:rsidRPr="00862EFB">
              <w:rPr>
                <w:rFonts w:cstheme="minorHAnsi"/>
                <w:sz w:val="16"/>
                <w:szCs w:val="16"/>
              </w:rPr>
              <w:t>Experts recommend that we eat protein daily, how much is the recommended daily serving for adults, per day?</w:t>
            </w:r>
          </w:p>
        </w:tc>
        <w:tc>
          <w:tcPr>
            <w:tcW w:w="3261" w:type="dxa"/>
            <w:vMerge w:val="restart"/>
          </w:tcPr>
          <w:p w14:paraId="65920152" w14:textId="77777777" w:rsidR="008A7196" w:rsidRPr="00862EFB" w:rsidRDefault="008A7196" w:rsidP="00C169F5">
            <w:pPr>
              <w:spacing w:line="360" w:lineRule="auto"/>
              <w:rPr>
                <w:rFonts w:cstheme="minorHAnsi"/>
                <w:sz w:val="16"/>
                <w:szCs w:val="16"/>
              </w:rPr>
            </w:pPr>
            <w:r w:rsidRPr="00862EFB">
              <w:rPr>
                <w:rFonts w:cstheme="minorHAnsi"/>
                <w:sz w:val="16"/>
                <w:szCs w:val="16"/>
              </w:rPr>
              <w:t>[0.75 g/kg BM] 157 (51.3)</w:t>
            </w:r>
          </w:p>
        </w:tc>
        <w:tc>
          <w:tcPr>
            <w:tcW w:w="3024" w:type="dxa"/>
          </w:tcPr>
          <w:p w14:paraId="2D49A708" w14:textId="77777777" w:rsidR="008A7196" w:rsidRPr="00862EFB" w:rsidRDefault="008A7196" w:rsidP="00C169F5">
            <w:pPr>
              <w:spacing w:line="360" w:lineRule="auto"/>
              <w:rPr>
                <w:rFonts w:cstheme="minorHAnsi"/>
                <w:sz w:val="16"/>
                <w:szCs w:val="16"/>
              </w:rPr>
            </w:pPr>
            <w:r w:rsidRPr="00862EFB">
              <w:rPr>
                <w:rFonts w:cstheme="minorHAnsi"/>
                <w:sz w:val="16"/>
                <w:szCs w:val="16"/>
              </w:rPr>
              <w:t>144 (47)</w:t>
            </w:r>
          </w:p>
        </w:tc>
      </w:tr>
      <w:tr w:rsidR="008A7196" w:rsidRPr="00862EFB" w14:paraId="6EFB35CF" w14:textId="77777777" w:rsidTr="00C169F5">
        <w:trPr>
          <w:trHeight w:val="97"/>
        </w:trPr>
        <w:tc>
          <w:tcPr>
            <w:tcW w:w="8789" w:type="dxa"/>
            <w:vMerge/>
          </w:tcPr>
          <w:p w14:paraId="0995F551" w14:textId="77777777" w:rsidR="008A7196" w:rsidRPr="00862EFB" w:rsidRDefault="008A7196" w:rsidP="00C169F5">
            <w:pPr>
              <w:spacing w:line="360" w:lineRule="auto"/>
              <w:rPr>
                <w:rFonts w:cstheme="minorHAnsi"/>
                <w:sz w:val="16"/>
                <w:szCs w:val="16"/>
              </w:rPr>
            </w:pPr>
          </w:p>
        </w:tc>
        <w:tc>
          <w:tcPr>
            <w:tcW w:w="3261" w:type="dxa"/>
            <w:vMerge/>
          </w:tcPr>
          <w:p w14:paraId="58F0E1CA" w14:textId="77777777" w:rsidR="008A7196" w:rsidRPr="00862EFB" w:rsidRDefault="008A7196" w:rsidP="00C169F5">
            <w:pPr>
              <w:spacing w:line="360" w:lineRule="auto"/>
              <w:rPr>
                <w:rFonts w:cstheme="minorHAnsi"/>
                <w:sz w:val="16"/>
                <w:szCs w:val="16"/>
              </w:rPr>
            </w:pPr>
          </w:p>
        </w:tc>
        <w:tc>
          <w:tcPr>
            <w:tcW w:w="3024" w:type="dxa"/>
          </w:tcPr>
          <w:p w14:paraId="2C12F985" w14:textId="77777777" w:rsidR="008A7196" w:rsidRPr="00862EFB" w:rsidRDefault="008A7196" w:rsidP="00C169F5">
            <w:pPr>
              <w:spacing w:line="360" w:lineRule="auto"/>
              <w:rPr>
                <w:rFonts w:cstheme="minorHAnsi"/>
                <w:sz w:val="16"/>
                <w:szCs w:val="16"/>
              </w:rPr>
            </w:pPr>
            <w:r w:rsidRPr="00862EFB">
              <w:rPr>
                <w:rFonts w:cstheme="minorHAnsi"/>
                <w:sz w:val="16"/>
                <w:szCs w:val="16"/>
              </w:rPr>
              <w:t>[0.25 g/kg BM] 36 (11.8)</w:t>
            </w:r>
          </w:p>
        </w:tc>
      </w:tr>
      <w:tr w:rsidR="008A7196" w:rsidRPr="00862EFB" w14:paraId="4079E231" w14:textId="77777777" w:rsidTr="00C169F5">
        <w:trPr>
          <w:trHeight w:val="97"/>
        </w:trPr>
        <w:tc>
          <w:tcPr>
            <w:tcW w:w="8789" w:type="dxa"/>
            <w:vMerge/>
          </w:tcPr>
          <w:p w14:paraId="364C45E1" w14:textId="77777777" w:rsidR="008A7196" w:rsidRPr="00862EFB" w:rsidRDefault="008A7196" w:rsidP="00C169F5">
            <w:pPr>
              <w:spacing w:line="360" w:lineRule="auto"/>
              <w:rPr>
                <w:rFonts w:cstheme="minorHAnsi"/>
                <w:sz w:val="16"/>
                <w:szCs w:val="16"/>
              </w:rPr>
            </w:pPr>
          </w:p>
        </w:tc>
        <w:tc>
          <w:tcPr>
            <w:tcW w:w="3261" w:type="dxa"/>
            <w:vMerge/>
          </w:tcPr>
          <w:p w14:paraId="27218FFF" w14:textId="77777777" w:rsidR="008A7196" w:rsidRPr="00862EFB" w:rsidRDefault="008A7196" w:rsidP="00C169F5">
            <w:pPr>
              <w:spacing w:line="360" w:lineRule="auto"/>
              <w:rPr>
                <w:rFonts w:cstheme="minorHAnsi"/>
                <w:sz w:val="16"/>
                <w:szCs w:val="16"/>
              </w:rPr>
            </w:pPr>
          </w:p>
        </w:tc>
        <w:tc>
          <w:tcPr>
            <w:tcW w:w="3024" w:type="dxa"/>
          </w:tcPr>
          <w:p w14:paraId="4D9DF983" w14:textId="77777777" w:rsidR="008A7196" w:rsidRPr="00862EFB" w:rsidRDefault="008A7196" w:rsidP="00C169F5">
            <w:pPr>
              <w:spacing w:line="360" w:lineRule="auto"/>
              <w:rPr>
                <w:rFonts w:cstheme="minorHAnsi"/>
                <w:sz w:val="16"/>
                <w:szCs w:val="16"/>
              </w:rPr>
            </w:pPr>
            <w:r w:rsidRPr="00862EFB">
              <w:rPr>
                <w:rFonts w:cstheme="minorHAnsi"/>
                <w:sz w:val="16"/>
                <w:szCs w:val="16"/>
              </w:rPr>
              <w:t>[0.5 g/kg BM] 54 (17.6)</w:t>
            </w:r>
          </w:p>
        </w:tc>
      </w:tr>
      <w:tr w:rsidR="008A7196" w:rsidRPr="00862EFB" w14:paraId="7CFE0264" w14:textId="77777777" w:rsidTr="00C169F5">
        <w:trPr>
          <w:trHeight w:val="97"/>
        </w:trPr>
        <w:tc>
          <w:tcPr>
            <w:tcW w:w="8789" w:type="dxa"/>
            <w:vMerge/>
          </w:tcPr>
          <w:p w14:paraId="1EE75635" w14:textId="77777777" w:rsidR="008A7196" w:rsidRPr="00862EFB" w:rsidRDefault="008A7196" w:rsidP="00C169F5">
            <w:pPr>
              <w:spacing w:line="360" w:lineRule="auto"/>
              <w:rPr>
                <w:rFonts w:cstheme="minorHAnsi"/>
                <w:sz w:val="16"/>
                <w:szCs w:val="16"/>
              </w:rPr>
            </w:pPr>
          </w:p>
        </w:tc>
        <w:tc>
          <w:tcPr>
            <w:tcW w:w="3261" w:type="dxa"/>
            <w:vMerge/>
          </w:tcPr>
          <w:p w14:paraId="2BE2F204" w14:textId="77777777" w:rsidR="008A7196" w:rsidRPr="00862EFB" w:rsidRDefault="008A7196" w:rsidP="00C169F5">
            <w:pPr>
              <w:spacing w:line="360" w:lineRule="auto"/>
              <w:rPr>
                <w:rFonts w:cstheme="minorHAnsi"/>
                <w:sz w:val="16"/>
                <w:szCs w:val="16"/>
              </w:rPr>
            </w:pPr>
          </w:p>
        </w:tc>
        <w:tc>
          <w:tcPr>
            <w:tcW w:w="3024" w:type="dxa"/>
          </w:tcPr>
          <w:p w14:paraId="3C6B5739" w14:textId="77777777" w:rsidR="008A7196" w:rsidRPr="00862EFB" w:rsidRDefault="008A7196" w:rsidP="00C169F5">
            <w:pPr>
              <w:spacing w:line="360" w:lineRule="auto"/>
              <w:rPr>
                <w:rFonts w:cstheme="minorHAnsi"/>
                <w:sz w:val="16"/>
                <w:szCs w:val="16"/>
              </w:rPr>
            </w:pPr>
            <w:r w:rsidRPr="00862EFB">
              <w:rPr>
                <w:rFonts w:cstheme="minorHAnsi"/>
                <w:sz w:val="16"/>
                <w:szCs w:val="16"/>
              </w:rPr>
              <w:t>[1.5 g/kg BM] 54 (17.6)</w:t>
            </w:r>
          </w:p>
        </w:tc>
      </w:tr>
      <w:tr w:rsidR="008A7196" w:rsidRPr="00862EFB" w14:paraId="30E33C05" w14:textId="77777777" w:rsidTr="00C169F5">
        <w:trPr>
          <w:trHeight w:val="185"/>
        </w:trPr>
        <w:tc>
          <w:tcPr>
            <w:tcW w:w="8789" w:type="dxa"/>
            <w:vMerge w:val="restart"/>
          </w:tcPr>
          <w:p w14:paraId="37AEAA9E" w14:textId="77777777" w:rsidR="008A7196" w:rsidRPr="00862EFB" w:rsidRDefault="008A7196" w:rsidP="00C169F5">
            <w:pPr>
              <w:spacing w:line="360" w:lineRule="auto"/>
              <w:rPr>
                <w:rFonts w:cstheme="minorHAnsi"/>
                <w:sz w:val="16"/>
                <w:szCs w:val="16"/>
              </w:rPr>
            </w:pPr>
            <w:r w:rsidRPr="00862EFB">
              <w:rPr>
                <w:rFonts w:cstheme="minorHAnsi"/>
                <w:sz w:val="16"/>
                <w:szCs w:val="16"/>
              </w:rPr>
              <w:t>Experts recommend that we eat protein daily, how much is the recommended daily serving for adults, per day? #</w:t>
            </w:r>
          </w:p>
        </w:tc>
        <w:tc>
          <w:tcPr>
            <w:tcW w:w="3261" w:type="dxa"/>
            <w:vMerge w:val="restart"/>
          </w:tcPr>
          <w:p w14:paraId="42D445A4" w14:textId="77777777" w:rsidR="008A7196" w:rsidRPr="00862EFB" w:rsidRDefault="008A7196" w:rsidP="00C169F5">
            <w:pPr>
              <w:spacing w:line="360" w:lineRule="auto"/>
              <w:rPr>
                <w:rFonts w:cstheme="minorHAnsi"/>
                <w:sz w:val="16"/>
                <w:szCs w:val="16"/>
              </w:rPr>
            </w:pPr>
            <w:r w:rsidRPr="00862EFB">
              <w:rPr>
                <w:rFonts w:cstheme="minorHAnsi"/>
                <w:sz w:val="16"/>
                <w:szCs w:val="16"/>
              </w:rPr>
              <w:t>[More] 142 (46.4)</w:t>
            </w:r>
          </w:p>
        </w:tc>
        <w:tc>
          <w:tcPr>
            <w:tcW w:w="3024" w:type="dxa"/>
          </w:tcPr>
          <w:p w14:paraId="6480810A" w14:textId="77777777" w:rsidR="008A7196" w:rsidRPr="00862EFB" w:rsidRDefault="008A7196" w:rsidP="00C169F5">
            <w:pPr>
              <w:spacing w:line="360" w:lineRule="auto"/>
              <w:rPr>
                <w:rFonts w:cstheme="minorHAnsi"/>
                <w:sz w:val="16"/>
                <w:szCs w:val="16"/>
              </w:rPr>
            </w:pPr>
            <w:r w:rsidRPr="00862EFB">
              <w:rPr>
                <w:rFonts w:cstheme="minorHAnsi"/>
                <w:sz w:val="16"/>
                <w:szCs w:val="16"/>
              </w:rPr>
              <w:t>[Less] 62 (20.3)</w:t>
            </w:r>
          </w:p>
        </w:tc>
      </w:tr>
      <w:tr w:rsidR="008A7196" w:rsidRPr="00862EFB" w14:paraId="42DCB7CA" w14:textId="77777777" w:rsidTr="00C169F5">
        <w:trPr>
          <w:trHeight w:val="74"/>
        </w:trPr>
        <w:tc>
          <w:tcPr>
            <w:tcW w:w="8789" w:type="dxa"/>
            <w:vMerge/>
          </w:tcPr>
          <w:p w14:paraId="18824810" w14:textId="77777777" w:rsidR="008A7196" w:rsidRPr="00862EFB" w:rsidRDefault="008A7196" w:rsidP="00C169F5">
            <w:pPr>
              <w:spacing w:line="360" w:lineRule="auto"/>
              <w:rPr>
                <w:rFonts w:cstheme="minorHAnsi"/>
                <w:sz w:val="16"/>
                <w:szCs w:val="16"/>
              </w:rPr>
            </w:pPr>
          </w:p>
        </w:tc>
        <w:tc>
          <w:tcPr>
            <w:tcW w:w="3261" w:type="dxa"/>
            <w:vMerge/>
          </w:tcPr>
          <w:p w14:paraId="591342C9" w14:textId="77777777" w:rsidR="008A7196" w:rsidRPr="00862EFB" w:rsidRDefault="008A7196" w:rsidP="00C169F5">
            <w:pPr>
              <w:spacing w:line="360" w:lineRule="auto"/>
              <w:rPr>
                <w:rFonts w:cstheme="minorHAnsi"/>
                <w:sz w:val="16"/>
                <w:szCs w:val="16"/>
              </w:rPr>
            </w:pPr>
          </w:p>
        </w:tc>
        <w:tc>
          <w:tcPr>
            <w:tcW w:w="3024" w:type="dxa"/>
          </w:tcPr>
          <w:p w14:paraId="52F602F8" w14:textId="77777777" w:rsidR="008A7196" w:rsidRPr="00862EFB" w:rsidRDefault="008A7196" w:rsidP="00C169F5">
            <w:pPr>
              <w:spacing w:line="360" w:lineRule="auto"/>
              <w:rPr>
                <w:rFonts w:cstheme="minorHAnsi"/>
                <w:sz w:val="16"/>
                <w:szCs w:val="16"/>
              </w:rPr>
            </w:pPr>
            <w:r w:rsidRPr="00862EFB">
              <w:rPr>
                <w:rFonts w:cstheme="minorHAnsi"/>
                <w:sz w:val="16"/>
                <w:szCs w:val="16"/>
              </w:rPr>
              <w:t>[The same] (32.7)</w:t>
            </w:r>
          </w:p>
        </w:tc>
      </w:tr>
      <w:tr w:rsidR="008A7196" w:rsidRPr="00862EFB" w14:paraId="04D18B91" w14:textId="77777777" w:rsidTr="00C169F5">
        <w:trPr>
          <w:trHeight w:val="74"/>
        </w:trPr>
        <w:tc>
          <w:tcPr>
            <w:tcW w:w="8789" w:type="dxa"/>
            <w:vMerge w:val="restart"/>
          </w:tcPr>
          <w:p w14:paraId="2883961A" w14:textId="77777777" w:rsidR="008A7196" w:rsidRPr="00862EFB" w:rsidRDefault="008A7196" w:rsidP="00C169F5">
            <w:pPr>
              <w:spacing w:line="360" w:lineRule="auto"/>
              <w:rPr>
                <w:rFonts w:cstheme="minorHAnsi"/>
                <w:sz w:val="16"/>
                <w:szCs w:val="16"/>
              </w:rPr>
            </w:pPr>
            <w:r w:rsidRPr="00862EFB">
              <w:rPr>
                <w:rFonts w:cstheme="minorHAnsi"/>
                <w:sz w:val="16"/>
                <w:szCs w:val="16"/>
              </w:rPr>
              <w:t>How many meals should include protein.</w:t>
            </w:r>
          </w:p>
        </w:tc>
        <w:tc>
          <w:tcPr>
            <w:tcW w:w="3261" w:type="dxa"/>
            <w:vMerge w:val="restart"/>
          </w:tcPr>
          <w:p w14:paraId="5B22357E" w14:textId="77777777" w:rsidR="008A7196" w:rsidRPr="00862EFB" w:rsidRDefault="008A7196" w:rsidP="00C169F5">
            <w:pPr>
              <w:spacing w:line="360" w:lineRule="auto"/>
              <w:rPr>
                <w:rFonts w:cstheme="minorHAnsi"/>
                <w:sz w:val="16"/>
                <w:szCs w:val="16"/>
              </w:rPr>
            </w:pPr>
            <w:r w:rsidRPr="00862EFB">
              <w:rPr>
                <w:rFonts w:cstheme="minorHAnsi"/>
                <w:sz w:val="16"/>
                <w:szCs w:val="16"/>
              </w:rPr>
              <w:t>[3 meals] 124 (40.5)</w:t>
            </w:r>
          </w:p>
        </w:tc>
        <w:tc>
          <w:tcPr>
            <w:tcW w:w="3024" w:type="dxa"/>
          </w:tcPr>
          <w:p w14:paraId="4A6AF8A4" w14:textId="77777777" w:rsidR="008A7196" w:rsidRPr="00862EFB" w:rsidRDefault="008A7196" w:rsidP="00C169F5">
            <w:pPr>
              <w:spacing w:line="360" w:lineRule="auto"/>
              <w:rPr>
                <w:rFonts w:cstheme="minorHAnsi"/>
                <w:sz w:val="16"/>
                <w:szCs w:val="16"/>
              </w:rPr>
            </w:pPr>
            <w:r w:rsidRPr="00862EFB">
              <w:rPr>
                <w:rFonts w:cstheme="minorHAnsi"/>
                <w:sz w:val="16"/>
                <w:szCs w:val="16"/>
              </w:rPr>
              <w:t>[1 meal] 22 (7.2)</w:t>
            </w:r>
          </w:p>
        </w:tc>
      </w:tr>
      <w:tr w:rsidR="008A7196" w:rsidRPr="00862EFB" w14:paraId="6678242E" w14:textId="77777777" w:rsidTr="00C169F5">
        <w:trPr>
          <w:trHeight w:val="66"/>
        </w:trPr>
        <w:tc>
          <w:tcPr>
            <w:tcW w:w="8789" w:type="dxa"/>
            <w:vMerge/>
          </w:tcPr>
          <w:p w14:paraId="75E3E0EF" w14:textId="77777777" w:rsidR="008A7196" w:rsidRPr="00862EFB" w:rsidRDefault="008A7196" w:rsidP="00C169F5">
            <w:pPr>
              <w:spacing w:line="360" w:lineRule="auto"/>
              <w:rPr>
                <w:rFonts w:cstheme="minorHAnsi"/>
                <w:sz w:val="16"/>
                <w:szCs w:val="16"/>
              </w:rPr>
            </w:pPr>
          </w:p>
        </w:tc>
        <w:tc>
          <w:tcPr>
            <w:tcW w:w="3261" w:type="dxa"/>
            <w:vMerge/>
          </w:tcPr>
          <w:p w14:paraId="423937EC" w14:textId="77777777" w:rsidR="008A7196" w:rsidRPr="00862EFB" w:rsidRDefault="008A7196" w:rsidP="00C169F5">
            <w:pPr>
              <w:spacing w:line="360" w:lineRule="auto"/>
              <w:rPr>
                <w:rFonts w:cstheme="minorHAnsi"/>
                <w:sz w:val="16"/>
                <w:szCs w:val="16"/>
              </w:rPr>
            </w:pPr>
          </w:p>
        </w:tc>
        <w:tc>
          <w:tcPr>
            <w:tcW w:w="3024" w:type="dxa"/>
          </w:tcPr>
          <w:p w14:paraId="28231F65" w14:textId="77777777" w:rsidR="008A7196" w:rsidRPr="00862EFB" w:rsidRDefault="008A7196" w:rsidP="00C169F5">
            <w:pPr>
              <w:spacing w:line="360" w:lineRule="auto"/>
              <w:rPr>
                <w:rFonts w:cstheme="minorHAnsi"/>
                <w:sz w:val="16"/>
                <w:szCs w:val="16"/>
              </w:rPr>
            </w:pPr>
            <w:r w:rsidRPr="00862EFB">
              <w:rPr>
                <w:rFonts w:cstheme="minorHAnsi"/>
                <w:sz w:val="16"/>
                <w:szCs w:val="16"/>
              </w:rPr>
              <w:t>[2 meals] 100 (32.7)</w:t>
            </w:r>
          </w:p>
        </w:tc>
      </w:tr>
      <w:tr w:rsidR="008A7196" w:rsidRPr="00862EFB" w14:paraId="2BBCD30C" w14:textId="77777777" w:rsidTr="00C169F5">
        <w:trPr>
          <w:trHeight w:val="165"/>
        </w:trPr>
        <w:tc>
          <w:tcPr>
            <w:tcW w:w="8789" w:type="dxa"/>
            <w:vMerge/>
          </w:tcPr>
          <w:p w14:paraId="2A10E549" w14:textId="77777777" w:rsidR="008A7196" w:rsidRPr="00862EFB" w:rsidRDefault="008A7196" w:rsidP="00C169F5">
            <w:pPr>
              <w:spacing w:line="360" w:lineRule="auto"/>
              <w:rPr>
                <w:rFonts w:cstheme="minorHAnsi"/>
                <w:sz w:val="16"/>
                <w:szCs w:val="16"/>
              </w:rPr>
            </w:pPr>
          </w:p>
        </w:tc>
        <w:tc>
          <w:tcPr>
            <w:tcW w:w="3261" w:type="dxa"/>
            <w:vMerge/>
          </w:tcPr>
          <w:p w14:paraId="6538DC90" w14:textId="77777777" w:rsidR="008A7196" w:rsidRPr="00862EFB" w:rsidRDefault="008A7196" w:rsidP="00C169F5">
            <w:pPr>
              <w:spacing w:line="360" w:lineRule="auto"/>
              <w:rPr>
                <w:rFonts w:cstheme="minorHAnsi"/>
                <w:sz w:val="16"/>
                <w:szCs w:val="16"/>
              </w:rPr>
            </w:pPr>
          </w:p>
        </w:tc>
        <w:tc>
          <w:tcPr>
            <w:tcW w:w="3024" w:type="dxa"/>
          </w:tcPr>
          <w:p w14:paraId="51725F3F" w14:textId="77777777" w:rsidR="008A7196" w:rsidRPr="00862EFB" w:rsidRDefault="008A7196" w:rsidP="00C169F5">
            <w:pPr>
              <w:spacing w:line="360" w:lineRule="auto"/>
              <w:rPr>
                <w:rFonts w:cstheme="minorHAnsi"/>
                <w:sz w:val="16"/>
                <w:szCs w:val="16"/>
              </w:rPr>
            </w:pPr>
            <w:r w:rsidRPr="00862EFB">
              <w:rPr>
                <w:rFonts w:cstheme="minorHAnsi"/>
                <w:sz w:val="16"/>
                <w:szCs w:val="16"/>
              </w:rPr>
              <w:t>[Doesn’t matter] 60 (19.6)</w:t>
            </w:r>
          </w:p>
        </w:tc>
      </w:tr>
      <w:tr w:rsidR="008A7196" w:rsidRPr="00862EFB" w14:paraId="2719D4C0" w14:textId="77777777" w:rsidTr="00C169F5">
        <w:trPr>
          <w:trHeight w:val="169"/>
        </w:trPr>
        <w:tc>
          <w:tcPr>
            <w:tcW w:w="8789" w:type="dxa"/>
            <w:vMerge w:val="restart"/>
          </w:tcPr>
          <w:p w14:paraId="05F94110" w14:textId="77777777" w:rsidR="008A7196" w:rsidRPr="00862EFB" w:rsidRDefault="008A7196" w:rsidP="00C169F5">
            <w:pPr>
              <w:spacing w:line="360" w:lineRule="auto"/>
              <w:rPr>
                <w:rFonts w:eastAsia="Times New Roman" w:cstheme="minorHAnsi"/>
                <w:color w:val="000000"/>
                <w:sz w:val="16"/>
                <w:szCs w:val="16"/>
                <w:lang w:eastAsia="en-GB"/>
              </w:rPr>
            </w:pPr>
            <w:r w:rsidRPr="00862EFB">
              <w:rPr>
                <w:rFonts w:cstheme="minorHAnsi"/>
                <w:color w:val="000000"/>
                <w:sz w:val="16"/>
                <w:szCs w:val="16"/>
              </w:rPr>
              <w:t>8a. Do you agree with the following statement: “You need protein in the diet for repairing bones and muscles”</w:t>
            </w:r>
          </w:p>
        </w:tc>
        <w:tc>
          <w:tcPr>
            <w:tcW w:w="3261" w:type="dxa"/>
            <w:vMerge w:val="restart"/>
          </w:tcPr>
          <w:p w14:paraId="4641C426" w14:textId="77777777" w:rsidR="008A7196" w:rsidRPr="00862EFB" w:rsidRDefault="008A7196" w:rsidP="00C169F5">
            <w:pPr>
              <w:spacing w:line="360" w:lineRule="auto"/>
              <w:rPr>
                <w:rFonts w:cstheme="minorHAnsi"/>
                <w:sz w:val="16"/>
                <w:szCs w:val="16"/>
              </w:rPr>
            </w:pPr>
            <w:r w:rsidRPr="00862EFB">
              <w:rPr>
                <w:rFonts w:cstheme="minorHAnsi"/>
                <w:sz w:val="16"/>
                <w:szCs w:val="16"/>
              </w:rPr>
              <w:t>[Yes] 283 (92.5)</w:t>
            </w:r>
          </w:p>
        </w:tc>
        <w:tc>
          <w:tcPr>
            <w:tcW w:w="3024" w:type="dxa"/>
          </w:tcPr>
          <w:p w14:paraId="640ECEA1" w14:textId="77777777" w:rsidR="008A7196" w:rsidRPr="00862EFB" w:rsidRDefault="008A7196" w:rsidP="00C169F5">
            <w:pPr>
              <w:spacing w:line="360" w:lineRule="auto"/>
              <w:rPr>
                <w:rFonts w:cstheme="minorHAnsi"/>
                <w:sz w:val="16"/>
                <w:szCs w:val="16"/>
              </w:rPr>
            </w:pPr>
            <w:r w:rsidRPr="00862EFB">
              <w:rPr>
                <w:rFonts w:cstheme="minorHAnsi"/>
                <w:sz w:val="16"/>
                <w:szCs w:val="16"/>
              </w:rPr>
              <w:t>[No] 10 (3.3)</w:t>
            </w:r>
          </w:p>
        </w:tc>
      </w:tr>
      <w:tr w:rsidR="008A7196" w:rsidRPr="00862EFB" w14:paraId="0ACAD20D" w14:textId="77777777" w:rsidTr="00C169F5">
        <w:trPr>
          <w:trHeight w:val="117"/>
        </w:trPr>
        <w:tc>
          <w:tcPr>
            <w:tcW w:w="8789" w:type="dxa"/>
            <w:vMerge/>
          </w:tcPr>
          <w:p w14:paraId="2503908F" w14:textId="77777777" w:rsidR="008A7196" w:rsidRPr="00862EFB" w:rsidRDefault="008A7196" w:rsidP="00C169F5">
            <w:pPr>
              <w:spacing w:line="360" w:lineRule="auto"/>
              <w:rPr>
                <w:rFonts w:cstheme="minorHAnsi"/>
                <w:color w:val="000000"/>
                <w:sz w:val="16"/>
                <w:szCs w:val="16"/>
              </w:rPr>
            </w:pPr>
          </w:p>
        </w:tc>
        <w:tc>
          <w:tcPr>
            <w:tcW w:w="3261" w:type="dxa"/>
            <w:vMerge/>
          </w:tcPr>
          <w:p w14:paraId="14CD8A61" w14:textId="77777777" w:rsidR="008A7196" w:rsidRPr="00862EFB" w:rsidRDefault="008A7196" w:rsidP="00C169F5">
            <w:pPr>
              <w:spacing w:line="360" w:lineRule="auto"/>
              <w:rPr>
                <w:rFonts w:cstheme="minorHAnsi"/>
                <w:sz w:val="16"/>
                <w:szCs w:val="16"/>
              </w:rPr>
            </w:pPr>
          </w:p>
        </w:tc>
        <w:tc>
          <w:tcPr>
            <w:tcW w:w="3024" w:type="dxa"/>
          </w:tcPr>
          <w:p w14:paraId="2C426935" w14:textId="77777777" w:rsidR="008A7196" w:rsidRPr="00862EFB" w:rsidRDefault="008A7196" w:rsidP="00C169F5">
            <w:pPr>
              <w:spacing w:line="360" w:lineRule="auto"/>
              <w:rPr>
                <w:rFonts w:cstheme="minorHAnsi"/>
                <w:sz w:val="16"/>
                <w:szCs w:val="16"/>
              </w:rPr>
            </w:pPr>
            <w:r w:rsidRPr="00862EFB">
              <w:rPr>
                <w:rFonts w:cstheme="minorHAnsi"/>
                <w:sz w:val="16"/>
                <w:szCs w:val="16"/>
              </w:rPr>
              <w:t>[Not sure] 12 (3.9)</w:t>
            </w:r>
          </w:p>
        </w:tc>
      </w:tr>
      <w:tr w:rsidR="008A7196" w:rsidRPr="00862EFB" w14:paraId="03AA9F54" w14:textId="77777777" w:rsidTr="00C169F5">
        <w:trPr>
          <w:trHeight w:val="74"/>
        </w:trPr>
        <w:tc>
          <w:tcPr>
            <w:tcW w:w="8789" w:type="dxa"/>
            <w:vMerge w:val="restart"/>
          </w:tcPr>
          <w:p w14:paraId="21E8EE41" w14:textId="77777777" w:rsidR="008A7196" w:rsidRPr="00862EFB" w:rsidRDefault="008A7196" w:rsidP="00C169F5">
            <w:pPr>
              <w:spacing w:line="360" w:lineRule="auto"/>
              <w:rPr>
                <w:rFonts w:cstheme="minorHAnsi"/>
                <w:color w:val="000000"/>
                <w:sz w:val="16"/>
                <w:szCs w:val="16"/>
              </w:rPr>
            </w:pPr>
            <w:r w:rsidRPr="00862EFB">
              <w:rPr>
                <w:rFonts w:cstheme="minorHAnsi"/>
                <w:color w:val="000000"/>
                <w:sz w:val="16"/>
                <w:szCs w:val="16"/>
              </w:rPr>
              <w:t>8b. Do you agree with the following statement: “You need protein in the diet for building body cells”</w:t>
            </w:r>
          </w:p>
        </w:tc>
        <w:tc>
          <w:tcPr>
            <w:tcW w:w="3261" w:type="dxa"/>
            <w:vMerge w:val="restart"/>
          </w:tcPr>
          <w:p w14:paraId="0008E991" w14:textId="77777777" w:rsidR="008A7196" w:rsidRPr="00862EFB" w:rsidRDefault="008A7196" w:rsidP="00C169F5">
            <w:pPr>
              <w:spacing w:line="360" w:lineRule="auto"/>
              <w:rPr>
                <w:rFonts w:cstheme="minorHAnsi"/>
                <w:sz w:val="16"/>
                <w:szCs w:val="16"/>
              </w:rPr>
            </w:pPr>
            <w:r w:rsidRPr="00862EFB">
              <w:rPr>
                <w:rFonts w:cstheme="minorHAnsi"/>
                <w:sz w:val="16"/>
                <w:szCs w:val="16"/>
              </w:rPr>
              <w:t>[Yes] 261 (85.3)</w:t>
            </w:r>
          </w:p>
        </w:tc>
        <w:tc>
          <w:tcPr>
            <w:tcW w:w="3024" w:type="dxa"/>
          </w:tcPr>
          <w:p w14:paraId="70F50AC2" w14:textId="77777777" w:rsidR="008A7196" w:rsidRPr="00862EFB" w:rsidRDefault="008A7196" w:rsidP="00C169F5">
            <w:pPr>
              <w:spacing w:line="360" w:lineRule="auto"/>
              <w:rPr>
                <w:rFonts w:cstheme="minorHAnsi"/>
                <w:sz w:val="16"/>
                <w:szCs w:val="16"/>
              </w:rPr>
            </w:pPr>
            <w:r w:rsidRPr="00862EFB">
              <w:rPr>
                <w:rFonts w:cstheme="minorHAnsi"/>
                <w:sz w:val="16"/>
                <w:szCs w:val="16"/>
              </w:rPr>
              <w:t>[No] 14 (4.6)</w:t>
            </w:r>
          </w:p>
        </w:tc>
      </w:tr>
      <w:tr w:rsidR="008A7196" w:rsidRPr="00862EFB" w14:paraId="07EDB3E7" w14:textId="77777777" w:rsidTr="00C169F5">
        <w:trPr>
          <w:trHeight w:val="74"/>
        </w:trPr>
        <w:tc>
          <w:tcPr>
            <w:tcW w:w="8789" w:type="dxa"/>
            <w:vMerge/>
          </w:tcPr>
          <w:p w14:paraId="43AF1B87" w14:textId="77777777" w:rsidR="008A7196" w:rsidRPr="00862EFB" w:rsidRDefault="008A7196" w:rsidP="00C169F5">
            <w:pPr>
              <w:spacing w:line="360" w:lineRule="auto"/>
              <w:rPr>
                <w:rFonts w:cstheme="minorHAnsi"/>
                <w:color w:val="000000"/>
                <w:sz w:val="16"/>
                <w:szCs w:val="16"/>
              </w:rPr>
            </w:pPr>
          </w:p>
        </w:tc>
        <w:tc>
          <w:tcPr>
            <w:tcW w:w="3261" w:type="dxa"/>
            <w:vMerge/>
          </w:tcPr>
          <w:p w14:paraId="2FBFE4DB" w14:textId="77777777" w:rsidR="008A7196" w:rsidRPr="00862EFB" w:rsidRDefault="008A7196" w:rsidP="00C169F5">
            <w:pPr>
              <w:spacing w:line="360" w:lineRule="auto"/>
              <w:rPr>
                <w:rFonts w:cstheme="minorHAnsi"/>
                <w:sz w:val="16"/>
                <w:szCs w:val="16"/>
              </w:rPr>
            </w:pPr>
          </w:p>
        </w:tc>
        <w:tc>
          <w:tcPr>
            <w:tcW w:w="3024" w:type="dxa"/>
          </w:tcPr>
          <w:p w14:paraId="6FBB8517" w14:textId="77777777" w:rsidR="008A7196" w:rsidRPr="00862EFB" w:rsidRDefault="008A7196" w:rsidP="00C169F5">
            <w:pPr>
              <w:spacing w:line="360" w:lineRule="auto"/>
              <w:rPr>
                <w:rFonts w:cstheme="minorHAnsi"/>
                <w:sz w:val="16"/>
                <w:szCs w:val="16"/>
              </w:rPr>
            </w:pPr>
            <w:r w:rsidRPr="00862EFB">
              <w:rPr>
                <w:rFonts w:cstheme="minorHAnsi"/>
                <w:sz w:val="16"/>
                <w:szCs w:val="16"/>
              </w:rPr>
              <w:t>[Not sure] 30 (9.8)</w:t>
            </w:r>
          </w:p>
        </w:tc>
      </w:tr>
      <w:tr w:rsidR="008A7196" w:rsidRPr="00862EFB" w14:paraId="01C84BBC" w14:textId="77777777" w:rsidTr="00C169F5">
        <w:trPr>
          <w:trHeight w:val="327"/>
        </w:trPr>
        <w:tc>
          <w:tcPr>
            <w:tcW w:w="8789" w:type="dxa"/>
            <w:vMerge w:val="restart"/>
          </w:tcPr>
          <w:p w14:paraId="451B51CD" w14:textId="77777777" w:rsidR="008A7196" w:rsidRPr="00862EFB" w:rsidRDefault="008A7196" w:rsidP="00C169F5">
            <w:pPr>
              <w:spacing w:line="360" w:lineRule="auto"/>
              <w:rPr>
                <w:rFonts w:cstheme="minorHAnsi"/>
                <w:color w:val="000000"/>
                <w:sz w:val="16"/>
                <w:szCs w:val="16"/>
              </w:rPr>
            </w:pPr>
            <w:r w:rsidRPr="00862EFB">
              <w:rPr>
                <w:rFonts w:cstheme="minorHAnsi"/>
                <w:color w:val="000000"/>
                <w:sz w:val="16"/>
                <w:szCs w:val="16"/>
              </w:rPr>
              <w:t>8c. Do you agree with the following statement: “You need protein in the diet for energy”</w:t>
            </w:r>
          </w:p>
        </w:tc>
        <w:tc>
          <w:tcPr>
            <w:tcW w:w="3261" w:type="dxa"/>
            <w:vMerge w:val="restart"/>
          </w:tcPr>
          <w:p w14:paraId="441DF7BE" w14:textId="77777777" w:rsidR="008A7196" w:rsidRPr="00862EFB" w:rsidRDefault="008A7196" w:rsidP="00C169F5">
            <w:pPr>
              <w:spacing w:line="360" w:lineRule="auto"/>
              <w:rPr>
                <w:rFonts w:cstheme="minorHAnsi"/>
                <w:sz w:val="16"/>
                <w:szCs w:val="16"/>
              </w:rPr>
            </w:pPr>
            <w:r w:rsidRPr="00862EFB">
              <w:rPr>
                <w:rFonts w:cstheme="minorHAnsi"/>
                <w:sz w:val="16"/>
                <w:szCs w:val="16"/>
              </w:rPr>
              <w:t>[No] 110 (35.9)</w:t>
            </w:r>
          </w:p>
        </w:tc>
        <w:tc>
          <w:tcPr>
            <w:tcW w:w="3024" w:type="dxa"/>
          </w:tcPr>
          <w:p w14:paraId="4CB61ECC" w14:textId="77777777" w:rsidR="008A7196" w:rsidRPr="00862EFB" w:rsidRDefault="008A7196" w:rsidP="00C169F5">
            <w:pPr>
              <w:spacing w:line="360" w:lineRule="auto"/>
              <w:rPr>
                <w:rFonts w:cstheme="minorHAnsi"/>
                <w:sz w:val="16"/>
                <w:szCs w:val="16"/>
              </w:rPr>
            </w:pPr>
            <w:r w:rsidRPr="00862EFB">
              <w:rPr>
                <w:rFonts w:cstheme="minorHAnsi"/>
                <w:sz w:val="16"/>
                <w:szCs w:val="16"/>
              </w:rPr>
              <w:t>[Yes] 165 (53.9)</w:t>
            </w:r>
          </w:p>
        </w:tc>
      </w:tr>
      <w:tr w:rsidR="008A7196" w:rsidRPr="00862EFB" w14:paraId="0B077FA1" w14:textId="77777777" w:rsidTr="00C169F5">
        <w:trPr>
          <w:trHeight w:val="149"/>
        </w:trPr>
        <w:tc>
          <w:tcPr>
            <w:tcW w:w="8789" w:type="dxa"/>
            <w:vMerge/>
          </w:tcPr>
          <w:p w14:paraId="7C0E13AE" w14:textId="77777777" w:rsidR="008A7196" w:rsidRPr="00862EFB" w:rsidRDefault="008A7196" w:rsidP="00C169F5">
            <w:pPr>
              <w:spacing w:line="360" w:lineRule="auto"/>
              <w:rPr>
                <w:rFonts w:cstheme="minorHAnsi"/>
                <w:color w:val="000000"/>
                <w:sz w:val="16"/>
                <w:szCs w:val="16"/>
              </w:rPr>
            </w:pPr>
          </w:p>
        </w:tc>
        <w:tc>
          <w:tcPr>
            <w:tcW w:w="3261" w:type="dxa"/>
            <w:vMerge/>
          </w:tcPr>
          <w:p w14:paraId="4315F6BF" w14:textId="77777777" w:rsidR="008A7196" w:rsidRPr="00862EFB" w:rsidRDefault="008A7196" w:rsidP="00C169F5">
            <w:pPr>
              <w:spacing w:line="360" w:lineRule="auto"/>
              <w:rPr>
                <w:rFonts w:cstheme="minorHAnsi"/>
                <w:sz w:val="16"/>
                <w:szCs w:val="16"/>
              </w:rPr>
            </w:pPr>
          </w:p>
        </w:tc>
        <w:tc>
          <w:tcPr>
            <w:tcW w:w="3024" w:type="dxa"/>
          </w:tcPr>
          <w:p w14:paraId="3CA7C398" w14:textId="77777777" w:rsidR="008A7196" w:rsidRPr="00862EFB" w:rsidRDefault="008A7196" w:rsidP="00C169F5">
            <w:pPr>
              <w:spacing w:line="360" w:lineRule="auto"/>
              <w:rPr>
                <w:rFonts w:cstheme="minorHAnsi"/>
                <w:sz w:val="16"/>
                <w:szCs w:val="16"/>
              </w:rPr>
            </w:pPr>
            <w:r w:rsidRPr="00862EFB">
              <w:rPr>
                <w:rFonts w:cstheme="minorHAnsi"/>
                <w:sz w:val="16"/>
                <w:szCs w:val="16"/>
              </w:rPr>
              <w:t>[Not sure] 30 (9.8)</w:t>
            </w:r>
          </w:p>
        </w:tc>
      </w:tr>
      <w:tr w:rsidR="008A7196" w:rsidRPr="00862EFB" w14:paraId="31905437" w14:textId="77777777" w:rsidTr="00C169F5">
        <w:trPr>
          <w:trHeight w:val="246"/>
        </w:trPr>
        <w:tc>
          <w:tcPr>
            <w:tcW w:w="8789" w:type="dxa"/>
            <w:vMerge w:val="restart"/>
          </w:tcPr>
          <w:p w14:paraId="39B7FC0F" w14:textId="77777777" w:rsidR="008A7196" w:rsidRPr="00862EFB" w:rsidRDefault="008A7196" w:rsidP="00C169F5">
            <w:pPr>
              <w:spacing w:line="360" w:lineRule="auto"/>
              <w:rPr>
                <w:rFonts w:cstheme="minorHAnsi"/>
                <w:color w:val="000000"/>
                <w:sz w:val="16"/>
                <w:szCs w:val="16"/>
              </w:rPr>
            </w:pPr>
            <w:r w:rsidRPr="00862EFB">
              <w:rPr>
                <w:rFonts w:cstheme="minorHAnsi"/>
                <w:color w:val="000000"/>
                <w:sz w:val="16"/>
                <w:szCs w:val="16"/>
              </w:rPr>
              <w:t>8d. Do you agree with the following statement: “You will experience loss in muscle mass if you do not consume enough protein”</w:t>
            </w:r>
          </w:p>
        </w:tc>
        <w:tc>
          <w:tcPr>
            <w:tcW w:w="3261" w:type="dxa"/>
            <w:vMerge w:val="restart"/>
          </w:tcPr>
          <w:p w14:paraId="624DAA9B" w14:textId="77777777" w:rsidR="008A7196" w:rsidRPr="00862EFB" w:rsidRDefault="008A7196" w:rsidP="00C169F5">
            <w:pPr>
              <w:spacing w:line="360" w:lineRule="auto"/>
              <w:rPr>
                <w:rFonts w:cstheme="minorHAnsi"/>
                <w:sz w:val="16"/>
                <w:szCs w:val="16"/>
              </w:rPr>
            </w:pPr>
            <w:r w:rsidRPr="00862EFB">
              <w:rPr>
                <w:rFonts w:cstheme="minorHAnsi"/>
                <w:sz w:val="16"/>
                <w:szCs w:val="16"/>
              </w:rPr>
              <w:t>[Yes] 257 (84)</w:t>
            </w:r>
          </w:p>
        </w:tc>
        <w:tc>
          <w:tcPr>
            <w:tcW w:w="3024" w:type="dxa"/>
          </w:tcPr>
          <w:p w14:paraId="5896F05F" w14:textId="77777777" w:rsidR="008A7196" w:rsidRPr="00862EFB" w:rsidRDefault="008A7196" w:rsidP="00C169F5">
            <w:pPr>
              <w:spacing w:line="360" w:lineRule="auto"/>
              <w:rPr>
                <w:rFonts w:cstheme="minorHAnsi"/>
                <w:sz w:val="16"/>
                <w:szCs w:val="16"/>
              </w:rPr>
            </w:pPr>
            <w:r w:rsidRPr="00862EFB">
              <w:rPr>
                <w:rFonts w:cstheme="minorHAnsi"/>
                <w:sz w:val="16"/>
                <w:szCs w:val="16"/>
              </w:rPr>
              <w:t>[No] 16 (5.2)</w:t>
            </w:r>
          </w:p>
        </w:tc>
      </w:tr>
      <w:tr w:rsidR="008A7196" w:rsidRPr="00862EFB" w14:paraId="55E79770" w14:textId="77777777" w:rsidTr="00C169F5">
        <w:trPr>
          <w:trHeight w:val="194"/>
        </w:trPr>
        <w:tc>
          <w:tcPr>
            <w:tcW w:w="8789" w:type="dxa"/>
            <w:vMerge/>
          </w:tcPr>
          <w:p w14:paraId="08FB8472" w14:textId="77777777" w:rsidR="008A7196" w:rsidRPr="00862EFB" w:rsidRDefault="008A7196" w:rsidP="00C169F5">
            <w:pPr>
              <w:spacing w:line="360" w:lineRule="auto"/>
              <w:rPr>
                <w:rFonts w:cstheme="minorHAnsi"/>
                <w:color w:val="000000"/>
                <w:sz w:val="16"/>
                <w:szCs w:val="16"/>
              </w:rPr>
            </w:pPr>
          </w:p>
        </w:tc>
        <w:tc>
          <w:tcPr>
            <w:tcW w:w="3261" w:type="dxa"/>
            <w:vMerge/>
          </w:tcPr>
          <w:p w14:paraId="3414C150" w14:textId="77777777" w:rsidR="008A7196" w:rsidRPr="00862EFB" w:rsidRDefault="008A7196" w:rsidP="00C169F5">
            <w:pPr>
              <w:spacing w:line="360" w:lineRule="auto"/>
              <w:rPr>
                <w:rFonts w:cstheme="minorHAnsi"/>
                <w:sz w:val="16"/>
                <w:szCs w:val="16"/>
              </w:rPr>
            </w:pPr>
          </w:p>
        </w:tc>
        <w:tc>
          <w:tcPr>
            <w:tcW w:w="3024" w:type="dxa"/>
          </w:tcPr>
          <w:p w14:paraId="1B48E0DF" w14:textId="77777777" w:rsidR="008A7196" w:rsidRPr="00862EFB" w:rsidRDefault="008A7196" w:rsidP="00C169F5">
            <w:pPr>
              <w:spacing w:line="360" w:lineRule="auto"/>
              <w:rPr>
                <w:rFonts w:cstheme="minorHAnsi"/>
                <w:sz w:val="16"/>
                <w:szCs w:val="16"/>
              </w:rPr>
            </w:pPr>
            <w:r w:rsidRPr="00862EFB">
              <w:rPr>
                <w:rFonts w:cstheme="minorHAnsi"/>
                <w:sz w:val="16"/>
                <w:szCs w:val="16"/>
              </w:rPr>
              <w:t>[Not sure] 33 (10.8)</w:t>
            </w:r>
          </w:p>
        </w:tc>
      </w:tr>
    </w:tbl>
    <w:p w14:paraId="30A98805" w14:textId="77777777" w:rsidR="008A7196" w:rsidRPr="00862EFB" w:rsidRDefault="008A7196" w:rsidP="008A7196">
      <w:pPr>
        <w:rPr>
          <w:rFonts w:cstheme="minorHAnsi"/>
          <w:sz w:val="18"/>
          <w:szCs w:val="18"/>
        </w:rPr>
        <w:sectPr w:rsidR="008A7196" w:rsidRPr="00862EFB" w:rsidSect="00F63DD4">
          <w:pgSz w:w="16840" w:h="11900" w:orient="landscape"/>
          <w:pgMar w:top="1440" w:right="1440" w:bottom="1440" w:left="1440" w:header="708" w:footer="708" w:gutter="0"/>
          <w:cols w:space="708"/>
          <w:docGrid w:linePitch="360"/>
        </w:sectPr>
      </w:pPr>
    </w:p>
    <w:p w14:paraId="72D3E39B" w14:textId="77777777" w:rsidR="008A7196" w:rsidRPr="00862EFB" w:rsidRDefault="008A7196" w:rsidP="008A7196">
      <w:pPr>
        <w:rPr>
          <w:rFonts w:cstheme="minorHAnsi"/>
        </w:rPr>
      </w:pPr>
      <w:r w:rsidRPr="00862EFB">
        <w:rPr>
          <w:rFonts w:cstheme="minorHAnsi"/>
        </w:rPr>
        <w:lastRenderedPageBreak/>
        <w:t>Appendix 8: Ethics approval letter for the feasibility study: REMEND trial.</w:t>
      </w:r>
    </w:p>
    <w:p w14:paraId="45CFAF90" w14:textId="77777777" w:rsidR="008A7196" w:rsidRPr="00862EFB" w:rsidRDefault="008A7196" w:rsidP="008A7196">
      <w:pPr>
        <w:rPr>
          <w:rFonts w:cstheme="minorHAnsi"/>
        </w:rPr>
      </w:pPr>
      <w:r w:rsidRPr="00862EFB">
        <w:rPr>
          <w:rFonts w:cstheme="minorHAnsi"/>
          <w:noProof/>
        </w:rPr>
        <w:drawing>
          <wp:inline distT="0" distB="0" distL="0" distR="0" wp14:anchorId="20C94968" wp14:editId="6511D3A6">
            <wp:extent cx="5727700" cy="810514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4B8F03B3" w14:textId="77777777" w:rsidR="008A7196" w:rsidRPr="00862EFB" w:rsidRDefault="008A7196" w:rsidP="008A7196">
      <w:pPr>
        <w:rPr>
          <w:rFonts w:cstheme="minorHAnsi"/>
        </w:rPr>
      </w:pPr>
    </w:p>
    <w:p w14:paraId="488DC271" w14:textId="77777777" w:rsidR="008A7196" w:rsidRPr="00862EFB" w:rsidRDefault="008A7196" w:rsidP="008A7196">
      <w:pPr>
        <w:rPr>
          <w:rFonts w:cstheme="minorHAnsi"/>
        </w:rPr>
      </w:pPr>
    </w:p>
    <w:p w14:paraId="01694FC8" w14:textId="77777777" w:rsidR="008A7196" w:rsidRPr="00862EFB" w:rsidRDefault="008A7196" w:rsidP="008A7196">
      <w:pPr>
        <w:rPr>
          <w:rFonts w:cstheme="minorHAnsi"/>
          <w:highlight w:val="cyan"/>
        </w:rPr>
        <w:sectPr w:rsidR="008A7196" w:rsidRPr="00862EFB" w:rsidSect="00E650CA">
          <w:pgSz w:w="11900" w:h="16840"/>
          <w:pgMar w:top="1440" w:right="1440" w:bottom="1440" w:left="1440" w:header="708" w:footer="708" w:gutter="0"/>
          <w:cols w:space="708"/>
          <w:docGrid w:linePitch="360"/>
        </w:sectPr>
      </w:pPr>
    </w:p>
    <w:p w14:paraId="40266042" w14:textId="77777777" w:rsidR="008A7196" w:rsidRPr="00862EFB" w:rsidRDefault="008A7196" w:rsidP="008A7196">
      <w:pPr>
        <w:rPr>
          <w:rFonts w:cstheme="minorHAnsi"/>
        </w:rPr>
      </w:pPr>
      <w:r w:rsidRPr="00862EFB">
        <w:rPr>
          <w:rFonts w:cstheme="minorHAnsi"/>
        </w:rPr>
        <w:lastRenderedPageBreak/>
        <w:t>Appendix 9: Risk assessment for feasibility trial:</w:t>
      </w:r>
    </w:p>
    <w:p w14:paraId="1B478B16" w14:textId="77777777" w:rsidR="008A7196" w:rsidRPr="00862EFB" w:rsidRDefault="008A7196" w:rsidP="008A7196">
      <w:pPr>
        <w:rPr>
          <w:rFonts w:cstheme="minorHAnsi"/>
        </w:rPr>
      </w:pPr>
    </w:p>
    <w:p w14:paraId="22AF9865" w14:textId="77777777" w:rsidR="008A7196" w:rsidRPr="00862EFB" w:rsidRDefault="008A7196" w:rsidP="008A7196">
      <w:pPr>
        <w:rPr>
          <w:rFonts w:cstheme="minorHAnsi"/>
        </w:rPr>
      </w:pPr>
      <w:r w:rsidRPr="00862EFB">
        <w:rPr>
          <w:rFonts w:cstheme="minorHAnsi"/>
          <w:noProof/>
        </w:rPr>
        <w:drawing>
          <wp:inline distT="0" distB="0" distL="0" distR="0" wp14:anchorId="77F18255" wp14:editId="072200D3">
            <wp:extent cx="7471954" cy="528024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475678" cy="5282875"/>
                    </a:xfrm>
                    <a:prstGeom prst="rect">
                      <a:avLst/>
                    </a:prstGeom>
                  </pic:spPr>
                </pic:pic>
              </a:graphicData>
            </a:graphic>
          </wp:inline>
        </w:drawing>
      </w:r>
    </w:p>
    <w:p w14:paraId="4576268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3E866190" wp14:editId="4459B305">
            <wp:extent cx="8105140" cy="57277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94">
                      <a:extLst>
                        <a:ext uri="{28A0092B-C50C-407E-A947-70E740481C1C}">
                          <a14:useLocalDpi xmlns:a14="http://schemas.microsoft.com/office/drawing/2010/main" val="0"/>
                        </a:ext>
                      </a:extLst>
                    </a:blip>
                    <a:stretch>
                      <a:fillRect/>
                    </a:stretch>
                  </pic:blipFill>
                  <pic:spPr>
                    <a:xfrm>
                      <a:off x="0" y="0"/>
                      <a:ext cx="8105140" cy="5727700"/>
                    </a:xfrm>
                    <a:prstGeom prst="rect">
                      <a:avLst/>
                    </a:prstGeom>
                  </pic:spPr>
                </pic:pic>
              </a:graphicData>
            </a:graphic>
          </wp:inline>
        </w:drawing>
      </w:r>
    </w:p>
    <w:p w14:paraId="60B08F43"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40359B43" wp14:editId="63922803">
            <wp:extent cx="8105140" cy="5727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95">
                      <a:extLst>
                        <a:ext uri="{28A0092B-C50C-407E-A947-70E740481C1C}">
                          <a14:useLocalDpi xmlns:a14="http://schemas.microsoft.com/office/drawing/2010/main" val="0"/>
                        </a:ext>
                      </a:extLst>
                    </a:blip>
                    <a:stretch>
                      <a:fillRect/>
                    </a:stretch>
                  </pic:blipFill>
                  <pic:spPr>
                    <a:xfrm>
                      <a:off x="0" y="0"/>
                      <a:ext cx="8105140" cy="5727700"/>
                    </a:xfrm>
                    <a:prstGeom prst="rect">
                      <a:avLst/>
                    </a:prstGeom>
                  </pic:spPr>
                </pic:pic>
              </a:graphicData>
            </a:graphic>
          </wp:inline>
        </w:drawing>
      </w:r>
    </w:p>
    <w:p w14:paraId="7074DA19" w14:textId="77777777" w:rsidR="008A7196" w:rsidRPr="00862EFB" w:rsidRDefault="008A7196" w:rsidP="008A7196">
      <w:pPr>
        <w:rPr>
          <w:rFonts w:cstheme="minorHAnsi"/>
        </w:rPr>
      </w:pPr>
    </w:p>
    <w:p w14:paraId="4DDFEC57"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7915F0A6" wp14:editId="59BE1048">
            <wp:extent cx="8105140" cy="57277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96">
                      <a:extLst>
                        <a:ext uri="{28A0092B-C50C-407E-A947-70E740481C1C}">
                          <a14:useLocalDpi xmlns:a14="http://schemas.microsoft.com/office/drawing/2010/main" val="0"/>
                        </a:ext>
                      </a:extLst>
                    </a:blip>
                    <a:stretch>
                      <a:fillRect/>
                    </a:stretch>
                  </pic:blipFill>
                  <pic:spPr>
                    <a:xfrm>
                      <a:off x="0" y="0"/>
                      <a:ext cx="8105140" cy="5727700"/>
                    </a:xfrm>
                    <a:prstGeom prst="rect">
                      <a:avLst/>
                    </a:prstGeom>
                  </pic:spPr>
                </pic:pic>
              </a:graphicData>
            </a:graphic>
          </wp:inline>
        </w:drawing>
      </w:r>
    </w:p>
    <w:p w14:paraId="227A97CE"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6B837D49" wp14:editId="2E6A3F46">
            <wp:extent cx="8105140" cy="57277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97">
                      <a:extLst>
                        <a:ext uri="{28A0092B-C50C-407E-A947-70E740481C1C}">
                          <a14:useLocalDpi xmlns:a14="http://schemas.microsoft.com/office/drawing/2010/main" val="0"/>
                        </a:ext>
                      </a:extLst>
                    </a:blip>
                    <a:stretch>
                      <a:fillRect/>
                    </a:stretch>
                  </pic:blipFill>
                  <pic:spPr>
                    <a:xfrm>
                      <a:off x="0" y="0"/>
                      <a:ext cx="8105140" cy="5727700"/>
                    </a:xfrm>
                    <a:prstGeom prst="rect">
                      <a:avLst/>
                    </a:prstGeom>
                  </pic:spPr>
                </pic:pic>
              </a:graphicData>
            </a:graphic>
          </wp:inline>
        </w:drawing>
      </w:r>
    </w:p>
    <w:p w14:paraId="541E7747"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3D0A2DAE" wp14:editId="4A875077">
            <wp:extent cx="8105140" cy="57277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98">
                      <a:extLst>
                        <a:ext uri="{28A0092B-C50C-407E-A947-70E740481C1C}">
                          <a14:useLocalDpi xmlns:a14="http://schemas.microsoft.com/office/drawing/2010/main" val="0"/>
                        </a:ext>
                      </a:extLst>
                    </a:blip>
                    <a:stretch>
                      <a:fillRect/>
                    </a:stretch>
                  </pic:blipFill>
                  <pic:spPr>
                    <a:xfrm>
                      <a:off x="0" y="0"/>
                      <a:ext cx="8105140" cy="5727700"/>
                    </a:xfrm>
                    <a:prstGeom prst="rect">
                      <a:avLst/>
                    </a:prstGeom>
                  </pic:spPr>
                </pic:pic>
              </a:graphicData>
            </a:graphic>
          </wp:inline>
        </w:drawing>
      </w:r>
    </w:p>
    <w:p w14:paraId="2FD2B689"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4426C06B" wp14:editId="1DB0A4E3">
            <wp:extent cx="8105140" cy="57277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99">
                      <a:extLst>
                        <a:ext uri="{28A0092B-C50C-407E-A947-70E740481C1C}">
                          <a14:useLocalDpi xmlns:a14="http://schemas.microsoft.com/office/drawing/2010/main" val="0"/>
                        </a:ext>
                      </a:extLst>
                    </a:blip>
                    <a:stretch>
                      <a:fillRect/>
                    </a:stretch>
                  </pic:blipFill>
                  <pic:spPr>
                    <a:xfrm>
                      <a:off x="0" y="0"/>
                      <a:ext cx="8105140" cy="5727700"/>
                    </a:xfrm>
                    <a:prstGeom prst="rect">
                      <a:avLst/>
                    </a:prstGeom>
                  </pic:spPr>
                </pic:pic>
              </a:graphicData>
            </a:graphic>
          </wp:inline>
        </w:drawing>
      </w:r>
    </w:p>
    <w:p w14:paraId="41B17425" w14:textId="77777777" w:rsidR="008A7196" w:rsidRPr="00862EFB" w:rsidRDefault="008A7196" w:rsidP="008A7196">
      <w:pPr>
        <w:rPr>
          <w:rFonts w:cstheme="minorHAnsi"/>
        </w:rPr>
        <w:sectPr w:rsidR="008A7196" w:rsidRPr="00862EFB" w:rsidSect="001F2C63">
          <w:pgSz w:w="16840" w:h="11900" w:orient="landscape"/>
          <w:pgMar w:top="1440" w:right="1440" w:bottom="1440" w:left="1440" w:header="708" w:footer="708" w:gutter="0"/>
          <w:cols w:space="708"/>
          <w:docGrid w:linePitch="360"/>
        </w:sectPr>
      </w:pPr>
    </w:p>
    <w:p w14:paraId="4FC18921" w14:textId="77777777" w:rsidR="008A7196" w:rsidRPr="00862EFB" w:rsidRDefault="008A7196" w:rsidP="008A7196">
      <w:pPr>
        <w:rPr>
          <w:rFonts w:cstheme="minorHAnsi"/>
        </w:rPr>
      </w:pPr>
      <w:r w:rsidRPr="00862EFB">
        <w:rPr>
          <w:rFonts w:cstheme="minorHAnsi"/>
        </w:rPr>
        <w:lastRenderedPageBreak/>
        <w:t>Appendix 10: Participant information sheet for the REMEND feasibility trial. Version 3, 28.06.21.</w:t>
      </w:r>
    </w:p>
    <w:p w14:paraId="4EB6A116" w14:textId="77777777" w:rsidR="008A7196" w:rsidRPr="00862EFB" w:rsidRDefault="008A7196" w:rsidP="008A7196">
      <w:pPr>
        <w:rPr>
          <w:rFonts w:cstheme="minorHAnsi"/>
        </w:rPr>
      </w:pPr>
    </w:p>
    <w:p w14:paraId="4F4EAAA0" w14:textId="77777777" w:rsidR="008A7196" w:rsidRPr="00862EFB" w:rsidRDefault="008A7196" w:rsidP="008A7196">
      <w:pPr>
        <w:rPr>
          <w:rFonts w:eastAsia="Times New Roman" w:cstheme="minorHAnsi"/>
        </w:rPr>
      </w:pPr>
      <w:r w:rsidRPr="00862EFB">
        <w:rPr>
          <w:rFonts w:eastAsia="Times New Roman" w:cstheme="minorHAnsi"/>
          <w:noProof/>
        </w:rPr>
        <w:drawing>
          <wp:inline distT="114300" distB="114300" distL="114300" distR="114300" wp14:anchorId="1CB24E0B" wp14:editId="7F68AA99">
            <wp:extent cx="1526117" cy="490538"/>
            <wp:effectExtent l="0" t="0" r="0" b="0"/>
            <wp:docPr id="171" name="Picture 171" descr="A picture containing text, sign&#10;&#10;Description automatically generated"/>
            <wp:cNvGraphicFramePr/>
            <a:graphic xmlns:a="http://schemas.openxmlformats.org/drawingml/2006/main">
              <a:graphicData uri="http://schemas.openxmlformats.org/drawingml/2006/picture">
                <pic:pic xmlns:pic="http://schemas.openxmlformats.org/drawingml/2006/picture">
                  <pic:nvPicPr>
                    <pic:cNvPr id="171" name="Picture 171" descr="A picture containing text, sign&#10;&#10;Description automatically generated"/>
                    <pic:cNvPicPr preferRelativeResize="0"/>
                  </pic:nvPicPr>
                  <pic:blipFill>
                    <a:blip r:embed="rId100"/>
                    <a:srcRect/>
                    <a:stretch>
                      <a:fillRect/>
                    </a:stretch>
                  </pic:blipFill>
                  <pic:spPr>
                    <a:xfrm>
                      <a:off x="0" y="0"/>
                      <a:ext cx="1526117" cy="490538"/>
                    </a:xfrm>
                    <a:prstGeom prst="rect">
                      <a:avLst/>
                    </a:prstGeom>
                    <a:ln/>
                  </pic:spPr>
                </pic:pic>
              </a:graphicData>
            </a:graphic>
          </wp:inline>
        </w:drawing>
      </w:r>
      <w:r w:rsidRPr="00862EFB">
        <w:rPr>
          <w:rFonts w:cstheme="minorHAnsi"/>
          <w:noProof/>
        </w:rPr>
        <w:drawing>
          <wp:anchor distT="0" distB="0" distL="114300" distR="114300" simplePos="0" relativeHeight="251718656" behindDoc="0" locked="0" layoutInCell="1" hidden="0" allowOverlap="1" wp14:anchorId="6D65AF08" wp14:editId="70F8C50F">
            <wp:simplePos x="0" y="0"/>
            <wp:positionH relativeFrom="column">
              <wp:posOffset>1619250</wp:posOffset>
            </wp:positionH>
            <wp:positionV relativeFrom="paragraph">
              <wp:posOffset>0</wp:posOffset>
            </wp:positionV>
            <wp:extent cx="2043113" cy="523875"/>
            <wp:effectExtent l="0" t="0" r="0" b="0"/>
            <wp:wrapSquare wrapText="bothSides" distT="0" distB="0" distL="114300" distR="114300"/>
            <wp:docPr id="172" name="Picture 172"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Logo&#10;&#10;Description automatically generated"/>
                    <pic:cNvPicPr preferRelativeResize="0"/>
                  </pic:nvPicPr>
                  <pic:blipFill>
                    <a:blip r:embed="rId101"/>
                    <a:srcRect l="2588" r="4530"/>
                    <a:stretch>
                      <a:fillRect/>
                    </a:stretch>
                  </pic:blipFill>
                  <pic:spPr>
                    <a:xfrm>
                      <a:off x="0" y="0"/>
                      <a:ext cx="2043113" cy="523875"/>
                    </a:xfrm>
                    <a:prstGeom prst="rect">
                      <a:avLst/>
                    </a:prstGeom>
                    <a:ln/>
                  </pic:spPr>
                </pic:pic>
              </a:graphicData>
            </a:graphic>
          </wp:anchor>
        </w:drawing>
      </w:r>
      <w:r w:rsidRPr="00862EFB">
        <w:rPr>
          <w:rFonts w:cstheme="minorHAnsi"/>
          <w:noProof/>
        </w:rPr>
        <w:drawing>
          <wp:anchor distT="0" distB="0" distL="114300" distR="114300" simplePos="0" relativeHeight="251719680" behindDoc="0" locked="0" layoutInCell="1" hidden="0" allowOverlap="1" wp14:anchorId="12ACB3BB" wp14:editId="0677DA57">
            <wp:simplePos x="0" y="0"/>
            <wp:positionH relativeFrom="column">
              <wp:posOffset>206311</wp:posOffset>
            </wp:positionH>
            <wp:positionV relativeFrom="paragraph">
              <wp:posOffset>0</wp:posOffset>
            </wp:positionV>
            <wp:extent cx="1308164" cy="519113"/>
            <wp:effectExtent l="0" t="0" r="0" b="0"/>
            <wp:wrapSquare wrapText="bothSides" distT="0" distB="0" distL="114300" distR="114300"/>
            <wp:docPr id="11" name="image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Text&#10;&#10;Description automatically generated"/>
                    <pic:cNvPicPr preferRelativeResize="0"/>
                  </pic:nvPicPr>
                  <pic:blipFill>
                    <a:blip r:embed="rId102"/>
                    <a:srcRect/>
                    <a:stretch>
                      <a:fillRect/>
                    </a:stretch>
                  </pic:blipFill>
                  <pic:spPr>
                    <a:xfrm>
                      <a:off x="0" y="0"/>
                      <a:ext cx="1308164" cy="519113"/>
                    </a:xfrm>
                    <a:prstGeom prst="rect">
                      <a:avLst/>
                    </a:prstGeom>
                    <a:ln/>
                  </pic:spPr>
                </pic:pic>
              </a:graphicData>
            </a:graphic>
          </wp:anchor>
        </w:drawing>
      </w:r>
    </w:p>
    <w:p w14:paraId="17F4899B" w14:textId="77777777" w:rsidR="008A7196" w:rsidRPr="00862EFB" w:rsidRDefault="008A7196" w:rsidP="008A7196">
      <w:pPr>
        <w:rPr>
          <w:rFonts w:cstheme="minorHAnsi"/>
          <w:b/>
        </w:rPr>
      </w:pPr>
    </w:p>
    <w:p w14:paraId="1B4FABBE" w14:textId="77777777" w:rsidR="008A7196" w:rsidRPr="00862EFB" w:rsidRDefault="008A7196" w:rsidP="008A7196">
      <w:pPr>
        <w:jc w:val="center"/>
        <w:rPr>
          <w:rFonts w:cstheme="minorHAnsi"/>
          <w:b/>
          <w:sz w:val="28"/>
          <w:szCs w:val="28"/>
        </w:rPr>
      </w:pPr>
      <w:r w:rsidRPr="00862EFB">
        <w:rPr>
          <w:rFonts w:cstheme="minorHAnsi"/>
          <w:b/>
          <w:sz w:val="28"/>
          <w:szCs w:val="28"/>
        </w:rPr>
        <w:t>Participant Information Sheet</w:t>
      </w:r>
    </w:p>
    <w:p w14:paraId="5A7C66D9" w14:textId="77777777" w:rsidR="008A7196" w:rsidRPr="00862EFB" w:rsidRDefault="008A7196" w:rsidP="008A7196">
      <w:pPr>
        <w:rPr>
          <w:rFonts w:cstheme="minorHAnsi"/>
          <w:b/>
          <w:sz w:val="28"/>
          <w:szCs w:val="28"/>
        </w:rPr>
      </w:pPr>
    </w:p>
    <w:p w14:paraId="71826FF7" w14:textId="77777777" w:rsidR="008A7196" w:rsidRPr="00862EFB" w:rsidRDefault="008A7196" w:rsidP="008A7196">
      <w:pPr>
        <w:rPr>
          <w:rFonts w:cstheme="minorHAnsi"/>
          <w:b/>
          <w:sz w:val="28"/>
          <w:szCs w:val="28"/>
        </w:rPr>
      </w:pPr>
      <w:r w:rsidRPr="00862EFB">
        <w:rPr>
          <w:rFonts w:cstheme="minorHAnsi"/>
          <w:b/>
          <w:sz w:val="28"/>
          <w:szCs w:val="28"/>
        </w:rPr>
        <w:t>Study Title: A feasibility study to investigate the remote delivery of an exercise and nutrition programme to improve muscle parameters in 40-65-year olds.</w:t>
      </w:r>
    </w:p>
    <w:p w14:paraId="340E4E78" w14:textId="77777777" w:rsidR="008A7196" w:rsidRPr="00862EFB" w:rsidRDefault="008A7196" w:rsidP="008A7196">
      <w:pPr>
        <w:rPr>
          <w:rFonts w:cstheme="minorHAnsi"/>
          <w:sz w:val="28"/>
          <w:szCs w:val="28"/>
        </w:rPr>
      </w:pPr>
    </w:p>
    <w:p w14:paraId="23E50F43" w14:textId="77777777" w:rsidR="008A7196" w:rsidRPr="00862EFB" w:rsidRDefault="008A7196" w:rsidP="008A7196">
      <w:pPr>
        <w:rPr>
          <w:rFonts w:cstheme="minorHAnsi"/>
          <w:b/>
          <w:sz w:val="28"/>
          <w:szCs w:val="28"/>
        </w:rPr>
      </w:pPr>
      <w:r w:rsidRPr="00862EFB">
        <w:rPr>
          <w:rFonts w:cstheme="minorHAnsi"/>
          <w:b/>
          <w:sz w:val="28"/>
          <w:szCs w:val="28"/>
        </w:rPr>
        <w:t>Contact Information: Esme Tuttiett, University of Sheffield</w:t>
      </w:r>
    </w:p>
    <w:p w14:paraId="258743A0" w14:textId="77777777" w:rsidR="008A7196" w:rsidRPr="00862EFB" w:rsidRDefault="008A7196" w:rsidP="008A7196">
      <w:pPr>
        <w:rPr>
          <w:rFonts w:cstheme="minorHAnsi"/>
          <w:b/>
          <w:sz w:val="28"/>
          <w:szCs w:val="28"/>
        </w:rPr>
      </w:pPr>
      <w:r w:rsidRPr="00862EFB">
        <w:rPr>
          <w:rFonts w:cstheme="minorHAnsi"/>
          <w:b/>
          <w:sz w:val="28"/>
          <w:szCs w:val="28"/>
        </w:rPr>
        <w:t xml:space="preserve">Email: </w:t>
      </w:r>
      <w:hyperlink r:id="rId103">
        <w:r w:rsidRPr="00862EFB">
          <w:rPr>
            <w:rFonts w:cstheme="minorHAnsi"/>
            <w:b/>
            <w:color w:val="0563C1"/>
            <w:sz w:val="28"/>
            <w:szCs w:val="28"/>
            <w:u w:val="single"/>
          </w:rPr>
          <w:t>ertuttiett1@sheffield.ac.uk</w:t>
        </w:r>
      </w:hyperlink>
      <w:r w:rsidRPr="00862EFB">
        <w:rPr>
          <w:rFonts w:cstheme="minorHAnsi"/>
          <w:b/>
          <w:sz w:val="28"/>
          <w:szCs w:val="28"/>
        </w:rPr>
        <w:t xml:space="preserve"> Phone number: 07925034704</w:t>
      </w:r>
    </w:p>
    <w:p w14:paraId="513A1323" w14:textId="77777777" w:rsidR="008A7196" w:rsidRPr="00862EFB" w:rsidRDefault="008A7196" w:rsidP="008A7196">
      <w:pPr>
        <w:rPr>
          <w:rFonts w:cstheme="minorHAnsi"/>
          <w:sz w:val="28"/>
          <w:szCs w:val="28"/>
        </w:rPr>
      </w:pPr>
    </w:p>
    <w:p w14:paraId="3BFD0087" w14:textId="77777777" w:rsidR="008A7196" w:rsidRPr="00862EFB" w:rsidRDefault="008A7196" w:rsidP="008A7196">
      <w:pPr>
        <w:rPr>
          <w:rFonts w:cstheme="minorHAnsi"/>
          <w:b/>
          <w:color w:val="000000"/>
          <w:sz w:val="28"/>
          <w:szCs w:val="28"/>
        </w:rPr>
      </w:pPr>
      <w:r w:rsidRPr="00862EFB">
        <w:rPr>
          <w:rFonts w:cstheme="minorHAnsi"/>
          <w:b/>
          <w:color w:val="000000"/>
          <w:sz w:val="28"/>
          <w:szCs w:val="28"/>
        </w:rPr>
        <w:t>Introduction:</w:t>
      </w:r>
    </w:p>
    <w:p w14:paraId="740A1A93" w14:textId="77777777" w:rsidR="008A7196" w:rsidRPr="00862EFB" w:rsidRDefault="008A7196" w:rsidP="008A7196">
      <w:pPr>
        <w:rPr>
          <w:rFonts w:cstheme="minorHAnsi"/>
          <w:color w:val="FF0000"/>
          <w:sz w:val="28"/>
          <w:szCs w:val="28"/>
        </w:rPr>
      </w:pPr>
      <w:r w:rsidRPr="00862EFB">
        <w:rPr>
          <w:rFonts w:cstheme="minorHAnsi"/>
          <w:sz w:val="28"/>
          <w:szCs w:val="28"/>
        </w:rPr>
        <w:t>You are invited to take part in a research study, to assess the if it is possible to deliver an exercise programme that improves measures of muscle mass, strength and function remotely. Before you start, it is important you understand why the research is being carried out and what it will involve. Please take some time to read the following information carefully</w:t>
      </w:r>
      <w:r w:rsidRPr="00862EFB">
        <w:rPr>
          <w:rFonts w:cstheme="minorHAnsi"/>
          <w:color w:val="000000"/>
          <w:sz w:val="28"/>
          <w:szCs w:val="28"/>
        </w:rPr>
        <w:t xml:space="preserve">. If you </w:t>
      </w:r>
      <w:r w:rsidRPr="00862EFB">
        <w:rPr>
          <w:rFonts w:cstheme="minorHAnsi"/>
          <w:sz w:val="28"/>
          <w:szCs w:val="28"/>
        </w:rPr>
        <w:t xml:space="preserve">have any question or concerns, or would like more information, please contact the researcher for further information. This study is being undertaken as part of a PhD degree and it is of interest to the research team to understand whether exercise and nutrition can improve muscle strength and function.  Furthermore, we would like to assess if the trial can be conducted without face to face contact, due to social distancing regulations. Results obtained could provide evidence in relation to the prevention of muscle loss associated with the ageing process and thus help to mitigate the negative impacts which are associated with such muscle declines. All project work </w:t>
      </w:r>
      <w:r w:rsidRPr="00862EFB">
        <w:rPr>
          <w:rFonts w:cstheme="minorHAnsi"/>
          <w:color w:val="000000"/>
          <w:sz w:val="28"/>
          <w:szCs w:val="28"/>
        </w:rPr>
        <w:t>will be conducted under the supervision of Dr Liz Williams</w:t>
      </w:r>
      <w:r w:rsidRPr="00862EFB">
        <w:rPr>
          <w:rFonts w:cstheme="minorHAnsi"/>
          <w:sz w:val="28"/>
          <w:szCs w:val="28"/>
        </w:rPr>
        <w:t xml:space="preserve">, </w:t>
      </w:r>
      <w:r w:rsidRPr="00862EFB">
        <w:rPr>
          <w:rFonts w:cstheme="minorHAnsi"/>
          <w:color w:val="000000"/>
          <w:sz w:val="28"/>
          <w:szCs w:val="28"/>
        </w:rPr>
        <w:t>Department of Oncology and Metabolism</w:t>
      </w:r>
      <w:r w:rsidRPr="00862EFB">
        <w:rPr>
          <w:rFonts w:cstheme="minorHAnsi"/>
          <w:sz w:val="28"/>
          <w:szCs w:val="28"/>
        </w:rPr>
        <w:t xml:space="preserve">, </w:t>
      </w:r>
      <w:r w:rsidRPr="00862EFB">
        <w:rPr>
          <w:rFonts w:cstheme="minorHAnsi"/>
          <w:color w:val="000000"/>
          <w:sz w:val="28"/>
          <w:szCs w:val="28"/>
        </w:rPr>
        <w:t xml:space="preserve">University of Sheffield </w:t>
      </w:r>
      <w:r w:rsidRPr="00862EFB">
        <w:rPr>
          <w:rFonts w:cstheme="minorHAnsi"/>
          <w:sz w:val="28"/>
          <w:szCs w:val="28"/>
        </w:rPr>
        <w:t xml:space="preserve">and Prof. Bernard Corfe, Human Nutrition Research Centre, Newcastle University. </w:t>
      </w:r>
    </w:p>
    <w:p w14:paraId="42AA69F2" w14:textId="77777777" w:rsidR="008A7196" w:rsidRPr="00862EFB" w:rsidRDefault="008A7196" w:rsidP="008A7196">
      <w:pPr>
        <w:rPr>
          <w:rFonts w:cstheme="minorHAnsi"/>
          <w:sz w:val="28"/>
          <w:szCs w:val="28"/>
        </w:rPr>
      </w:pPr>
    </w:p>
    <w:p w14:paraId="1EAF3C29" w14:textId="77777777" w:rsidR="008A7196" w:rsidRPr="00862EFB" w:rsidRDefault="008A7196" w:rsidP="008A7196">
      <w:pPr>
        <w:rPr>
          <w:rFonts w:cstheme="minorHAnsi"/>
          <w:b/>
          <w:sz w:val="28"/>
          <w:szCs w:val="28"/>
        </w:rPr>
      </w:pPr>
      <w:r w:rsidRPr="00862EFB">
        <w:rPr>
          <w:rFonts w:cstheme="minorHAnsi"/>
          <w:b/>
          <w:sz w:val="28"/>
          <w:szCs w:val="28"/>
        </w:rPr>
        <w:t>What is the purpose of this study?</w:t>
      </w:r>
    </w:p>
    <w:p w14:paraId="43A3C32A" w14:textId="77777777" w:rsidR="008A7196" w:rsidRPr="00862EFB" w:rsidRDefault="008A7196" w:rsidP="008A7196">
      <w:pPr>
        <w:rPr>
          <w:rFonts w:cstheme="minorHAnsi"/>
          <w:sz w:val="28"/>
          <w:szCs w:val="28"/>
        </w:rPr>
      </w:pPr>
      <w:r w:rsidRPr="00862EFB">
        <w:rPr>
          <w:rFonts w:cstheme="minorHAnsi"/>
          <w:sz w:val="28"/>
          <w:szCs w:val="28"/>
        </w:rPr>
        <w:t xml:space="preserve">The aim of this study is to determine if it is possible to deliver an intervention that will improve muscle measurements, remotely via Zoom, through the provision of a home-based exercise programme, using resistance bands, alongside a dietary protein supplement. </w:t>
      </w:r>
    </w:p>
    <w:p w14:paraId="7C830D07" w14:textId="77777777" w:rsidR="008A7196" w:rsidRPr="00862EFB" w:rsidRDefault="008A7196" w:rsidP="008A7196">
      <w:pPr>
        <w:rPr>
          <w:rFonts w:cstheme="minorHAnsi"/>
          <w:sz w:val="28"/>
          <w:szCs w:val="28"/>
        </w:rPr>
      </w:pPr>
    </w:p>
    <w:p w14:paraId="4A97BF87" w14:textId="77777777" w:rsidR="008A7196" w:rsidRPr="00862EFB" w:rsidRDefault="008A7196" w:rsidP="008A7196">
      <w:pPr>
        <w:rPr>
          <w:rFonts w:cstheme="minorHAnsi"/>
          <w:b/>
          <w:sz w:val="28"/>
          <w:szCs w:val="28"/>
        </w:rPr>
      </w:pPr>
      <w:r w:rsidRPr="00862EFB">
        <w:rPr>
          <w:rFonts w:cstheme="minorHAnsi"/>
          <w:b/>
          <w:sz w:val="28"/>
          <w:szCs w:val="28"/>
        </w:rPr>
        <w:t xml:space="preserve">Are there inclusion criteria? </w:t>
      </w:r>
    </w:p>
    <w:p w14:paraId="3A9B6CCB" w14:textId="77777777" w:rsidR="008A7196" w:rsidRPr="00862EFB" w:rsidRDefault="008A7196" w:rsidP="008A7196">
      <w:pPr>
        <w:rPr>
          <w:rFonts w:cstheme="minorHAnsi"/>
          <w:sz w:val="28"/>
          <w:szCs w:val="28"/>
        </w:rPr>
      </w:pPr>
      <w:r w:rsidRPr="00862EFB">
        <w:rPr>
          <w:rFonts w:cstheme="minorHAnsi"/>
          <w:sz w:val="28"/>
          <w:szCs w:val="28"/>
        </w:rPr>
        <w:lastRenderedPageBreak/>
        <w:t xml:space="preserve">To take part in this study you must be </w:t>
      </w:r>
    </w:p>
    <w:p w14:paraId="77A97DE9" w14:textId="77777777" w:rsidR="008A7196" w:rsidRPr="00862EFB" w:rsidRDefault="008A7196">
      <w:pPr>
        <w:numPr>
          <w:ilvl w:val="0"/>
          <w:numId w:val="42"/>
        </w:numPr>
        <w:rPr>
          <w:rFonts w:cstheme="minorHAnsi"/>
          <w:sz w:val="28"/>
          <w:szCs w:val="28"/>
        </w:rPr>
      </w:pPr>
      <w:r w:rsidRPr="00862EFB">
        <w:rPr>
          <w:rFonts w:cstheme="minorHAnsi"/>
          <w:sz w:val="28"/>
          <w:szCs w:val="28"/>
        </w:rPr>
        <w:t xml:space="preserve">aged between 40-65 years. </w:t>
      </w:r>
    </w:p>
    <w:p w14:paraId="3C504F80" w14:textId="77777777" w:rsidR="008A7196" w:rsidRPr="00862EFB" w:rsidRDefault="008A7196">
      <w:pPr>
        <w:numPr>
          <w:ilvl w:val="0"/>
          <w:numId w:val="42"/>
        </w:numPr>
        <w:rPr>
          <w:rFonts w:cstheme="minorHAnsi"/>
          <w:sz w:val="28"/>
          <w:szCs w:val="28"/>
        </w:rPr>
      </w:pPr>
      <w:r w:rsidRPr="00862EFB">
        <w:rPr>
          <w:rFonts w:cstheme="minorHAnsi"/>
          <w:sz w:val="28"/>
          <w:szCs w:val="28"/>
        </w:rPr>
        <w:t>Have a Body Mass Index (BMI) between 18-30kg/m2 - this can be calculated using the tool available here: https://www.nhs.uk/live-well/healthy-weight/bmi-calculator/</w:t>
      </w:r>
    </w:p>
    <w:p w14:paraId="7006C514" w14:textId="77777777" w:rsidR="008A7196" w:rsidRPr="00862EFB" w:rsidRDefault="008A7196">
      <w:pPr>
        <w:numPr>
          <w:ilvl w:val="0"/>
          <w:numId w:val="42"/>
        </w:numPr>
        <w:rPr>
          <w:rFonts w:cstheme="minorHAnsi"/>
          <w:sz w:val="28"/>
          <w:szCs w:val="28"/>
        </w:rPr>
      </w:pPr>
      <w:r w:rsidRPr="00862EFB">
        <w:rPr>
          <w:rFonts w:cstheme="minorHAnsi"/>
          <w:sz w:val="28"/>
          <w:szCs w:val="28"/>
        </w:rPr>
        <w:t>have access to a computer or tablet and to the internet</w:t>
      </w:r>
    </w:p>
    <w:p w14:paraId="4EC37977" w14:textId="77777777" w:rsidR="008A7196" w:rsidRPr="00862EFB" w:rsidRDefault="008A7196">
      <w:pPr>
        <w:numPr>
          <w:ilvl w:val="0"/>
          <w:numId w:val="42"/>
        </w:numPr>
        <w:rPr>
          <w:rFonts w:cstheme="minorHAnsi"/>
          <w:sz w:val="28"/>
          <w:szCs w:val="28"/>
        </w:rPr>
      </w:pPr>
      <w:r w:rsidRPr="00862EFB">
        <w:rPr>
          <w:rFonts w:cstheme="minorHAnsi"/>
          <w:sz w:val="28"/>
          <w:szCs w:val="28"/>
        </w:rPr>
        <w:t>be in adequate health so you can engage in physical exercise safely (you must pass a physical activity readiness questionnaire.)</w:t>
      </w:r>
    </w:p>
    <w:p w14:paraId="3C17A4F8" w14:textId="77777777" w:rsidR="008A7196" w:rsidRPr="00862EFB" w:rsidRDefault="008A7196">
      <w:pPr>
        <w:numPr>
          <w:ilvl w:val="0"/>
          <w:numId w:val="42"/>
        </w:numPr>
        <w:rPr>
          <w:rFonts w:cstheme="minorHAnsi"/>
          <w:sz w:val="28"/>
          <w:szCs w:val="28"/>
        </w:rPr>
      </w:pPr>
      <w:r w:rsidRPr="00862EFB">
        <w:rPr>
          <w:rFonts w:cstheme="minorHAnsi"/>
          <w:sz w:val="28"/>
          <w:szCs w:val="28"/>
        </w:rPr>
        <w:t>a motivation to improve your muscle health and strength</w:t>
      </w:r>
    </w:p>
    <w:p w14:paraId="722096A8" w14:textId="77777777" w:rsidR="008A7196" w:rsidRPr="00862EFB" w:rsidRDefault="008A7196">
      <w:pPr>
        <w:numPr>
          <w:ilvl w:val="0"/>
          <w:numId w:val="42"/>
        </w:numPr>
        <w:rPr>
          <w:rFonts w:cstheme="minorHAnsi"/>
          <w:sz w:val="28"/>
          <w:szCs w:val="28"/>
        </w:rPr>
      </w:pPr>
      <w:r w:rsidRPr="00862EFB">
        <w:rPr>
          <w:rFonts w:cstheme="minorHAnsi"/>
          <w:sz w:val="28"/>
          <w:szCs w:val="28"/>
        </w:rPr>
        <w:t xml:space="preserve">willingness and availability to join 2 remotely delivered group zoom strength-based exercise classes per week for 6 weeks. </w:t>
      </w:r>
    </w:p>
    <w:p w14:paraId="67409FB1" w14:textId="77777777" w:rsidR="008A7196" w:rsidRPr="00862EFB" w:rsidRDefault="008A7196">
      <w:pPr>
        <w:numPr>
          <w:ilvl w:val="0"/>
          <w:numId w:val="42"/>
        </w:numPr>
        <w:rPr>
          <w:rFonts w:cstheme="minorHAnsi"/>
          <w:sz w:val="28"/>
          <w:szCs w:val="28"/>
        </w:rPr>
      </w:pPr>
      <w:r w:rsidRPr="00862EFB">
        <w:rPr>
          <w:rFonts w:cstheme="minorHAnsi"/>
          <w:sz w:val="28"/>
          <w:szCs w:val="28"/>
        </w:rPr>
        <w:t>willingness to consume one or two protein supplements every day for the duration of the study</w:t>
      </w:r>
    </w:p>
    <w:p w14:paraId="353B4276" w14:textId="77777777" w:rsidR="008A7196" w:rsidRPr="00862EFB" w:rsidRDefault="008A7196">
      <w:pPr>
        <w:numPr>
          <w:ilvl w:val="0"/>
          <w:numId w:val="42"/>
        </w:numPr>
        <w:rPr>
          <w:rFonts w:cstheme="minorHAnsi"/>
          <w:sz w:val="28"/>
          <w:szCs w:val="28"/>
        </w:rPr>
      </w:pPr>
      <w:r w:rsidRPr="00862EFB">
        <w:rPr>
          <w:rFonts w:cstheme="minorHAnsi"/>
          <w:sz w:val="28"/>
          <w:szCs w:val="28"/>
        </w:rPr>
        <w:t>For the safety of all those involved, we also ask that you have received two COVID-19 vaccinations and can demonstrate this with a COVID-19 vaccination passport.</w:t>
      </w:r>
    </w:p>
    <w:p w14:paraId="3D7177B1" w14:textId="77777777" w:rsidR="008A7196" w:rsidRPr="00862EFB" w:rsidRDefault="008A7196" w:rsidP="008A7196">
      <w:pPr>
        <w:rPr>
          <w:rFonts w:cstheme="minorHAnsi"/>
          <w:b/>
          <w:sz w:val="28"/>
          <w:szCs w:val="28"/>
        </w:rPr>
      </w:pPr>
    </w:p>
    <w:p w14:paraId="45099E70" w14:textId="77777777" w:rsidR="008A7196" w:rsidRPr="00862EFB" w:rsidRDefault="008A7196" w:rsidP="008A7196">
      <w:pPr>
        <w:rPr>
          <w:rFonts w:cstheme="minorHAnsi"/>
          <w:b/>
          <w:sz w:val="28"/>
          <w:szCs w:val="28"/>
        </w:rPr>
      </w:pPr>
      <w:r w:rsidRPr="00862EFB">
        <w:rPr>
          <w:rFonts w:cstheme="minorHAnsi"/>
          <w:b/>
          <w:sz w:val="28"/>
          <w:szCs w:val="28"/>
        </w:rPr>
        <w:t xml:space="preserve">Are there exclusion criteria? </w:t>
      </w:r>
    </w:p>
    <w:p w14:paraId="1D100010" w14:textId="77777777" w:rsidR="008A7196" w:rsidRPr="00862EFB" w:rsidRDefault="008A7196" w:rsidP="008A7196">
      <w:pPr>
        <w:rPr>
          <w:rFonts w:cstheme="minorHAnsi"/>
          <w:sz w:val="28"/>
          <w:szCs w:val="28"/>
        </w:rPr>
      </w:pPr>
      <w:r w:rsidRPr="00862EFB">
        <w:rPr>
          <w:rFonts w:cstheme="minorHAnsi"/>
          <w:sz w:val="28"/>
          <w:szCs w:val="28"/>
        </w:rPr>
        <w:t xml:space="preserve">Yes. In order to ensure the safety of the study, you will not be able to take part if </w:t>
      </w:r>
    </w:p>
    <w:p w14:paraId="09DF2355" w14:textId="77777777" w:rsidR="008A7196" w:rsidRPr="00862EFB" w:rsidRDefault="008A7196">
      <w:pPr>
        <w:numPr>
          <w:ilvl w:val="0"/>
          <w:numId w:val="43"/>
        </w:numPr>
        <w:rPr>
          <w:rFonts w:cstheme="minorHAnsi"/>
          <w:sz w:val="28"/>
          <w:szCs w:val="28"/>
        </w:rPr>
      </w:pPr>
      <w:r w:rsidRPr="00862EFB">
        <w:rPr>
          <w:rFonts w:cstheme="minorHAnsi"/>
          <w:sz w:val="28"/>
          <w:szCs w:val="28"/>
        </w:rPr>
        <w:t xml:space="preserve">you have experienced significant weight loss of &gt;5% of your body weight in the past 6 months,  </w:t>
      </w:r>
    </w:p>
    <w:p w14:paraId="505B2C39" w14:textId="77777777" w:rsidR="008A7196" w:rsidRPr="00862EFB" w:rsidRDefault="008A7196">
      <w:pPr>
        <w:numPr>
          <w:ilvl w:val="0"/>
          <w:numId w:val="43"/>
        </w:numPr>
        <w:rPr>
          <w:rFonts w:cstheme="minorHAnsi"/>
          <w:sz w:val="28"/>
          <w:szCs w:val="28"/>
        </w:rPr>
      </w:pPr>
      <w:r w:rsidRPr="00862EFB">
        <w:rPr>
          <w:rFonts w:cstheme="minorHAnsi"/>
          <w:sz w:val="28"/>
          <w:szCs w:val="28"/>
        </w:rPr>
        <w:t xml:space="preserve">COVID-19 infection within the past 2 months, </w:t>
      </w:r>
    </w:p>
    <w:p w14:paraId="54BC7753" w14:textId="77777777" w:rsidR="008A7196" w:rsidRPr="00862EFB" w:rsidRDefault="008A7196">
      <w:pPr>
        <w:numPr>
          <w:ilvl w:val="0"/>
          <w:numId w:val="43"/>
        </w:numPr>
        <w:rPr>
          <w:rFonts w:cstheme="minorHAnsi"/>
          <w:sz w:val="28"/>
          <w:szCs w:val="28"/>
        </w:rPr>
      </w:pPr>
      <w:r w:rsidRPr="00862EFB">
        <w:rPr>
          <w:rFonts w:cstheme="minorHAnsi"/>
          <w:sz w:val="28"/>
          <w:szCs w:val="28"/>
        </w:rPr>
        <w:t>any form of cardiovascular, respiratory, metabolic (i.e. diabetes) or kidney issues,</w:t>
      </w:r>
    </w:p>
    <w:p w14:paraId="5D3A8537" w14:textId="77777777" w:rsidR="008A7196" w:rsidRPr="00862EFB" w:rsidRDefault="008A7196">
      <w:pPr>
        <w:numPr>
          <w:ilvl w:val="0"/>
          <w:numId w:val="43"/>
        </w:numPr>
        <w:rPr>
          <w:rFonts w:cstheme="minorHAnsi"/>
          <w:sz w:val="28"/>
          <w:szCs w:val="28"/>
        </w:rPr>
      </w:pPr>
      <w:r w:rsidRPr="00862EFB">
        <w:rPr>
          <w:rFonts w:cstheme="minorHAnsi"/>
          <w:sz w:val="28"/>
          <w:szCs w:val="28"/>
        </w:rPr>
        <w:t xml:space="preserve"> if you are currently taking anti-clotting medication.  </w:t>
      </w:r>
    </w:p>
    <w:p w14:paraId="2915758F" w14:textId="77777777" w:rsidR="008A7196" w:rsidRPr="00862EFB" w:rsidRDefault="008A7196">
      <w:pPr>
        <w:numPr>
          <w:ilvl w:val="0"/>
          <w:numId w:val="43"/>
        </w:numPr>
        <w:rPr>
          <w:rFonts w:cstheme="minorHAnsi"/>
          <w:sz w:val="28"/>
          <w:szCs w:val="28"/>
        </w:rPr>
      </w:pPr>
      <w:r w:rsidRPr="00862EFB">
        <w:rPr>
          <w:rFonts w:cstheme="minorHAnsi"/>
          <w:sz w:val="28"/>
          <w:szCs w:val="28"/>
        </w:rPr>
        <w:t xml:space="preserve">you are vegan/vegetarian, due to the protein supplement containing gelatine. </w:t>
      </w:r>
    </w:p>
    <w:p w14:paraId="374BBBFA" w14:textId="77777777" w:rsidR="008A7196" w:rsidRPr="00862EFB" w:rsidRDefault="008A7196">
      <w:pPr>
        <w:numPr>
          <w:ilvl w:val="0"/>
          <w:numId w:val="43"/>
        </w:numPr>
        <w:rPr>
          <w:rFonts w:cstheme="minorHAnsi"/>
          <w:sz w:val="28"/>
          <w:szCs w:val="28"/>
        </w:rPr>
      </w:pPr>
      <w:r w:rsidRPr="00862EFB">
        <w:rPr>
          <w:rFonts w:cstheme="minorHAnsi"/>
          <w:sz w:val="28"/>
          <w:szCs w:val="28"/>
        </w:rPr>
        <w:t>A current or history of disordered eating.</w:t>
      </w:r>
    </w:p>
    <w:p w14:paraId="6F77352B" w14:textId="77777777" w:rsidR="008A7196" w:rsidRPr="00862EFB" w:rsidRDefault="008A7196" w:rsidP="008A7196">
      <w:pPr>
        <w:rPr>
          <w:rFonts w:cstheme="minorHAnsi"/>
          <w:sz w:val="28"/>
          <w:szCs w:val="28"/>
        </w:rPr>
      </w:pPr>
    </w:p>
    <w:p w14:paraId="4B3F9A2C" w14:textId="77777777" w:rsidR="008A7196" w:rsidRPr="00862EFB" w:rsidRDefault="008A7196" w:rsidP="008A7196">
      <w:pPr>
        <w:rPr>
          <w:rFonts w:cstheme="minorHAnsi"/>
          <w:color w:val="0563C1"/>
          <w:sz w:val="28"/>
          <w:szCs w:val="28"/>
          <w:u w:val="single"/>
        </w:rPr>
      </w:pPr>
      <w:r w:rsidRPr="00862EFB">
        <w:rPr>
          <w:rFonts w:cstheme="minorHAnsi"/>
          <w:sz w:val="28"/>
          <w:szCs w:val="28"/>
        </w:rPr>
        <w:t xml:space="preserve">Furthermore, we hope to work with individuals who are fairly inactive in their day to day lives, so if you already exercise to a moderate degree (i.e. exercise that raises your heart rate and makes you out of breath such as brisk walking, jogging) for 30 minutes or more a day, 5+ times a week, or if you undertake strength exercises more than twice a week you will not be able to take part. We will use a rapid questionnaire to enquire about this. </w:t>
      </w:r>
    </w:p>
    <w:p w14:paraId="620A6505" w14:textId="77777777" w:rsidR="008A7196" w:rsidRPr="00862EFB" w:rsidRDefault="008A7196" w:rsidP="008A7196">
      <w:pPr>
        <w:rPr>
          <w:rFonts w:cstheme="minorHAnsi"/>
          <w:sz w:val="28"/>
          <w:szCs w:val="28"/>
        </w:rPr>
      </w:pPr>
    </w:p>
    <w:p w14:paraId="43D26541" w14:textId="77777777" w:rsidR="008A7196" w:rsidRPr="00862EFB" w:rsidRDefault="008A7196" w:rsidP="008A7196">
      <w:pPr>
        <w:rPr>
          <w:rFonts w:cstheme="minorHAnsi"/>
          <w:b/>
          <w:sz w:val="28"/>
          <w:szCs w:val="28"/>
        </w:rPr>
      </w:pPr>
      <w:r w:rsidRPr="00862EFB">
        <w:rPr>
          <w:rFonts w:cstheme="minorHAnsi"/>
          <w:b/>
          <w:sz w:val="28"/>
          <w:szCs w:val="28"/>
        </w:rPr>
        <w:t>Do I have to take part?</w:t>
      </w:r>
    </w:p>
    <w:p w14:paraId="798352CA" w14:textId="77777777" w:rsidR="008A7196" w:rsidRPr="00862EFB" w:rsidRDefault="008A7196" w:rsidP="008A7196">
      <w:pPr>
        <w:rPr>
          <w:rFonts w:cstheme="minorHAnsi"/>
          <w:color w:val="FF0000"/>
          <w:sz w:val="28"/>
          <w:szCs w:val="28"/>
        </w:rPr>
      </w:pPr>
      <w:r w:rsidRPr="00862EFB">
        <w:rPr>
          <w:rFonts w:cstheme="minorHAnsi"/>
          <w:color w:val="000000"/>
          <w:sz w:val="28"/>
          <w:szCs w:val="28"/>
          <w:highlight w:val="white"/>
        </w:rPr>
        <w:t>It is up to you to decide whether or not to take part</w:t>
      </w:r>
      <w:r w:rsidRPr="00862EFB">
        <w:rPr>
          <w:rFonts w:cstheme="minorHAnsi"/>
          <w:color w:val="000000"/>
          <w:sz w:val="28"/>
          <w:szCs w:val="28"/>
        </w:rPr>
        <w:t xml:space="preserve">, there is no obligation. If you do decide to take part, after reading this information sheet,  you will be </w:t>
      </w:r>
      <w:r w:rsidRPr="00862EFB">
        <w:rPr>
          <w:rFonts w:cstheme="minorHAnsi"/>
          <w:color w:val="000000"/>
          <w:sz w:val="28"/>
          <w:szCs w:val="28"/>
        </w:rPr>
        <w:lastRenderedPageBreak/>
        <w:t>asked to provide your consent to take part in the study. You can still withdraw at any time without any negative consequences</w:t>
      </w:r>
      <w:r w:rsidRPr="00862EFB">
        <w:rPr>
          <w:rFonts w:cstheme="minorHAnsi"/>
          <w:sz w:val="28"/>
          <w:szCs w:val="28"/>
        </w:rPr>
        <w:t xml:space="preserve"> and</w:t>
      </w:r>
      <w:r w:rsidRPr="00862EFB">
        <w:rPr>
          <w:rFonts w:cstheme="minorHAnsi"/>
          <w:color w:val="000000"/>
          <w:sz w:val="28"/>
          <w:szCs w:val="28"/>
        </w:rPr>
        <w:t xml:space="preserve"> you do not have to give a reason. If you wish to withdraw from the research, please contact the lead researcher: Esme Tuttiett: </w:t>
      </w:r>
      <w:hyperlink r:id="rId104">
        <w:r w:rsidRPr="00862EFB">
          <w:rPr>
            <w:rFonts w:cstheme="minorHAnsi"/>
            <w:color w:val="0563C1"/>
            <w:sz w:val="28"/>
            <w:szCs w:val="28"/>
            <w:u w:val="single"/>
          </w:rPr>
          <w:t>ertuttiett1@sheffield.ac.uk</w:t>
        </w:r>
      </w:hyperlink>
      <w:r w:rsidRPr="00862EFB">
        <w:rPr>
          <w:rFonts w:cstheme="minorHAnsi"/>
          <w:sz w:val="28"/>
          <w:szCs w:val="28"/>
        </w:rPr>
        <w:t xml:space="preserve"> Phone number: 07925034704</w:t>
      </w:r>
    </w:p>
    <w:p w14:paraId="3E0C09F7" w14:textId="77777777" w:rsidR="008A7196" w:rsidRPr="00862EFB" w:rsidRDefault="008A7196" w:rsidP="008A7196">
      <w:pPr>
        <w:rPr>
          <w:rFonts w:cstheme="minorHAnsi"/>
          <w:sz w:val="28"/>
          <w:szCs w:val="28"/>
        </w:rPr>
      </w:pPr>
    </w:p>
    <w:p w14:paraId="6EE728DC" w14:textId="77777777" w:rsidR="008A7196" w:rsidRPr="00862EFB" w:rsidRDefault="008A7196" w:rsidP="008A7196">
      <w:pPr>
        <w:rPr>
          <w:rFonts w:cstheme="minorHAnsi"/>
          <w:sz w:val="28"/>
          <w:szCs w:val="28"/>
        </w:rPr>
      </w:pPr>
    </w:p>
    <w:p w14:paraId="351781D9" w14:textId="77777777" w:rsidR="008A7196" w:rsidRPr="00862EFB" w:rsidRDefault="008A7196" w:rsidP="008A7196">
      <w:pPr>
        <w:rPr>
          <w:rFonts w:cstheme="minorHAnsi"/>
          <w:b/>
          <w:sz w:val="28"/>
          <w:szCs w:val="28"/>
        </w:rPr>
      </w:pPr>
      <w:r w:rsidRPr="00862EFB">
        <w:rPr>
          <w:rFonts w:cstheme="minorHAnsi"/>
          <w:b/>
          <w:sz w:val="28"/>
          <w:szCs w:val="28"/>
        </w:rPr>
        <w:t>What will the study involve?</w:t>
      </w:r>
    </w:p>
    <w:p w14:paraId="61DD3A78" w14:textId="77777777" w:rsidR="008A7196" w:rsidRPr="00862EFB" w:rsidRDefault="008A7196" w:rsidP="008A7196">
      <w:pPr>
        <w:rPr>
          <w:rFonts w:cstheme="minorHAnsi"/>
          <w:sz w:val="28"/>
          <w:szCs w:val="28"/>
        </w:rPr>
      </w:pPr>
      <w:r w:rsidRPr="00862EFB">
        <w:rPr>
          <w:rFonts w:cstheme="minorHAnsi"/>
          <w:sz w:val="28"/>
          <w:szCs w:val="28"/>
        </w:rPr>
        <w:t>If you are interested in taking part then a researcher will speak with you about what the study involves either via video or telephone call.  You will be given the opportunity to ask questions and you will be given time to consider your participation before being asked to sign a consent form. We will also check you meet all the eligibility criteria and pass your readiness to exercise questionnaire.</w:t>
      </w:r>
    </w:p>
    <w:p w14:paraId="7F190939" w14:textId="77777777" w:rsidR="008A7196" w:rsidRPr="00862EFB" w:rsidRDefault="008A7196" w:rsidP="008A7196">
      <w:pPr>
        <w:rPr>
          <w:rFonts w:cstheme="minorHAnsi"/>
          <w:sz w:val="28"/>
          <w:szCs w:val="28"/>
        </w:rPr>
      </w:pPr>
    </w:p>
    <w:p w14:paraId="7E83C4AB" w14:textId="77777777" w:rsidR="008A7196" w:rsidRPr="00862EFB" w:rsidRDefault="008A7196" w:rsidP="008A7196">
      <w:pPr>
        <w:rPr>
          <w:rFonts w:eastAsia="Times New Roman" w:cstheme="minorHAnsi"/>
        </w:rPr>
      </w:pPr>
      <w:r w:rsidRPr="00862EFB">
        <w:rPr>
          <w:rFonts w:cstheme="minorHAnsi"/>
          <w:sz w:val="28"/>
          <w:szCs w:val="28"/>
        </w:rPr>
        <w:t xml:space="preserve">You will be invited to attend a meeting room at Sport Sheffield, </w:t>
      </w:r>
      <w:r w:rsidRPr="00862EFB">
        <w:rPr>
          <w:rFonts w:eastAsia="Times New Roman" w:cstheme="minorHAnsi"/>
          <w:color w:val="202124"/>
          <w:sz w:val="28"/>
          <w:szCs w:val="28"/>
          <w:shd w:val="clear" w:color="auto" w:fill="FFFFFF"/>
        </w:rPr>
        <w:t>Goodwin Sports Centre, Northumberland Road, Sheffield S10 2TY</w:t>
      </w:r>
      <w:r w:rsidRPr="00862EFB">
        <w:rPr>
          <w:rFonts w:cstheme="minorHAnsi"/>
          <w:sz w:val="28"/>
          <w:szCs w:val="28"/>
        </w:rPr>
        <w:t>.  At this meeting we will double check your readiness for activity questionnaire. We will then proceed to take the baseline measurements required for the research. These will include measurements of your weight, height and body composition, including waist, hip, arm, chest and calf circumference. Measurements of your upper body muscle strength will be taken using ‘strength dynamometry’.  Further measures that may be required to provide us with further indications about your strength is how many times you can rise from a chair in one minute and how high you can vertically jump from a standing position, but if you are not comfortable providing these they won't be essential. We would also like to obtain some measurements to gain an insight into your balance and flexibility abilities We would also be interested in taking an ultrasound scan of your muscles. Both of these measurements are totally painless but they would give us a better understanding about features of your muscles, including their composition.  The completion of questionnaires to gain an understanding about your activity levels and daily dietary habits will also provide the research team with useful information. These will include recalling the food you consumed within a 24 hours period, questions about the amount and frequency of protein-containing foods you consume and a physical activity questionnaire. These can be completed online, although, if preferred, paper-based formats can be arranged.</w:t>
      </w:r>
    </w:p>
    <w:p w14:paraId="201CC2CB" w14:textId="77777777" w:rsidR="008A7196" w:rsidRPr="00862EFB" w:rsidRDefault="008A7196" w:rsidP="008A7196">
      <w:pPr>
        <w:rPr>
          <w:rFonts w:cstheme="minorHAnsi"/>
          <w:sz w:val="28"/>
          <w:szCs w:val="28"/>
        </w:rPr>
      </w:pPr>
    </w:p>
    <w:p w14:paraId="0A69A42A" w14:textId="77777777" w:rsidR="008A7196" w:rsidRPr="00862EFB" w:rsidRDefault="008A7196" w:rsidP="008A7196">
      <w:pPr>
        <w:rPr>
          <w:rFonts w:cstheme="minorHAnsi"/>
          <w:sz w:val="28"/>
          <w:szCs w:val="28"/>
        </w:rPr>
      </w:pPr>
      <w:r w:rsidRPr="00862EFB">
        <w:rPr>
          <w:rFonts w:cstheme="minorHAnsi"/>
          <w:sz w:val="28"/>
          <w:szCs w:val="28"/>
        </w:rPr>
        <w:t xml:space="preserve">You will then  be randomised to one of three treatment arms: exercise only, exercise plus a 15g protein supplement, taken after lunch, or exercise plus two </w:t>
      </w:r>
      <w:r w:rsidRPr="00862EFB">
        <w:rPr>
          <w:rFonts w:cstheme="minorHAnsi"/>
          <w:sz w:val="28"/>
          <w:szCs w:val="28"/>
        </w:rPr>
        <w:lastRenderedPageBreak/>
        <w:t xml:space="preserve">15 g protein supplements taken after lunch and breakfast. This means that one third of our participants will be asked to consume a protein gel sachet each day and one third to consume two protein gel sachets in addition to the exercise sessions. </w:t>
      </w:r>
    </w:p>
    <w:p w14:paraId="11CB9E80" w14:textId="77777777" w:rsidR="008A7196" w:rsidRPr="00862EFB" w:rsidRDefault="008A7196" w:rsidP="008A7196">
      <w:pPr>
        <w:rPr>
          <w:rFonts w:cstheme="minorHAnsi"/>
          <w:sz w:val="28"/>
          <w:szCs w:val="28"/>
        </w:rPr>
      </w:pPr>
    </w:p>
    <w:p w14:paraId="4B8C53AA" w14:textId="77777777" w:rsidR="008A7196" w:rsidRPr="00862EFB" w:rsidRDefault="008A7196" w:rsidP="008A7196">
      <w:pPr>
        <w:rPr>
          <w:rFonts w:cstheme="minorHAnsi"/>
          <w:sz w:val="28"/>
          <w:szCs w:val="28"/>
        </w:rPr>
      </w:pPr>
      <w:r w:rsidRPr="00862EFB">
        <w:rPr>
          <w:rFonts w:cstheme="minorHAnsi"/>
          <w:sz w:val="28"/>
          <w:szCs w:val="28"/>
        </w:rPr>
        <w:t>All participants will receive the exercise programme.  This involves a 6 week strength-based exercise program, using resistance bands, which you will be able to undertake in your home. There will also be a balance and flexibility element included in the sessions. These sessions will also be conducted via videocall (twice a week for 50mins/session) and you will once again be provided with all equipment you require. Three live sessions will be held each week and if you cannot make this you will be sent a recorded session to complete in your own time, instead.</w:t>
      </w:r>
    </w:p>
    <w:p w14:paraId="61727F51" w14:textId="77777777" w:rsidR="008A7196" w:rsidRPr="00862EFB" w:rsidRDefault="008A7196" w:rsidP="008A7196">
      <w:pPr>
        <w:rPr>
          <w:rFonts w:cstheme="minorHAnsi"/>
          <w:sz w:val="28"/>
          <w:szCs w:val="28"/>
        </w:rPr>
      </w:pPr>
    </w:p>
    <w:p w14:paraId="008B291C" w14:textId="77777777" w:rsidR="008A7196" w:rsidRPr="00862EFB" w:rsidRDefault="008A7196" w:rsidP="008A7196">
      <w:pPr>
        <w:rPr>
          <w:rFonts w:cstheme="minorHAnsi"/>
          <w:sz w:val="28"/>
          <w:szCs w:val="28"/>
        </w:rPr>
      </w:pPr>
      <w:r w:rsidRPr="00862EFB">
        <w:rPr>
          <w:rFonts w:cstheme="minorHAnsi"/>
          <w:sz w:val="28"/>
          <w:szCs w:val="28"/>
        </w:rPr>
        <w:t xml:space="preserve">If you are randomised to receive a nutritional supplement then you will be provided with protein gels that you will be asked to consume daily throughout the intervention.  We will ask you to consume these supplements at the same time of day , at lunch or at lunch and dinner depending on how many you are asked to take. </w:t>
      </w:r>
    </w:p>
    <w:p w14:paraId="75B4D31D" w14:textId="77777777" w:rsidR="008A7196" w:rsidRPr="00862EFB" w:rsidRDefault="008A7196" w:rsidP="008A7196">
      <w:pPr>
        <w:rPr>
          <w:rFonts w:cstheme="minorHAnsi"/>
          <w:sz w:val="28"/>
          <w:szCs w:val="28"/>
        </w:rPr>
      </w:pPr>
    </w:p>
    <w:p w14:paraId="3513E55D" w14:textId="77777777" w:rsidR="008A7196" w:rsidRPr="00862EFB" w:rsidRDefault="008A7196" w:rsidP="008A7196">
      <w:pPr>
        <w:rPr>
          <w:rFonts w:cstheme="minorHAnsi"/>
          <w:sz w:val="28"/>
          <w:szCs w:val="28"/>
        </w:rPr>
      </w:pPr>
      <w:r w:rsidRPr="00862EFB">
        <w:rPr>
          <w:rFonts w:cstheme="minorHAnsi"/>
          <w:sz w:val="28"/>
          <w:szCs w:val="28"/>
        </w:rPr>
        <w:t>Throughout the study we please request that you complete a study logbook/dairy reporting your exercise session attendance, and provide some information about the sessions you take part in. We will also ask you to note if you took your supplement, and the time, in this study documentation (if necessary.)</w:t>
      </w:r>
    </w:p>
    <w:p w14:paraId="57530078" w14:textId="77777777" w:rsidR="008A7196" w:rsidRPr="00862EFB" w:rsidRDefault="008A7196" w:rsidP="008A7196">
      <w:pPr>
        <w:rPr>
          <w:rFonts w:cstheme="minorHAnsi"/>
          <w:sz w:val="28"/>
          <w:szCs w:val="28"/>
        </w:rPr>
      </w:pPr>
    </w:p>
    <w:p w14:paraId="2645D3B6" w14:textId="77777777" w:rsidR="008A7196" w:rsidRPr="00862EFB" w:rsidRDefault="008A7196" w:rsidP="008A7196">
      <w:pPr>
        <w:rPr>
          <w:rFonts w:cstheme="minorHAnsi"/>
          <w:sz w:val="28"/>
          <w:szCs w:val="28"/>
        </w:rPr>
      </w:pPr>
      <w:r w:rsidRPr="00862EFB">
        <w:rPr>
          <w:rFonts w:cstheme="minorHAnsi"/>
          <w:sz w:val="28"/>
          <w:szCs w:val="28"/>
        </w:rPr>
        <w:t>Further measurements that will be asked off on 3 occasions during the trial (before you start the intervention, at week 3 and at week 6)</w:t>
      </w:r>
    </w:p>
    <w:p w14:paraId="5FD7B7F8" w14:textId="77777777" w:rsidR="008A7196" w:rsidRPr="00862EFB" w:rsidRDefault="008A7196" w:rsidP="008A7196">
      <w:pPr>
        <w:rPr>
          <w:rFonts w:cstheme="minorHAnsi"/>
          <w:sz w:val="28"/>
          <w:szCs w:val="28"/>
        </w:rPr>
      </w:pPr>
    </w:p>
    <w:p w14:paraId="71B9908A" w14:textId="77777777" w:rsidR="008A7196" w:rsidRPr="00862EFB" w:rsidRDefault="008A7196" w:rsidP="008A7196">
      <w:pPr>
        <w:rPr>
          <w:rFonts w:cstheme="minorHAnsi"/>
          <w:color w:val="000000"/>
          <w:sz w:val="28"/>
          <w:szCs w:val="28"/>
        </w:rPr>
      </w:pPr>
      <w:r w:rsidRPr="00862EFB">
        <w:rPr>
          <w:rFonts w:cstheme="minorHAnsi"/>
          <w:sz w:val="28"/>
          <w:szCs w:val="28"/>
        </w:rPr>
        <w:t>At the end of the trial, we will repeat all the measurements we obtained at the start of the study and you will be asked to complete a questionnaire about your experience of engaging with the research.  In addition, a small number of people will be invited to a focus group session interview that will last 30-60 minute to allow you to provide a greater level of detail about your experience. This will take place via videocall. Interviews will be recorded and transcribed by the researcher prior to analysis.</w:t>
      </w:r>
    </w:p>
    <w:p w14:paraId="76EAEA1A" w14:textId="77777777" w:rsidR="008A7196" w:rsidRPr="00862EFB" w:rsidRDefault="008A7196" w:rsidP="008A7196">
      <w:pPr>
        <w:rPr>
          <w:rFonts w:cstheme="minorHAnsi"/>
          <w:sz w:val="28"/>
          <w:szCs w:val="28"/>
        </w:rPr>
      </w:pPr>
    </w:p>
    <w:p w14:paraId="2D23DDE9" w14:textId="77777777" w:rsidR="008A7196" w:rsidRPr="00862EFB" w:rsidRDefault="008A7196" w:rsidP="008A7196">
      <w:pPr>
        <w:rPr>
          <w:rFonts w:cstheme="minorHAnsi"/>
          <w:b/>
          <w:sz w:val="28"/>
          <w:szCs w:val="28"/>
        </w:rPr>
      </w:pPr>
      <w:r w:rsidRPr="00862EFB">
        <w:rPr>
          <w:rFonts w:cstheme="minorHAnsi"/>
          <w:b/>
          <w:sz w:val="28"/>
          <w:szCs w:val="28"/>
        </w:rPr>
        <w:t>What are the possible disadvantages of taking part?</w:t>
      </w:r>
    </w:p>
    <w:p w14:paraId="5404EDDD" w14:textId="77777777" w:rsidR="008A7196" w:rsidRPr="00862EFB" w:rsidRDefault="008A7196" w:rsidP="008A7196">
      <w:pPr>
        <w:rPr>
          <w:rFonts w:cstheme="minorHAnsi"/>
          <w:sz w:val="28"/>
          <w:szCs w:val="28"/>
        </w:rPr>
      </w:pPr>
      <w:r w:rsidRPr="00862EFB">
        <w:rPr>
          <w:rFonts w:cstheme="minorHAnsi"/>
          <w:sz w:val="28"/>
          <w:szCs w:val="28"/>
        </w:rPr>
        <w:lastRenderedPageBreak/>
        <w:t>You will be asked to commit to participating in two, 50 minute, exercise sessions a week, so there will be some time commitment involved with engaging with the research.</w:t>
      </w:r>
    </w:p>
    <w:p w14:paraId="5C26164B" w14:textId="77777777" w:rsidR="008A7196" w:rsidRPr="00862EFB" w:rsidRDefault="008A7196" w:rsidP="008A7196">
      <w:pPr>
        <w:rPr>
          <w:rFonts w:cstheme="minorHAnsi"/>
          <w:sz w:val="28"/>
          <w:szCs w:val="28"/>
        </w:rPr>
      </w:pPr>
    </w:p>
    <w:p w14:paraId="3C322160" w14:textId="77777777" w:rsidR="008A7196" w:rsidRPr="00862EFB" w:rsidRDefault="008A7196" w:rsidP="008A7196">
      <w:pPr>
        <w:rPr>
          <w:rFonts w:cstheme="minorHAnsi"/>
          <w:sz w:val="28"/>
          <w:szCs w:val="28"/>
        </w:rPr>
      </w:pPr>
      <w:r w:rsidRPr="00862EFB">
        <w:rPr>
          <w:rFonts w:cstheme="minorHAnsi"/>
          <w:sz w:val="28"/>
          <w:szCs w:val="28"/>
        </w:rPr>
        <w:t>The exercise program will be designed to be suitable for your individual fitness capabilities. The researcher is a qualified level 3 personal trainer so has the appropriate training to deliver exercise sessions, however there is still a slight risk of injury occurring. Furthermore, following resistance based exercise, you can experience soreness of your muscles, but this is nothing to be worried about. If you experience any issues, you can let the research know and the appropriate steps will be taken. If you do not enjoy partaking in the exercise sessions, you can stop at any point.</w:t>
      </w:r>
    </w:p>
    <w:p w14:paraId="6A372974" w14:textId="77777777" w:rsidR="008A7196" w:rsidRPr="00862EFB" w:rsidRDefault="008A7196" w:rsidP="008A7196">
      <w:pPr>
        <w:rPr>
          <w:rFonts w:cstheme="minorHAnsi"/>
          <w:sz w:val="28"/>
          <w:szCs w:val="28"/>
        </w:rPr>
      </w:pPr>
    </w:p>
    <w:p w14:paraId="613E2F37" w14:textId="77777777" w:rsidR="008A7196" w:rsidRPr="00862EFB" w:rsidRDefault="008A7196" w:rsidP="008A7196">
      <w:pPr>
        <w:rPr>
          <w:rFonts w:cstheme="minorHAnsi"/>
          <w:sz w:val="28"/>
          <w:szCs w:val="28"/>
        </w:rPr>
      </w:pPr>
      <w:r w:rsidRPr="00862EFB">
        <w:rPr>
          <w:rFonts w:cstheme="minorHAnsi"/>
          <w:sz w:val="28"/>
          <w:szCs w:val="28"/>
        </w:rPr>
        <w:t>The protein supplements are safe and available to purchase over the counter, and should not cause any negative reactions, but may lead to feelings of fullness.</w:t>
      </w:r>
    </w:p>
    <w:p w14:paraId="29A63649" w14:textId="77777777" w:rsidR="008A7196" w:rsidRPr="00862EFB" w:rsidRDefault="008A7196" w:rsidP="008A7196">
      <w:pPr>
        <w:rPr>
          <w:rFonts w:cstheme="minorHAnsi"/>
          <w:sz w:val="28"/>
          <w:szCs w:val="28"/>
        </w:rPr>
      </w:pPr>
    </w:p>
    <w:p w14:paraId="687D582C" w14:textId="77777777" w:rsidR="008A7196" w:rsidRPr="00862EFB" w:rsidRDefault="008A7196" w:rsidP="008A7196">
      <w:pPr>
        <w:rPr>
          <w:rFonts w:cstheme="minorHAnsi"/>
          <w:b/>
          <w:sz w:val="28"/>
          <w:szCs w:val="28"/>
        </w:rPr>
      </w:pPr>
      <w:r w:rsidRPr="00862EFB">
        <w:rPr>
          <w:rFonts w:cstheme="minorHAnsi"/>
          <w:b/>
          <w:sz w:val="28"/>
          <w:szCs w:val="28"/>
        </w:rPr>
        <w:t>What are the possible benefits of taking part?</w:t>
      </w:r>
    </w:p>
    <w:p w14:paraId="2BAC7F08" w14:textId="77777777" w:rsidR="008A7196" w:rsidRPr="00862EFB" w:rsidRDefault="008A7196" w:rsidP="008A7196">
      <w:pPr>
        <w:rPr>
          <w:rFonts w:cstheme="minorHAnsi"/>
          <w:sz w:val="28"/>
          <w:szCs w:val="28"/>
        </w:rPr>
      </w:pPr>
      <w:r w:rsidRPr="00862EFB">
        <w:rPr>
          <w:rFonts w:cstheme="minorHAnsi"/>
          <w:sz w:val="28"/>
          <w:szCs w:val="28"/>
        </w:rPr>
        <w:t xml:space="preserve">This study could potentially lead to improvements in muscle features, and fitness levels, however this cannot be guaranteed. Resistance exercise has been advocated for the prevention of many chronic diseases, so you may improve your health status. Although it will not be possible to promise benefits, the results obtained could also be used to understand possible ways to optimise muscle health, particularly as we age, and could lead to developments related to improving muscles parameters in the future. </w:t>
      </w:r>
    </w:p>
    <w:p w14:paraId="139210BA" w14:textId="77777777" w:rsidR="008A7196" w:rsidRPr="00862EFB" w:rsidRDefault="008A7196" w:rsidP="008A7196">
      <w:pPr>
        <w:rPr>
          <w:rFonts w:cstheme="minorHAnsi"/>
          <w:sz w:val="28"/>
          <w:szCs w:val="28"/>
        </w:rPr>
      </w:pPr>
    </w:p>
    <w:p w14:paraId="65987999" w14:textId="77777777" w:rsidR="008A7196" w:rsidRPr="00862EFB" w:rsidRDefault="008A7196" w:rsidP="008A7196">
      <w:pPr>
        <w:rPr>
          <w:rFonts w:cstheme="minorHAnsi"/>
          <w:sz w:val="28"/>
          <w:szCs w:val="28"/>
        </w:rPr>
      </w:pPr>
      <w:r w:rsidRPr="00862EFB">
        <w:rPr>
          <w:rFonts w:cstheme="minorHAnsi"/>
          <w:sz w:val="28"/>
          <w:szCs w:val="28"/>
        </w:rPr>
        <w:t>You will be able to keep the resistance bands after the study and will be educated on the safe use of this equipment.</w:t>
      </w:r>
    </w:p>
    <w:p w14:paraId="257DCE1B" w14:textId="77777777" w:rsidR="008A7196" w:rsidRPr="00862EFB" w:rsidRDefault="008A7196" w:rsidP="008A7196">
      <w:pPr>
        <w:rPr>
          <w:rFonts w:cstheme="minorHAnsi"/>
          <w:sz w:val="28"/>
          <w:szCs w:val="28"/>
        </w:rPr>
      </w:pPr>
    </w:p>
    <w:p w14:paraId="6658AE62" w14:textId="77777777" w:rsidR="008A7196" w:rsidRPr="00862EFB" w:rsidRDefault="008A7196" w:rsidP="008A7196">
      <w:pPr>
        <w:pBdr>
          <w:top w:val="nil"/>
          <w:left w:val="nil"/>
          <w:bottom w:val="nil"/>
          <w:right w:val="nil"/>
          <w:between w:val="nil"/>
        </w:pBdr>
        <w:spacing w:line="276" w:lineRule="auto"/>
        <w:rPr>
          <w:rFonts w:cstheme="minorHAnsi"/>
          <w:b/>
          <w:color w:val="000000"/>
          <w:sz w:val="28"/>
          <w:szCs w:val="28"/>
        </w:rPr>
      </w:pPr>
      <w:r w:rsidRPr="00862EFB">
        <w:rPr>
          <w:rFonts w:cstheme="minorHAnsi"/>
          <w:b/>
          <w:color w:val="000000"/>
          <w:sz w:val="28"/>
          <w:szCs w:val="28"/>
        </w:rPr>
        <w:t>Who has ethically approved the project?</w:t>
      </w:r>
    </w:p>
    <w:p w14:paraId="7326D7DD" w14:textId="77777777" w:rsidR="008A7196" w:rsidRPr="00862EFB" w:rsidRDefault="008A7196" w:rsidP="008A7196">
      <w:pPr>
        <w:pBdr>
          <w:top w:val="nil"/>
          <w:left w:val="nil"/>
          <w:bottom w:val="nil"/>
          <w:right w:val="nil"/>
          <w:between w:val="nil"/>
        </w:pBdr>
        <w:spacing w:line="276" w:lineRule="auto"/>
        <w:rPr>
          <w:rFonts w:cstheme="minorHAnsi"/>
          <w:color w:val="000000"/>
          <w:sz w:val="28"/>
          <w:szCs w:val="28"/>
        </w:rPr>
      </w:pPr>
      <w:r w:rsidRPr="00862EFB">
        <w:rPr>
          <w:rFonts w:cstheme="minorHAnsi"/>
          <w:color w:val="000000"/>
          <w:sz w:val="28"/>
          <w:szCs w:val="28"/>
        </w:rPr>
        <w:t>The study has been reviewed and approved by the School of Medicine Research Ethics Committee at the University of Sheffield.</w:t>
      </w:r>
    </w:p>
    <w:p w14:paraId="34343990" w14:textId="77777777" w:rsidR="008A7196" w:rsidRPr="00862EFB" w:rsidRDefault="008A7196" w:rsidP="008A7196">
      <w:pPr>
        <w:rPr>
          <w:rFonts w:cstheme="minorHAnsi"/>
          <w:sz w:val="28"/>
          <w:szCs w:val="28"/>
        </w:rPr>
      </w:pPr>
    </w:p>
    <w:p w14:paraId="529121F4" w14:textId="77777777" w:rsidR="008A7196" w:rsidRPr="00862EFB" w:rsidRDefault="008A7196" w:rsidP="008A7196">
      <w:pPr>
        <w:rPr>
          <w:rFonts w:cstheme="minorHAnsi"/>
          <w:b/>
          <w:sz w:val="28"/>
          <w:szCs w:val="28"/>
        </w:rPr>
      </w:pPr>
      <w:r w:rsidRPr="00862EFB">
        <w:rPr>
          <w:rFonts w:cstheme="minorHAnsi"/>
          <w:b/>
          <w:sz w:val="28"/>
          <w:szCs w:val="28"/>
        </w:rPr>
        <w:t>What happens if I no longer wish to be part of the study?</w:t>
      </w:r>
    </w:p>
    <w:p w14:paraId="24D062E9" w14:textId="77777777" w:rsidR="008A7196" w:rsidRPr="00862EFB" w:rsidRDefault="008A7196" w:rsidP="008A7196">
      <w:pPr>
        <w:rPr>
          <w:rFonts w:cstheme="minorHAnsi"/>
          <w:sz w:val="28"/>
          <w:szCs w:val="28"/>
        </w:rPr>
      </w:pPr>
      <w:r w:rsidRPr="00862EFB">
        <w:rPr>
          <w:rFonts w:cstheme="minorHAnsi"/>
          <w:sz w:val="28"/>
          <w:szCs w:val="28"/>
        </w:rPr>
        <w:t xml:space="preserve">You are free to withdraw from the study at any point. If you wish to do so, simply let the researcher know. Data already collected from you may be used.  </w:t>
      </w:r>
    </w:p>
    <w:p w14:paraId="696F533E" w14:textId="77777777" w:rsidR="008A7196" w:rsidRPr="00862EFB" w:rsidRDefault="008A7196" w:rsidP="008A7196">
      <w:pPr>
        <w:rPr>
          <w:rFonts w:cstheme="minorHAnsi"/>
          <w:b/>
          <w:sz w:val="28"/>
          <w:szCs w:val="28"/>
        </w:rPr>
      </w:pPr>
    </w:p>
    <w:p w14:paraId="6ED9601D" w14:textId="77777777" w:rsidR="008A7196" w:rsidRPr="00862EFB" w:rsidRDefault="008A7196" w:rsidP="008A7196">
      <w:pPr>
        <w:rPr>
          <w:rFonts w:cstheme="minorHAnsi"/>
          <w:b/>
          <w:sz w:val="28"/>
          <w:szCs w:val="28"/>
        </w:rPr>
      </w:pPr>
      <w:r w:rsidRPr="00862EFB">
        <w:rPr>
          <w:rFonts w:cstheme="minorHAnsi"/>
          <w:b/>
          <w:sz w:val="28"/>
          <w:szCs w:val="28"/>
        </w:rPr>
        <w:t xml:space="preserve">What happens if something goes wrong? </w:t>
      </w:r>
    </w:p>
    <w:p w14:paraId="24493CA3" w14:textId="77777777" w:rsidR="008A7196" w:rsidRPr="00862EFB" w:rsidRDefault="008A7196" w:rsidP="008A7196">
      <w:pPr>
        <w:rPr>
          <w:rFonts w:cstheme="minorHAnsi"/>
          <w:sz w:val="28"/>
          <w:szCs w:val="28"/>
        </w:rPr>
      </w:pPr>
      <w:r w:rsidRPr="00862EFB">
        <w:rPr>
          <w:rFonts w:cstheme="minorHAnsi"/>
          <w:sz w:val="28"/>
          <w:szCs w:val="28"/>
        </w:rPr>
        <w:t xml:space="preserve">Should an issue arise during this research, you should </w:t>
      </w:r>
      <w:r w:rsidRPr="00862EFB">
        <w:rPr>
          <w:rFonts w:cstheme="minorHAnsi"/>
          <w:color w:val="000000"/>
          <w:sz w:val="28"/>
          <w:szCs w:val="28"/>
        </w:rPr>
        <w:t xml:space="preserve">report it to </w:t>
      </w:r>
      <w:r w:rsidRPr="00862EFB">
        <w:rPr>
          <w:rFonts w:cstheme="minorHAnsi"/>
          <w:sz w:val="28"/>
          <w:szCs w:val="28"/>
        </w:rPr>
        <w:t xml:space="preserve">the study </w:t>
      </w:r>
      <w:r w:rsidRPr="00862EFB">
        <w:rPr>
          <w:rFonts w:cstheme="minorHAnsi"/>
          <w:color w:val="000000"/>
          <w:sz w:val="28"/>
          <w:szCs w:val="28"/>
        </w:rPr>
        <w:t xml:space="preserve">team; Esme Tuttiett or the principal investigator, Dr Liz Williams </w:t>
      </w:r>
      <w:hyperlink r:id="rId105">
        <w:r w:rsidRPr="00862EFB">
          <w:rPr>
            <w:rFonts w:cstheme="minorHAnsi"/>
            <w:color w:val="000000"/>
            <w:sz w:val="28"/>
            <w:szCs w:val="28"/>
            <w:u w:val="single"/>
          </w:rPr>
          <w:t>e.a.williams@sheffield.ac.uk</w:t>
        </w:r>
      </w:hyperlink>
      <w:r w:rsidRPr="00862EFB">
        <w:rPr>
          <w:rFonts w:cstheme="minorHAnsi"/>
          <w:strike/>
          <w:color w:val="000000"/>
          <w:sz w:val="28"/>
          <w:szCs w:val="28"/>
        </w:rPr>
        <w:t>.</w:t>
      </w:r>
      <w:r w:rsidRPr="00862EFB">
        <w:rPr>
          <w:rFonts w:cstheme="minorHAnsi"/>
          <w:color w:val="000000"/>
          <w:sz w:val="28"/>
          <w:szCs w:val="28"/>
        </w:rPr>
        <w:t xml:space="preserve"> Oncology </w:t>
      </w:r>
      <w:r w:rsidRPr="00862EFB">
        <w:rPr>
          <w:rFonts w:cstheme="minorHAnsi"/>
          <w:sz w:val="28"/>
          <w:szCs w:val="28"/>
        </w:rPr>
        <w:t xml:space="preserve">&amp; Metabolism, Medical School, University of Sheffield, Sheffield, S10 2RX.  </w:t>
      </w:r>
    </w:p>
    <w:p w14:paraId="28A7F5AF" w14:textId="77777777" w:rsidR="008A7196" w:rsidRPr="00862EFB" w:rsidRDefault="008A7196" w:rsidP="008A7196">
      <w:pPr>
        <w:rPr>
          <w:rFonts w:cstheme="minorHAnsi"/>
          <w:sz w:val="28"/>
          <w:szCs w:val="28"/>
        </w:rPr>
      </w:pPr>
    </w:p>
    <w:p w14:paraId="4E890474" w14:textId="77777777" w:rsidR="008A7196" w:rsidRPr="00862EFB" w:rsidRDefault="008A7196" w:rsidP="008A7196">
      <w:pPr>
        <w:rPr>
          <w:rFonts w:cstheme="minorHAnsi"/>
          <w:b/>
          <w:sz w:val="28"/>
          <w:szCs w:val="28"/>
        </w:rPr>
      </w:pPr>
      <w:r w:rsidRPr="00862EFB">
        <w:rPr>
          <w:rFonts w:cstheme="minorHAnsi"/>
          <w:b/>
          <w:sz w:val="28"/>
          <w:szCs w:val="28"/>
        </w:rPr>
        <w:t>Will my responses be kept confidential?</w:t>
      </w:r>
    </w:p>
    <w:p w14:paraId="797CB3B9" w14:textId="77777777" w:rsidR="008A7196" w:rsidRPr="00862EFB" w:rsidRDefault="008A7196" w:rsidP="008A7196">
      <w:pPr>
        <w:rPr>
          <w:rFonts w:cstheme="minorHAnsi"/>
          <w:sz w:val="28"/>
          <w:szCs w:val="28"/>
        </w:rPr>
      </w:pPr>
      <w:r w:rsidRPr="00862EFB">
        <w:rPr>
          <w:rFonts w:cstheme="minorHAnsi"/>
          <w:sz w:val="28"/>
          <w:szCs w:val="28"/>
        </w:rPr>
        <w:t xml:space="preserve">Yes.  </w:t>
      </w:r>
      <w:r w:rsidRPr="00862EFB">
        <w:rPr>
          <w:rFonts w:cstheme="minorHAnsi"/>
          <w:sz w:val="28"/>
          <w:szCs w:val="28"/>
          <w:highlight w:val="white"/>
        </w:rPr>
        <w:t xml:space="preserve">All the information that we collect about you during the course of the research will be kept strictly confidential and will only be accessible to members of the research team. The results may lead to a production of a publication in a peer-reviewed journal but </w:t>
      </w:r>
      <w:r w:rsidRPr="00862EFB">
        <w:rPr>
          <w:rFonts w:cstheme="minorHAnsi"/>
          <w:sz w:val="28"/>
          <w:szCs w:val="28"/>
        </w:rPr>
        <w:t xml:space="preserve">you will not be </w:t>
      </w:r>
      <w:r w:rsidRPr="00862EFB">
        <w:rPr>
          <w:rFonts w:cstheme="minorHAnsi"/>
          <w:color w:val="000000"/>
          <w:sz w:val="28"/>
          <w:szCs w:val="28"/>
        </w:rPr>
        <w:t xml:space="preserve">identifiable in any reports </w:t>
      </w:r>
      <w:r w:rsidRPr="00862EFB">
        <w:rPr>
          <w:rFonts w:cstheme="minorHAnsi"/>
          <w:sz w:val="28"/>
          <w:szCs w:val="28"/>
        </w:rPr>
        <w:t xml:space="preserve">or publications arising from this work.  Data gathered from the research may be shared with other researchers (e.g. by making it available in a data archive), however your personal details will not be shared and it will not be possible to identify you from the data.  </w:t>
      </w:r>
    </w:p>
    <w:p w14:paraId="4007BB64" w14:textId="77777777" w:rsidR="008A7196" w:rsidRPr="00862EFB" w:rsidRDefault="008A7196" w:rsidP="008A7196">
      <w:pPr>
        <w:rPr>
          <w:rFonts w:cstheme="minorHAnsi"/>
          <w:sz w:val="28"/>
          <w:szCs w:val="28"/>
        </w:rPr>
      </w:pPr>
    </w:p>
    <w:p w14:paraId="03ACB67C" w14:textId="77777777" w:rsidR="008A7196" w:rsidRPr="00862EFB" w:rsidRDefault="008A7196" w:rsidP="008A7196">
      <w:pPr>
        <w:rPr>
          <w:rFonts w:cstheme="minorHAnsi"/>
          <w:sz w:val="28"/>
          <w:szCs w:val="28"/>
        </w:rPr>
      </w:pPr>
      <w:r w:rsidRPr="00862EFB">
        <w:rPr>
          <w:rFonts w:cstheme="minorHAnsi"/>
          <w:sz w:val="28"/>
          <w:szCs w:val="28"/>
        </w:rPr>
        <w:t xml:space="preserve">Your identity will be protected by the use of identification codes.  This means that at the beginning of the study you will be given an ID number.  This ID number will be used on all paperwork and data collected in association with the study.  You will of course be identifiable to fellow participants and to the researcher during the exercise and interview sessions and we ask that you respect confidentiality.  </w:t>
      </w:r>
    </w:p>
    <w:p w14:paraId="13E16DA5" w14:textId="77777777" w:rsidR="008A7196" w:rsidRPr="00862EFB" w:rsidRDefault="008A7196" w:rsidP="008A7196">
      <w:pPr>
        <w:rPr>
          <w:rFonts w:cstheme="minorHAnsi"/>
          <w:sz w:val="28"/>
          <w:szCs w:val="28"/>
        </w:rPr>
      </w:pPr>
    </w:p>
    <w:p w14:paraId="4A380811" w14:textId="77777777" w:rsidR="008A7196" w:rsidRPr="00862EFB" w:rsidRDefault="008A7196" w:rsidP="008A7196">
      <w:pPr>
        <w:jc w:val="both"/>
        <w:rPr>
          <w:rFonts w:cstheme="minorHAnsi"/>
          <w:sz w:val="28"/>
          <w:szCs w:val="28"/>
        </w:rPr>
      </w:pPr>
      <w:r w:rsidRPr="00862EFB">
        <w:rPr>
          <w:rFonts w:cstheme="minorHAnsi"/>
          <w:sz w:val="28"/>
          <w:szCs w:val="28"/>
        </w:rPr>
        <w:t xml:space="preserve">On completion of the study your contact details will only be retained if you agree to be contacted for further research.  If you take part in a focus group interview then you will be given a pseudonym during the transcription stage and the audio recording will be deleted once transcribed. </w:t>
      </w:r>
    </w:p>
    <w:p w14:paraId="629A45B2" w14:textId="77777777" w:rsidR="008A7196" w:rsidRPr="00862EFB" w:rsidRDefault="008A7196" w:rsidP="008A7196">
      <w:pPr>
        <w:rPr>
          <w:rFonts w:cstheme="minorHAnsi"/>
          <w:sz w:val="28"/>
          <w:szCs w:val="28"/>
        </w:rPr>
      </w:pPr>
    </w:p>
    <w:p w14:paraId="5370AF7B" w14:textId="77777777" w:rsidR="008A7196" w:rsidRPr="00862EFB" w:rsidRDefault="008A7196" w:rsidP="008A7196">
      <w:pPr>
        <w:rPr>
          <w:rFonts w:cstheme="minorHAnsi"/>
          <w:b/>
          <w:sz w:val="28"/>
          <w:szCs w:val="28"/>
        </w:rPr>
      </w:pPr>
      <w:r w:rsidRPr="00862EFB">
        <w:rPr>
          <w:rFonts w:cstheme="minorHAnsi"/>
          <w:b/>
          <w:sz w:val="28"/>
          <w:szCs w:val="28"/>
        </w:rPr>
        <w:t xml:space="preserve">What will happen to the study results? </w:t>
      </w:r>
    </w:p>
    <w:p w14:paraId="2508D827" w14:textId="77777777" w:rsidR="008A7196" w:rsidRPr="00862EFB" w:rsidRDefault="008A7196" w:rsidP="008A7196">
      <w:pPr>
        <w:rPr>
          <w:rFonts w:cstheme="minorHAnsi"/>
          <w:sz w:val="28"/>
          <w:szCs w:val="28"/>
        </w:rPr>
      </w:pPr>
      <w:r w:rsidRPr="00862EFB">
        <w:rPr>
          <w:rFonts w:cstheme="minorHAnsi"/>
          <w:sz w:val="28"/>
          <w:szCs w:val="28"/>
        </w:rPr>
        <w:t>The results of this study will be used to aid the work Esme Tuttiett is conducting as part of her PhD degree. It is possible these results will be used to write a manuscript with the aim of publishing it in a peer-reviewed journal. You will not be identifiable in any written pieces of work which may arise from this research.</w:t>
      </w:r>
    </w:p>
    <w:p w14:paraId="5F591B2B" w14:textId="77777777" w:rsidR="008A7196" w:rsidRPr="00862EFB" w:rsidRDefault="008A7196" w:rsidP="008A7196">
      <w:pPr>
        <w:rPr>
          <w:rFonts w:cstheme="minorHAnsi"/>
          <w:sz w:val="28"/>
          <w:szCs w:val="28"/>
        </w:rPr>
      </w:pPr>
    </w:p>
    <w:p w14:paraId="78743A00" w14:textId="77777777" w:rsidR="008A7196" w:rsidRPr="00862EFB" w:rsidRDefault="008A7196" w:rsidP="008A7196">
      <w:pPr>
        <w:rPr>
          <w:rFonts w:cstheme="minorHAnsi"/>
          <w:b/>
          <w:color w:val="000000"/>
          <w:sz w:val="28"/>
          <w:szCs w:val="28"/>
        </w:rPr>
      </w:pPr>
      <w:r w:rsidRPr="00862EFB">
        <w:rPr>
          <w:rFonts w:cstheme="minorHAnsi"/>
          <w:b/>
          <w:color w:val="000000"/>
          <w:sz w:val="28"/>
          <w:szCs w:val="28"/>
        </w:rPr>
        <w:t>Compensation:</w:t>
      </w:r>
    </w:p>
    <w:p w14:paraId="1DE21C18" w14:textId="77777777" w:rsidR="008A7196" w:rsidRPr="00862EFB" w:rsidRDefault="008A7196" w:rsidP="008A7196">
      <w:pPr>
        <w:spacing w:after="120"/>
        <w:jc w:val="both"/>
        <w:rPr>
          <w:rFonts w:cstheme="minorHAnsi"/>
          <w:sz w:val="28"/>
          <w:szCs w:val="28"/>
        </w:rPr>
      </w:pPr>
      <w:r w:rsidRPr="00862EFB">
        <w:rPr>
          <w:rFonts w:cstheme="minorHAnsi"/>
          <w:sz w:val="28"/>
          <w:szCs w:val="28"/>
        </w:rPr>
        <w:t xml:space="preserve">You will be provided with £40 compensation, following the completion of the study,  to cover your transport costs and as a token of thanks for your time commitment to the trial.  </w:t>
      </w:r>
    </w:p>
    <w:p w14:paraId="065C9592" w14:textId="77777777" w:rsidR="008A7196" w:rsidRPr="00862EFB" w:rsidRDefault="008A7196" w:rsidP="008A7196">
      <w:pPr>
        <w:spacing w:after="120"/>
        <w:jc w:val="both"/>
        <w:rPr>
          <w:rFonts w:cstheme="minorHAnsi"/>
          <w:b/>
          <w:sz w:val="28"/>
          <w:szCs w:val="28"/>
        </w:rPr>
      </w:pPr>
    </w:p>
    <w:p w14:paraId="28E2B524" w14:textId="77777777" w:rsidR="008A7196" w:rsidRPr="00862EFB" w:rsidRDefault="008A7196" w:rsidP="008A7196">
      <w:pPr>
        <w:spacing w:after="120"/>
        <w:jc w:val="both"/>
        <w:rPr>
          <w:rFonts w:cstheme="minorHAnsi"/>
          <w:b/>
          <w:sz w:val="28"/>
          <w:szCs w:val="28"/>
        </w:rPr>
      </w:pPr>
      <w:r w:rsidRPr="00862EFB">
        <w:rPr>
          <w:rFonts w:cstheme="minorHAnsi"/>
          <w:b/>
          <w:sz w:val="28"/>
          <w:szCs w:val="28"/>
        </w:rPr>
        <w:t>General Data Protection Regulations (GDPR)</w:t>
      </w:r>
    </w:p>
    <w:p w14:paraId="1C4BFB46" w14:textId="77777777" w:rsidR="008A7196" w:rsidRPr="00862EFB" w:rsidRDefault="008A7196" w:rsidP="008A7196">
      <w:pPr>
        <w:spacing w:after="120"/>
        <w:jc w:val="both"/>
        <w:rPr>
          <w:rFonts w:cstheme="minorHAnsi"/>
          <w:b/>
          <w:color w:val="000000"/>
          <w:sz w:val="28"/>
          <w:szCs w:val="28"/>
        </w:rPr>
      </w:pPr>
      <w:r w:rsidRPr="00862EFB">
        <w:rPr>
          <w:rFonts w:cstheme="minorHAnsi"/>
          <w:sz w:val="28"/>
          <w:szCs w:val="28"/>
        </w:rPr>
        <w:lastRenderedPageBreak/>
        <w:t>New data protection legislation came into effect across the EU, including the UK on 25 May 2018; this means that we need to provide you with some further information relating to how your personal information will be used and managed within this research project. This is in addition to the details provided within the information sheet that has already been given to you.</w:t>
      </w:r>
    </w:p>
    <w:p w14:paraId="29F37410" w14:textId="77777777" w:rsidR="008A7196" w:rsidRPr="00862EFB" w:rsidRDefault="008A7196" w:rsidP="008A7196">
      <w:pPr>
        <w:rPr>
          <w:rFonts w:cstheme="minorHAnsi"/>
          <w:sz w:val="28"/>
          <w:szCs w:val="28"/>
        </w:rPr>
      </w:pPr>
      <w:r w:rsidRPr="00862EFB">
        <w:rPr>
          <w:rFonts w:cstheme="minorHAnsi"/>
          <w:color w:val="000000"/>
          <w:sz w:val="28"/>
          <w:szCs w:val="28"/>
        </w:rPr>
        <w:t xml:space="preserve">The University of Sheffield will act as the Data Controller for this study, meaning that the University is responsible for looking after your information and using it correctly. In order to collect and use your personal information as part of this research project, we must have a basis in law to do so. The basis that we are using is that the research is ‘a task in the </w:t>
      </w:r>
      <w:r w:rsidRPr="00862EFB">
        <w:rPr>
          <w:rFonts w:cstheme="minorHAnsi"/>
          <w:sz w:val="28"/>
          <w:szCs w:val="28"/>
        </w:rPr>
        <w:t>public interest’.   As we will be collecting some data that is defined in the legislation as sensitive (information about your health), we also need to let you know that we are applying an additional condition in law: that the use of your data is ‘necessary for scientific or historical research purposes’.</w:t>
      </w:r>
    </w:p>
    <w:p w14:paraId="7BB85629" w14:textId="77777777" w:rsidR="008A7196" w:rsidRPr="00862EFB" w:rsidRDefault="008A7196" w:rsidP="008A7196">
      <w:pPr>
        <w:rPr>
          <w:rFonts w:cstheme="minorHAnsi"/>
          <w:sz w:val="28"/>
          <w:szCs w:val="28"/>
        </w:rPr>
      </w:pPr>
    </w:p>
    <w:p w14:paraId="69CE669E" w14:textId="77777777" w:rsidR="008A7196" w:rsidRPr="00862EFB" w:rsidRDefault="008A7196" w:rsidP="008A7196">
      <w:pPr>
        <w:rPr>
          <w:rFonts w:cstheme="minorHAnsi"/>
          <w:sz w:val="28"/>
          <w:szCs w:val="28"/>
        </w:rPr>
      </w:pPr>
      <w:r w:rsidRPr="00862EFB">
        <w:rPr>
          <w:rFonts w:cstheme="minorHAnsi"/>
          <w:sz w:val="28"/>
          <w:szCs w:val="28"/>
        </w:rPr>
        <w:t>Further information, including details about how and why the University processes your personal information, how we keep your information secure, and your legal rights (including how to complain if you feel that your personal information has not been handled correctly), can be found in the University’s Privacy Notice https://www.sheffield.ac.uk/govern/dataprotection/privacy/general</w:t>
      </w:r>
    </w:p>
    <w:p w14:paraId="2E43A1D4" w14:textId="77777777" w:rsidR="008A7196" w:rsidRPr="00862EFB" w:rsidRDefault="008A7196" w:rsidP="008A7196">
      <w:pPr>
        <w:rPr>
          <w:rFonts w:cstheme="minorHAnsi"/>
          <w:b/>
          <w:sz w:val="28"/>
          <w:szCs w:val="28"/>
        </w:rPr>
      </w:pPr>
    </w:p>
    <w:p w14:paraId="73A4011A" w14:textId="77777777" w:rsidR="008A7196" w:rsidRPr="00862EFB" w:rsidRDefault="008A7196" w:rsidP="008A7196">
      <w:pPr>
        <w:rPr>
          <w:rFonts w:cstheme="minorHAnsi"/>
          <w:b/>
          <w:sz w:val="28"/>
          <w:szCs w:val="28"/>
        </w:rPr>
      </w:pPr>
      <w:r w:rsidRPr="00862EFB">
        <w:rPr>
          <w:rFonts w:cstheme="minorHAnsi"/>
          <w:b/>
          <w:sz w:val="28"/>
          <w:szCs w:val="28"/>
        </w:rPr>
        <w:t>Funding and organisation of the study</w:t>
      </w:r>
    </w:p>
    <w:p w14:paraId="75CB4066" w14:textId="77777777" w:rsidR="008A7196" w:rsidRPr="00862EFB" w:rsidRDefault="008A7196" w:rsidP="008A7196">
      <w:pPr>
        <w:rPr>
          <w:rFonts w:cstheme="minorHAnsi"/>
          <w:sz w:val="28"/>
          <w:szCs w:val="28"/>
        </w:rPr>
      </w:pPr>
      <w:r w:rsidRPr="00862EFB">
        <w:rPr>
          <w:rFonts w:cstheme="minorHAnsi"/>
          <w:color w:val="000000"/>
          <w:sz w:val="28"/>
          <w:szCs w:val="28"/>
        </w:rPr>
        <w:t>This work is being supported by the Medical Research Council (MRC) and Versus Arthritis as part of the Medical Research Council Versus Arthritis Centre for Integrated Research into Musculoskeletal Ageing (CIMA) [MR/R502182/1]. The MRC Versus Arthritis Centre for Integrated Research into Musculoskeletal Ageing is a collaboration between the Universities of Liverpool, Sheffield and Newcastle.</w:t>
      </w:r>
    </w:p>
    <w:p w14:paraId="11726FEF" w14:textId="77777777" w:rsidR="008A7196" w:rsidRPr="00862EFB" w:rsidRDefault="008A7196" w:rsidP="008A7196">
      <w:pPr>
        <w:rPr>
          <w:rFonts w:cstheme="minorHAnsi"/>
          <w:sz w:val="28"/>
          <w:szCs w:val="28"/>
        </w:rPr>
      </w:pPr>
    </w:p>
    <w:p w14:paraId="6E3CE66F" w14:textId="77777777" w:rsidR="008A7196" w:rsidRPr="00862EFB" w:rsidRDefault="008A7196" w:rsidP="008A7196">
      <w:pPr>
        <w:rPr>
          <w:rFonts w:cstheme="minorHAnsi"/>
          <w:b/>
          <w:sz w:val="28"/>
          <w:szCs w:val="28"/>
        </w:rPr>
      </w:pPr>
    </w:p>
    <w:p w14:paraId="31611C86" w14:textId="77777777" w:rsidR="008A7196" w:rsidRPr="00862EFB" w:rsidRDefault="008A7196" w:rsidP="008A7196">
      <w:pPr>
        <w:rPr>
          <w:rFonts w:cstheme="minorHAnsi"/>
          <w:b/>
          <w:sz w:val="28"/>
          <w:szCs w:val="28"/>
        </w:rPr>
      </w:pPr>
      <w:r w:rsidRPr="00862EFB">
        <w:rPr>
          <w:rFonts w:cstheme="minorHAnsi"/>
          <w:b/>
          <w:sz w:val="28"/>
          <w:szCs w:val="28"/>
        </w:rPr>
        <w:t>Contact for further information.</w:t>
      </w:r>
    </w:p>
    <w:p w14:paraId="758FFF3E" w14:textId="77777777" w:rsidR="008A7196" w:rsidRPr="00862EFB" w:rsidRDefault="008A7196" w:rsidP="008A7196">
      <w:pPr>
        <w:rPr>
          <w:rFonts w:cstheme="minorHAnsi"/>
          <w:sz w:val="28"/>
          <w:szCs w:val="28"/>
        </w:rPr>
      </w:pPr>
      <w:r w:rsidRPr="00862EFB">
        <w:rPr>
          <w:rFonts w:cstheme="minorHAnsi"/>
          <w:sz w:val="28"/>
          <w:szCs w:val="28"/>
        </w:rPr>
        <w:t>If you would like any further information, please contact: Esme Tuttiett</w:t>
      </w:r>
    </w:p>
    <w:p w14:paraId="303FE110" w14:textId="77777777" w:rsidR="008A7196" w:rsidRPr="00862EFB" w:rsidRDefault="008A7196" w:rsidP="008A7196">
      <w:pPr>
        <w:rPr>
          <w:rFonts w:cstheme="minorHAnsi"/>
          <w:b/>
          <w:sz w:val="28"/>
          <w:szCs w:val="28"/>
        </w:rPr>
      </w:pPr>
      <w:r w:rsidRPr="00862EFB">
        <w:rPr>
          <w:rFonts w:cstheme="minorHAnsi"/>
          <w:sz w:val="28"/>
          <w:szCs w:val="28"/>
        </w:rPr>
        <w:t xml:space="preserve">Email: </w:t>
      </w:r>
      <w:hyperlink r:id="rId106">
        <w:r w:rsidRPr="00862EFB">
          <w:rPr>
            <w:rFonts w:cstheme="minorHAnsi"/>
            <w:b/>
            <w:color w:val="0563C1"/>
            <w:sz w:val="28"/>
            <w:szCs w:val="28"/>
            <w:u w:val="single"/>
          </w:rPr>
          <w:t>ertuttiett1@sheffield.ac.uk</w:t>
        </w:r>
      </w:hyperlink>
      <w:r w:rsidRPr="00862EFB">
        <w:rPr>
          <w:rFonts w:cstheme="minorHAnsi"/>
          <w:b/>
          <w:sz w:val="28"/>
          <w:szCs w:val="28"/>
        </w:rPr>
        <w:t xml:space="preserve">. </w:t>
      </w:r>
      <w:r w:rsidRPr="00862EFB">
        <w:rPr>
          <w:rFonts w:cstheme="minorHAnsi"/>
          <w:sz w:val="28"/>
          <w:szCs w:val="28"/>
        </w:rPr>
        <w:t>Phone number:</w:t>
      </w:r>
      <w:r w:rsidRPr="00862EFB">
        <w:rPr>
          <w:rFonts w:cstheme="minorHAnsi"/>
          <w:b/>
          <w:sz w:val="28"/>
          <w:szCs w:val="28"/>
        </w:rPr>
        <w:t xml:space="preserve"> 07925034704</w:t>
      </w:r>
    </w:p>
    <w:p w14:paraId="1DAA0040" w14:textId="77777777" w:rsidR="008A7196" w:rsidRPr="00862EFB" w:rsidRDefault="008A7196" w:rsidP="008A7196">
      <w:pPr>
        <w:rPr>
          <w:rFonts w:cstheme="minorHAnsi"/>
          <w:sz w:val="28"/>
          <w:szCs w:val="28"/>
        </w:rPr>
      </w:pPr>
    </w:p>
    <w:p w14:paraId="1DD85E22" w14:textId="77777777" w:rsidR="008A7196" w:rsidRPr="00862EFB" w:rsidRDefault="008A7196" w:rsidP="008A7196">
      <w:pPr>
        <w:rPr>
          <w:rFonts w:cstheme="minorHAnsi"/>
          <w:sz w:val="28"/>
          <w:szCs w:val="28"/>
        </w:rPr>
      </w:pPr>
      <w:r w:rsidRPr="00862EFB">
        <w:rPr>
          <w:rFonts w:cstheme="minorHAnsi"/>
          <w:sz w:val="28"/>
          <w:szCs w:val="28"/>
        </w:rPr>
        <w:t>Thank you for reading this information and for expressing an interest in taking part in this study. You will be provided with a copy of this information and a signed copy of the consent form to keep. Your time and assistance is greatly appreciated.</w:t>
      </w:r>
    </w:p>
    <w:p w14:paraId="10A011C0" w14:textId="77777777" w:rsidR="008A7196" w:rsidRPr="00862EFB" w:rsidRDefault="008A7196" w:rsidP="008A7196">
      <w:pPr>
        <w:rPr>
          <w:rFonts w:cstheme="minorHAnsi"/>
        </w:rPr>
      </w:pPr>
    </w:p>
    <w:p w14:paraId="67D5AC98" w14:textId="77777777" w:rsidR="008A7196" w:rsidRPr="00862EFB" w:rsidRDefault="008A7196" w:rsidP="008A7196">
      <w:pPr>
        <w:rPr>
          <w:rFonts w:cstheme="minorHAnsi"/>
        </w:rPr>
      </w:pPr>
      <w:r w:rsidRPr="00862EFB">
        <w:rPr>
          <w:rFonts w:cstheme="minorHAnsi"/>
        </w:rPr>
        <w:lastRenderedPageBreak/>
        <w:t>Appendix 11: Informed consent form for the REMEND feasibility trial. Version 2.</w:t>
      </w:r>
    </w:p>
    <w:p w14:paraId="0B4B25C1" w14:textId="77777777" w:rsidR="008A7196" w:rsidRPr="00862EFB" w:rsidRDefault="008A7196" w:rsidP="008A7196">
      <w:pPr>
        <w:rPr>
          <w:rFonts w:eastAsia="TUOS Stephenson" w:cstheme="minorHAnsi"/>
          <w:b/>
        </w:rPr>
      </w:pPr>
      <w:r w:rsidRPr="00862EFB">
        <w:rPr>
          <w:rFonts w:cstheme="minorHAnsi"/>
          <w:noProof/>
        </w:rPr>
        <w:drawing>
          <wp:anchor distT="0" distB="0" distL="114300" distR="114300" simplePos="0" relativeHeight="251720704" behindDoc="0" locked="0" layoutInCell="1" hidden="0" allowOverlap="1" wp14:anchorId="3EFFE112" wp14:editId="796A427B">
            <wp:simplePos x="0" y="0"/>
            <wp:positionH relativeFrom="column">
              <wp:posOffset>1595120</wp:posOffset>
            </wp:positionH>
            <wp:positionV relativeFrom="paragraph">
              <wp:posOffset>0</wp:posOffset>
            </wp:positionV>
            <wp:extent cx="2372995" cy="490220"/>
            <wp:effectExtent l="0" t="0" r="1905" b="5080"/>
            <wp:wrapSquare wrapText="bothSides" distT="0" distB="0" distL="114300" distR="114300"/>
            <wp:docPr id="32" name="image3.png" descr="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Logo&#10;&#10;Description automatically generated"/>
                    <pic:cNvPicPr preferRelativeResize="0"/>
                  </pic:nvPicPr>
                  <pic:blipFill>
                    <a:blip r:embed="rId101"/>
                    <a:srcRect/>
                    <a:stretch>
                      <a:fillRect/>
                    </a:stretch>
                  </pic:blipFill>
                  <pic:spPr>
                    <a:xfrm>
                      <a:off x="0" y="0"/>
                      <a:ext cx="2372995" cy="490220"/>
                    </a:xfrm>
                    <a:prstGeom prst="rect">
                      <a:avLst/>
                    </a:prstGeom>
                    <a:ln/>
                  </pic:spPr>
                </pic:pic>
              </a:graphicData>
            </a:graphic>
            <wp14:sizeRelH relativeFrom="margin">
              <wp14:pctWidth>0</wp14:pctWidth>
            </wp14:sizeRelH>
            <wp14:sizeRelV relativeFrom="margin">
              <wp14:pctHeight>0</wp14:pctHeight>
            </wp14:sizeRelV>
          </wp:anchor>
        </w:drawing>
      </w:r>
      <w:r w:rsidRPr="00862EFB">
        <w:rPr>
          <w:rFonts w:cstheme="minorHAnsi"/>
          <w:noProof/>
        </w:rPr>
        <w:drawing>
          <wp:anchor distT="0" distB="0" distL="114300" distR="114300" simplePos="0" relativeHeight="251721728" behindDoc="0" locked="0" layoutInCell="1" hidden="0" allowOverlap="1" wp14:anchorId="7C856BCE" wp14:editId="2585B93F">
            <wp:simplePos x="0" y="0"/>
            <wp:positionH relativeFrom="column">
              <wp:posOffset>274320</wp:posOffset>
            </wp:positionH>
            <wp:positionV relativeFrom="paragraph">
              <wp:posOffset>0</wp:posOffset>
            </wp:positionV>
            <wp:extent cx="1249680" cy="490220"/>
            <wp:effectExtent l="0" t="0" r="0" b="5080"/>
            <wp:wrapSquare wrapText="bothSides" distT="0" distB="0" distL="114300" distR="114300"/>
            <wp:docPr id="33" name="image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Text&#10;&#10;Description automatically generated"/>
                    <pic:cNvPicPr preferRelativeResize="0"/>
                  </pic:nvPicPr>
                  <pic:blipFill>
                    <a:blip r:embed="rId102"/>
                    <a:srcRect/>
                    <a:stretch>
                      <a:fillRect/>
                    </a:stretch>
                  </pic:blipFill>
                  <pic:spPr>
                    <a:xfrm>
                      <a:off x="0" y="0"/>
                      <a:ext cx="1249680" cy="490220"/>
                    </a:xfrm>
                    <a:prstGeom prst="rect">
                      <a:avLst/>
                    </a:prstGeom>
                    <a:ln/>
                  </pic:spPr>
                </pic:pic>
              </a:graphicData>
            </a:graphic>
            <wp14:sizeRelH relativeFrom="margin">
              <wp14:pctWidth>0</wp14:pctWidth>
            </wp14:sizeRelH>
            <wp14:sizeRelV relativeFrom="margin">
              <wp14:pctHeight>0</wp14:pctHeight>
            </wp14:sizeRelV>
          </wp:anchor>
        </w:drawing>
      </w:r>
      <w:r w:rsidRPr="00862EFB">
        <w:rPr>
          <w:rFonts w:cstheme="minorHAnsi"/>
          <w:noProof/>
        </w:rPr>
        <w:drawing>
          <wp:inline distT="114300" distB="114300" distL="114300" distR="114300" wp14:anchorId="16205FA9" wp14:editId="73028B97">
            <wp:extent cx="1382888" cy="436880"/>
            <wp:effectExtent l="0" t="0" r="1905" b="0"/>
            <wp:docPr id="34" name="image4.png" descr="A picture containing text, sign&#10;&#10;Description automatically generated"/>
            <wp:cNvGraphicFramePr/>
            <a:graphic xmlns:a="http://schemas.openxmlformats.org/drawingml/2006/main">
              <a:graphicData uri="http://schemas.openxmlformats.org/drawingml/2006/picture">
                <pic:pic xmlns:pic="http://schemas.openxmlformats.org/drawingml/2006/picture">
                  <pic:nvPicPr>
                    <pic:cNvPr id="34" name="image4.png" descr="A picture containing text, sign&#10;&#10;Description automatically generated"/>
                    <pic:cNvPicPr preferRelativeResize="0"/>
                  </pic:nvPicPr>
                  <pic:blipFill>
                    <a:blip r:embed="rId100"/>
                    <a:srcRect/>
                    <a:stretch>
                      <a:fillRect/>
                    </a:stretch>
                  </pic:blipFill>
                  <pic:spPr>
                    <a:xfrm>
                      <a:off x="0" y="0"/>
                      <a:ext cx="1385238" cy="437622"/>
                    </a:xfrm>
                    <a:prstGeom prst="rect">
                      <a:avLst/>
                    </a:prstGeom>
                    <a:ln/>
                  </pic:spPr>
                </pic:pic>
              </a:graphicData>
            </a:graphic>
          </wp:inline>
        </w:drawing>
      </w:r>
    </w:p>
    <w:p w14:paraId="5CF40B1E" w14:textId="77777777" w:rsidR="008A7196" w:rsidRPr="00862EFB" w:rsidRDefault="008A7196" w:rsidP="008A7196">
      <w:pPr>
        <w:jc w:val="both"/>
        <w:rPr>
          <w:rFonts w:cstheme="minorHAnsi"/>
          <w:b/>
          <w:sz w:val="28"/>
          <w:szCs w:val="28"/>
          <w:highlight w:val="yellow"/>
        </w:rPr>
      </w:pPr>
    </w:p>
    <w:p w14:paraId="195B6BF9" w14:textId="77777777" w:rsidR="008A7196" w:rsidRPr="00862EFB" w:rsidRDefault="008A7196" w:rsidP="008A7196">
      <w:pPr>
        <w:jc w:val="both"/>
        <w:rPr>
          <w:rFonts w:cstheme="minorHAnsi"/>
          <w:b/>
        </w:rPr>
      </w:pPr>
      <w:r w:rsidRPr="00862EFB">
        <w:rPr>
          <w:rFonts w:cstheme="minorHAnsi"/>
          <w:b/>
        </w:rPr>
        <w:t xml:space="preserve">Title: </w:t>
      </w:r>
      <w:r w:rsidRPr="00862EFB">
        <w:rPr>
          <w:rFonts w:eastAsia="Calibri" w:cstheme="minorHAnsi"/>
          <w:b/>
        </w:rPr>
        <w:t>A feasibility study to investigate the remote delivery of an exercise and nutrition programme to improve muscle parameters in 40-60-year olds.</w:t>
      </w:r>
    </w:p>
    <w:p w14:paraId="6349DC6A" w14:textId="77777777" w:rsidR="008A7196" w:rsidRPr="00862EFB" w:rsidRDefault="008A7196" w:rsidP="008A7196">
      <w:pPr>
        <w:tabs>
          <w:tab w:val="center" w:pos="4961"/>
        </w:tabs>
        <w:jc w:val="both"/>
        <w:rPr>
          <w:rFonts w:cstheme="minorHAnsi"/>
          <w:b/>
        </w:rPr>
      </w:pPr>
      <w:r w:rsidRPr="00862EFB">
        <w:rPr>
          <w:rFonts w:cstheme="minorHAnsi"/>
          <w:b/>
        </w:rPr>
        <w:tab/>
      </w:r>
    </w:p>
    <w:p w14:paraId="2399A7C0" w14:textId="77777777" w:rsidR="008A7196" w:rsidRPr="00862EFB" w:rsidRDefault="008A7196" w:rsidP="008A7196">
      <w:pPr>
        <w:jc w:val="both"/>
        <w:rPr>
          <w:rFonts w:cstheme="minorHAnsi"/>
        </w:rPr>
      </w:pPr>
      <w:r w:rsidRPr="00862EFB">
        <w:rPr>
          <w:rFonts w:cstheme="minorHAnsi"/>
          <w:b/>
        </w:rPr>
        <w:t xml:space="preserve">Consent form </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20"/>
        <w:gridCol w:w="1703"/>
      </w:tblGrid>
      <w:tr w:rsidR="008A7196" w:rsidRPr="00862EFB" w14:paraId="66AB8BB7" w14:textId="77777777" w:rsidTr="00C169F5">
        <w:trPr>
          <w:trHeight w:val="262"/>
        </w:trPr>
        <w:tc>
          <w:tcPr>
            <w:tcW w:w="8220" w:type="dxa"/>
          </w:tcPr>
          <w:p w14:paraId="58C5310A" w14:textId="77777777" w:rsidR="008A7196" w:rsidRPr="00862EFB" w:rsidRDefault="008A7196" w:rsidP="00C169F5">
            <w:pPr>
              <w:spacing w:after="80"/>
              <w:rPr>
                <w:rFonts w:eastAsia="TUOS Blake" w:cstheme="minorHAnsi"/>
                <w:b/>
              </w:rPr>
            </w:pPr>
            <w:r w:rsidRPr="00862EFB">
              <w:rPr>
                <w:rFonts w:eastAsia="TUOS Blake" w:cstheme="minorHAnsi"/>
                <w:b/>
                <w:i/>
              </w:rPr>
              <w:t>Please initial your response.</w:t>
            </w:r>
          </w:p>
        </w:tc>
        <w:tc>
          <w:tcPr>
            <w:tcW w:w="1703" w:type="dxa"/>
          </w:tcPr>
          <w:p w14:paraId="1FF720A1" w14:textId="77777777" w:rsidR="008A7196" w:rsidRPr="00862EFB" w:rsidRDefault="008A7196" w:rsidP="00C169F5">
            <w:pPr>
              <w:spacing w:after="80"/>
              <w:rPr>
                <w:rFonts w:eastAsia="TUOS Blake" w:cstheme="minorHAnsi"/>
                <w:b/>
                <w:i/>
              </w:rPr>
            </w:pPr>
            <w:r w:rsidRPr="00862EFB">
              <w:rPr>
                <w:rFonts w:eastAsia="TUOS Blake" w:cstheme="minorHAnsi"/>
                <w:b/>
                <w:i/>
              </w:rPr>
              <w:t>Participant Initials</w:t>
            </w:r>
          </w:p>
        </w:tc>
      </w:tr>
      <w:tr w:rsidR="008A7196" w:rsidRPr="00862EFB" w14:paraId="45810C66" w14:textId="77777777" w:rsidTr="00C169F5">
        <w:trPr>
          <w:trHeight w:val="286"/>
        </w:trPr>
        <w:tc>
          <w:tcPr>
            <w:tcW w:w="8220" w:type="dxa"/>
          </w:tcPr>
          <w:p w14:paraId="5E1BD368" w14:textId="77777777" w:rsidR="008A7196" w:rsidRPr="00862EFB" w:rsidRDefault="008A7196" w:rsidP="00C169F5">
            <w:pPr>
              <w:rPr>
                <w:rFonts w:eastAsia="TUOS Blake" w:cstheme="minorHAnsi"/>
                <w:b/>
              </w:rPr>
            </w:pPr>
            <w:r w:rsidRPr="00862EFB">
              <w:rPr>
                <w:rFonts w:eastAsia="TUOS Blake" w:cstheme="minorHAnsi"/>
                <w:b/>
              </w:rPr>
              <w:t>Taking Part in the Project</w:t>
            </w:r>
          </w:p>
          <w:p w14:paraId="6C8A1425" w14:textId="77777777" w:rsidR="008A7196" w:rsidRPr="00862EFB" w:rsidRDefault="008A7196" w:rsidP="00C169F5">
            <w:pPr>
              <w:rPr>
                <w:rFonts w:eastAsia="TUOS Blake" w:cstheme="minorHAnsi"/>
                <w:b/>
              </w:rPr>
            </w:pPr>
          </w:p>
        </w:tc>
        <w:tc>
          <w:tcPr>
            <w:tcW w:w="1703" w:type="dxa"/>
          </w:tcPr>
          <w:p w14:paraId="0833C7B4" w14:textId="77777777" w:rsidR="008A7196" w:rsidRPr="00862EFB" w:rsidRDefault="008A7196" w:rsidP="00C169F5">
            <w:pPr>
              <w:rPr>
                <w:rFonts w:eastAsia="TUOS Blake" w:cstheme="minorHAnsi"/>
                <w:b/>
              </w:rPr>
            </w:pPr>
          </w:p>
        </w:tc>
      </w:tr>
      <w:tr w:rsidR="008A7196" w:rsidRPr="00862EFB" w14:paraId="2EFF5A7F" w14:textId="77777777" w:rsidTr="00C169F5">
        <w:trPr>
          <w:trHeight w:val="460"/>
        </w:trPr>
        <w:tc>
          <w:tcPr>
            <w:tcW w:w="8220" w:type="dxa"/>
          </w:tcPr>
          <w:p w14:paraId="02C56DE4" w14:textId="77777777" w:rsidR="008A7196" w:rsidRPr="00862EFB" w:rsidRDefault="008A7196" w:rsidP="00C169F5">
            <w:pPr>
              <w:rPr>
                <w:rFonts w:eastAsia="TUOS Blake" w:cstheme="minorHAnsi"/>
              </w:rPr>
            </w:pPr>
            <w:r w:rsidRPr="00862EFB">
              <w:rPr>
                <w:rFonts w:eastAsia="TUOS Blake" w:cstheme="minorHAnsi"/>
              </w:rPr>
              <w:t xml:space="preserve">I have read and understood the participant  information sheet version number 3, </w:t>
            </w:r>
            <w:r w:rsidRPr="00862EFB">
              <w:rPr>
                <w:rFonts w:eastAsia="TUOS Blake" w:cstheme="minorHAnsi"/>
                <w:color w:val="000000"/>
              </w:rPr>
              <w:t xml:space="preserve">dated </w:t>
            </w:r>
            <w:r w:rsidRPr="00862EFB">
              <w:rPr>
                <w:rFonts w:eastAsia="TUOS Blake" w:cstheme="minorHAnsi"/>
              </w:rPr>
              <w:t xml:space="preserve">28/06/21 </w:t>
            </w:r>
            <w:r w:rsidRPr="00862EFB">
              <w:rPr>
                <w:rFonts w:eastAsia="TUOS Blake" w:cstheme="minorHAnsi"/>
                <w:color w:val="000000"/>
              </w:rPr>
              <w:t xml:space="preserve">and have had the </w:t>
            </w:r>
            <w:r w:rsidRPr="00862EFB">
              <w:rPr>
                <w:rFonts w:eastAsia="TUOS Blake" w:cstheme="minorHAnsi"/>
              </w:rPr>
              <w:t>opportunity</w:t>
            </w:r>
            <w:r w:rsidRPr="00862EFB">
              <w:rPr>
                <w:rFonts w:eastAsia="TUOS Blake" w:cstheme="minorHAnsi"/>
                <w:color w:val="000000"/>
              </w:rPr>
              <w:t xml:space="preserve"> to</w:t>
            </w:r>
            <w:r w:rsidRPr="00862EFB">
              <w:rPr>
                <w:rFonts w:eastAsia="TUOS Blake" w:cstheme="minorHAnsi"/>
              </w:rPr>
              <w:t xml:space="preserve"> ask questions. </w:t>
            </w:r>
          </w:p>
        </w:tc>
        <w:tc>
          <w:tcPr>
            <w:tcW w:w="1703" w:type="dxa"/>
          </w:tcPr>
          <w:p w14:paraId="6B156638" w14:textId="77777777" w:rsidR="008A7196" w:rsidRPr="00862EFB" w:rsidRDefault="008A7196" w:rsidP="00C169F5">
            <w:pPr>
              <w:rPr>
                <w:rFonts w:eastAsia="TUOS Blake" w:cstheme="minorHAnsi"/>
              </w:rPr>
            </w:pPr>
          </w:p>
        </w:tc>
      </w:tr>
      <w:tr w:rsidR="008A7196" w:rsidRPr="00862EFB" w14:paraId="5612AD92" w14:textId="77777777" w:rsidTr="00C169F5">
        <w:tc>
          <w:tcPr>
            <w:tcW w:w="8220" w:type="dxa"/>
          </w:tcPr>
          <w:p w14:paraId="153F9720" w14:textId="77777777" w:rsidR="008A7196" w:rsidRPr="00862EFB" w:rsidRDefault="008A7196" w:rsidP="00C169F5">
            <w:pPr>
              <w:rPr>
                <w:rFonts w:eastAsia="TUOS Blake" w:cstheme="minorHAnsi"/>
              </w:rPr>
            </w:pPr>
            <w:r w:rsidRPr="00862EFB">
              <w:rPr>
                <w:rFonts w:eastAsia="TUOS Blake" w:cstheme="minorHAnsi"/>
              </w:rPr>
              <w:t>I agree to participate in  the research project, as explained in the participant information sheet.</w:t>
            </w:r>
          </w:p>
        </w:tc>
        <w:tc>
          <w:tcPr>
            <w:tcW w:w="1703" w:type="dxa"/>
          </w:tcPr>
          <w:p w14:paraId="43956A10" w14:textId="77777777" w:rsidR="008A7196" w:rsidRPr="00862EFB" w:rsidRDefault="008A7196" w:rsidP="00C169F5">
            <w:pPr>
              <w:rPr>
                <w:rFonts w:eastAsia="TUOS Blake" w:cstheme="minorHAnsi"/>
              </w:rPr>
            </w:pPr>
          </w:p>
        </w:tc>
      </w:tr>
      <w:tr w:rsidR="008A7196" w:rsidRPr="00862EFB" w14:paraId="28968586" w14:textId="77777777" w:rsidTr="00C169F5">
        <w:trPr>
          <w:trHeight w:val="540"/>
        </w:trPr>
        <w:tc>
          <w:tcPr>
            <w:tcW w:w="8220" w:type="dxa"/>
          </w:tcPr>
          <w:p w14:paraId="25999800" w14:textId="77777777" w:rsidR="008A7196" w:rsidRPr="00862EFB" w:rsidRDefault="008A7196" w:rsidP="00C169F5">
            <w:pPr>
              <w:rPr>
                <w:rFonts w:eastAsia="TUOS Blake" w:cstheme="minorHAnsi"/>
                <w:color w:val="FF0000"/>
              </w:rPr>
            </w:pPr>
            <w:r w:rsidRPr="00862EFB">
              <w:rPr>
                <w:rFonts w:eastAsia="TUOS Blake" w:cstheme="minorHAnsi"/>
              </w:rPr>
              <w:t>I understand that taking part in the project will include undertaking two resistance based exercise sessions a week, for 6 weeks, via videocall and these will be group-based.</w:t>
            </w:r>
          </w:p>
        </w:tc>
        <w:tc>
          <w:tcPr>
            <w:tcW w:w="1703" w:type="dxa"/>
          </w:tcPr>
          <w:p w14:paraId="1069094D" w14:textId="77777777" w:rsidR="008A7196" w:rsidRPr="00862EFB" w:rsidRDefault="008A7196" w:rsidP="00C169F5">
            <w:pPr>
              <w:rPr>
                <w:rFonts w:eastAsia="TUOS Blake" w:cstheme="minorHAnsi"/>
              </w:rPr>
            </w:pPr>
          </w:p>
        </w:tc>
      </w:tr>
      <w:tr w:rsidR="008A7196" w:rsidRPr="00862EFB" w14:paraId="27097829" w14:textId="77777777" w:rsidTr="00C169F5">
        <w:trPr>
          <w:trHeight w:val="540"/>
        </w:trPr>
        <w:tc>
          <w:tcPr>
            <w:tcW w:w="8220" w:type="dxa"/>
          </w:tcPr>
          <w:p w14:paraId="318D2226" w14:textId="77777777" w:rsidR="008A7196" w:rsidRPr="00862EFB" w:rsidRDefault="008A7196" w:rsidP="00C169F5">
            <w:pPr>
              <w:rPr>
                <w:rFonts w:eastAsia="TUOS Blake" w:cstheme="minorHAnsi"/>
              </w:rPr>
            </w:pPr>
            <w:r w:rsidRPr="00862EFB">
              <w:rPr>
                <w:rFonts w:eastAsia="TUOS Blake" w:cstheme="minorHAnsi"/>
              </w:rPr>
              <w:t>I understand that I may be asked to consume a nutritional supplement (s), containing protein daily, as part of the research.</w:t>
            </w:r>
          </w:p>
        </w:tc>
        <w:tc>
          <w:tcPr>
            <w:tcW w:w="1703" w:type="dxa"/>
          </w:tcPr>
          <w:p w14:paraId="0E63D5B0" w14:textId="77777777" w:rsidR="008A7196" w:rsidRPr="00862EFB" w:rsidRDefault="008A7196" w:rsidP="00C169F5">
            <w:pPr>
              <w:rPr>
                <w:rFonts w:eastAsia="TUOS Blake" w:cstheme="minorHAnsi"/>
              </w:rPr>
            </w:pPr>
          </w:p>
        </w:tc>
      </w:tr>
      <w:tr w:rsidR="008A7196" w:rsidRPr="00862EFB" w14:paraId="0C94FBD0" w14:textId="77777777" w:rsidTr="00C169F5">
        <w:trPr>
          <w:trHeight w:val="540"/>
        </w:trPr>
        <w:tc>
          <w:tcPr>
            <w:tcW w:w="8220" w:type="dxa"/>
          </w:tcPr>
          <w:p w14:paraId="315391B7" w14:textId="77777777" w:rsidR="008A7196" w:rsidRPr="00862EFB" w:rsidRDefault="008A7196" w:rsidP="00C169F5">
            <w:pPr>
              <w:rPr>
                <w:rFonts w:eastAsia="TUOS Blake" w:cstheme="minorHAnsi"/>
              </w:rPr>
            </w:pPr>
            <w:r w:rsidRPr="00862EFB">
              <w:rPr>
                <w:rFonts w:eastAsia="TUOS Blake" w:cstheme="minorHAnsi"/>
              </w:rPr>
              <w:t>I understand that I will be questioned about my experience of taking part in the study, including completing a questionnaire related to adherence and compliance rates, acceptability of the protocol and tolerability of the research.</w:t>
            </w:r>
          </w:p>
        </w:tc>
        <w:tc>
          <w:tcPr>
            <w:tcW w:w="1703" w:type="dxa"/>
          </w:tcPr>
          <w:p w14:paraId="6E09E4A2" w14:textId="77777777" w:rsidR="008A7196" w:rsidRPr="00862EFB" w:rsidRDefault="008A7196" w:rsidP="00C169F5">
            <w:pPr>
              <w:rPr>
                <w:rFonts w:eastAsia="TUOS Blake" w:cstheme="minorHAnsi"/>
              </w:rPr>
            </w:pPr>
          </w:p>
        </w:tc>
      </w:tr>
      <w:tr w:rsidR="008A7196" w:rsidRPr="00862EFB" w14:paraId="0401E21B" w14:textId="77777777" w:rsidTr="00C169F5">
        <w:tc>
          <w:tcPr>
            <w:tcW w:w="8220" w:type="dxa"/>
          </w:tcPr>
          <w:p w14:paraId="4A8D0FD6" w14:textId="77777777" w:rsidR="008A7196" w:rsidRPr="00862EFB" w:rsidRDefault="008A7196" w:rsidP="00C169F5">
            <w:pPr>
              <w:rPr>
                <w:rFonts w:eastAsia="TUOS Blake" w:cstheme="minorHAnsi"/>
              </w:rPr>
            </w:pPr>
            <w:r w:rsidRPr="00862EFB">
              <w:rPr>
                <w:rFonts w:eastAsia="TUOS Blake" w:cstheme="minorHAnsi"/>
              </w:rPr>
              <w:t>I understand that by choosing to participate as a volunteer in this research, this does not create a legally binding agreement nor is it intended to create an employment relationship with the University of Sheffield.</w:t>
            </w:r>
          </w:p>
        </w:tc>
        <w:tc>
          <w:tcPr>
            <w:tcW w:w="1703" w:type="dxa"/>
          </w:tcPr>
          <w:p w14:paraId="20A56434" w14:textId="77777777" w:rsidR="008A7196" w:rsidRPr="00862EFB" w:rsidRDefault="008A7196" w:rsidP="00C169F5">
            <w:pPr>
              <w:rPr>
                <w:rFonts w:eastAsia="TUOS Blake" w:cstheme="minorHAnsi"/>
              </w:rPr>
            </w:pPr>
          </w:p>
        </w:tc>
      </w:tr>
      <w:tr w:rsidR="008A7196" w:rsidRPr="00862EFB" w14:paraId="56A39204" w14:textId="77777777" w:rsidTr="00C169F5">
        <w:tc>
          <w:tcPr>
            <w:tcW w:w="8220" w:type="dxa"/>
          </w:tcPr>
          <w:p w14:paraId="574BD6A9" w14:textId="77777777" w:rsidR="008A7196" w:rsidRPr="00862EFB" w:rsidRDefault="008A7196" w:rsidP="00C169F5">
            <w:pPr>
              <w:rPr>
                <w:rFonts w:eastAsia="TUOS Blake" w:cstheme="minorHAnsi"/>
              </w:rPr>
            </w:pPr>
            <w:r w:rsidRPr="00862EFB">
              <w:rPr>
                <w:rFonts w:eastAsia="TUOS Blake" w:cstheme="minorHAnsi"/>
              </w:rPr>
              <w:t>I unde</w:t>
            </w:r>
            <w:r w:rsidRPr="00862EFB">
              <w:rPr>
                <w:rFonts w:eastAsia="TUOS Blake" w:cstheme="minorHAnsi"/>
                <w:color w:val="000000"/>
              </w:rPr>
              <w:t xml:space="preserve">rstand that my taking part is voluntary and that I can withdraw from the study at any time; I </w:t>
            </w:r>
            <w:r w:rsidRPr="00862EFB">
              <w:rPr>
                <w:rFonts w:eastAsia="TUOS Blake" w:cstheme="minorHAnsi"/>
              </w:rPr>
              <w:t>do not have to give any reasons for why I no longer want to take part and there will be no adverse consequences if I choose to withdraw. However, the data collected up until the point I withdraw may still be used.</w:t>
            </w:r>
          </w:p>
        </w:tc>
        <w:tc>
          <w:tcPr>
            <w:tcW w:w="1703" w:type="dxa"/>
          </w:tcPr>
          <w:p w14:paraId="1376FBB9" w14:textId="77777777" w:rsidR="008A7196" w:rsidRPr="00862EFB" w:rsidRDefault="008A7196" w:rsidP="00C169F5">
            <w:pPr>
              <w:rPr>
                <w:rFonts w:eastAsia="TUOS Blake" w:cstheme="minorHAnsi"/>
              </w:rPr>
            </w:pPr>
          </w:p>
        </w:tc>
      </w:tr>
      <w:tr w:rsidR="008A7196" w:rsidRPr="00862EFB" w14:paraId="34C893DD" w14:textId="77777777" w:rsidTr="00C169F5">
        <w:tc>
          <w:tcPr>
            <w:tcW w:w="8220" w:type="dxa"/>
          </w:tcPr>
          <w:p w14:paraId="5C258AED" w14:textId="77777777" w:rsidR="008A7196" w:rsidRPr="00862EFB" w:rsidRDefault="008A7196" w:rsidP="00C169F5">
            <w:pPr>
              <w:rPr>
                <w:rFonts w:eastAsia="TUOS Blake" w:cstheme="minorHAnsi"/>
              </w:rPr>
            </w:pPr>
            <w:r w:rsidRPr="00862EFB">
              <w:rPr>
                <w:rFonts w:eastAsia="TUOS Blake" w:cstheme="minorHAnsi"/>
              </w:rPr>
              <w:t>I agree to take part in an in-depth interview/ focus group discussion (please delete as appropriate) (optional), and</w:t>
            </w:r>
            <w:r w:rsidRPr="00862EFB">
              <w:rPr>
                <w:rFonts w:eastAsia="Roboto" w:cstheme="minorHAnsi"/>
                <w:color w:val="3C4043"/>
                <w:highlight w:val="white"/>
              </w:rPr>
              <w:t xml:space="preserve"> for that discussion to be audio-recorded.</w:t>
            </w:r>
          </w:p>
        </w:tc>
        <w:tc>
          <w:tcPr>
            <w:tcW w:w="1703" w:type="dxa"/>
          </w:tcPr>
          <w:p w14:paraId="274FA062" w14:textId="77777777" w:rsidR="008A7196" w:rsidRPr="00862EFB" w:rsidRDefault="008A7196" w:rsidP="00C169F5">
            <w:pPr>
              <w:rPr>
                <w:rFonts w:eastAsia="TUOS Blake" w:cstheme="minorHAnsi"/>
              </w:rPr>
            </w:pPr>
          </w:p>
        </w:tc>
      </w:tr>
      <w:tr w:rsidR="008A7196" w:rsidRPr="00862EFB" w14:paraId="7E00D0AD" w14:textId="77777777" w:rsidTr="00C169F5">
        <w:tc>
          <w:tcPr>
            <w:tcW w:w="8220" w:type="dxa"/>
          </w:tcPr>
          <w:p w14:paraId="0DDD4AF9" w14:textId="77777777" w:rsidR="008A7196" w:rsidRPr="00862EFB" w:rsidRDefault="008A7196" w:rsidP="00C169F5">
            <w:pPr>
              <w:rPr>
                <w:rFonts w:eastAsia="TUOS Blake" w:cstheme="minorHAnsi"/>
              </w:rPr>
            </w:pPr>
            <w:r w:rsidRPr="00862EFB">
              <w:rPr>
                <w:rFonts w:eastAsia="TUOS Blake" w:cstheme="minorHAnsi"/>
              </w:rPr>
              <w:t>I consent to be contacted for research projects in the future (optional)</w:t>
            </w:r>
          </w:p>
          <w:p w14:paraId="7D91E315" w14:textId="77777777" w:rsidR="008A7196" w:rsidRPr="00862EFB" w:rsidRDefault="008A7196" w:rsidP="00C169F5">
            <w:pPr>
              <w:rPr>
                <w:rFonts w:eastAsia="TUOS Blake" w:cstheme="minorHAnsi"/>
              </w:rPr>
            </w:pPr>
          </w:p>
        </w:tc>
        <w:tc>
          <w:tcPr>
            <w:tcW w:w="1703" w:type="dxa"/>
          </w:tcPr>
          <w:p w14:paraId="60C19869" w14:textId="77777777" w:rsidR="008A7196" w:rsidRPr="00862EFB" w:rsidRDefault="008A7196" w:rsidP="00C169F5">
            <w:pPr>
              <w:rPr>
                <w:rFonts w:eastAsia="TUOS Blake" w:cstheme="minorHAnsi"/>
              </w:rPr>
            </w:pPr>
          </w:p>
        </w:tc>
      </w:tr>
      <w:tr w:rsidR="008A7196" w:rsidRPr="00862EFB" w14:paraId="7A8808E1" w14:textId="77777777" w:rsidTr="00C169F5">
        <w:tc>
          <w:tcPr>
            <w:tcW w:w="8220" w:type="dxa"/>
          </w:tcPr>
          <w:p w14:paraId="00528991" w14:textId="77777777" w:rsidR="008A7196" w:rsidRPr="00862EFB" w:rsidRDefault="008A7196" w:rsidP="00C169F5">
            <w:pPr>
              <w:spacing w:after="80"/>
              <w:rPr>
                <w:rFonts w:eastAsia="TUOS Blake" w:cstheme="minorHAnsi"/>
                <w:b/>
              </w:rPr>
            </w:pPr>
            <w:r w:rsidRPr="00862EFB">
              <w:rPr>
                <w:rFonts w:eastAsia="TUOS Blake" w:cstheme="minorHAnsi"/>
                <w:b/>
              </w:rPr>
              <w:t>How my information will be used during and after the project</w:t>
            </w:r>
          </w:p>
          <w:p w14:paraId="797437F2" w14:textId="77777777" w:rsidR="008A7196" w:rsidRPr="00862EFB" w:rsidRDefault="008A7196" w:rsidP="00C169F5">
            <w:pPr>
              <w:spacing w:after="80"/>
              <w:rPr>
                <w:rFonts w:eastAsia="TUOS Blake" w:cstheme="minorHAnsi"/>
                <w:b/>
              </w:rPr>
            </w:pPr>
          </w:p>
        </w:tc>
        <w:tc>
          <w:tcPr>
            <w:tcW w:w="1703" w:type="dxa"/>
          </w:tcPr>
          <w:p w14:paraId="7A932890" w14:textId="77777777" w:rsidR="008A7196" w:rsidRPr="00862EFB" w:rsidRDefault="008A7196" w:rsidP="00C169F5">
            <w:pPr>
              <w:spacing w:after="80"/>
              <w:rPr>
                <w:rFonts w:eastAsia="TUOS Blake" w:cstheme="minorHAnsi"/>
                <w:b/>
              </w:rPr>
            </w:pPr>
          </w:p>
        </w:tc>
      </w:tr>
      <w:tr w:rsidR="008A7196" w:rsidRPr="00862EFB" w14:paraId="50181ED0" w14:textId="77777777" w:rsidTr="00C169F5">
        <w:tc>
          <w:tcPr>
            <w:tcW w:w="8220" w:type="dxa"/>
          </w:tcPr>
          <w:p w14:paraId="4FC9A795" w14:textId="77777777" w:rsidR="008A7196" w:rsidRPr="00862EFB" w:rsidRDefault="008A7196" w:rsidP="00C169F5">
            <w:pPr>
              <w:rPr>
                <w:rFonts w:eastAsia="TUOS Blake" w:cstheme="minorHAnsi"/>
              </w:rPr>
            </w:pPr>
            <w:r w:rsidRPr="00862EFB">
              <w:rPr>
                <w:rFonts w:eastAsia="TUOS Blake" w:cstheme="minorHAnsi"/>
              </w:rPr>
              <w:t>I understand my personal details such as name, phone number, address and email address etc. will not be revealed to people outside the project.</w:t>
            </w:r>
          </w:p>
        </w:tc>
        <w:tc>
          <w:tcPr>
            <w:tcW w:w="1703" w:type="dxa"/>
          </w:tcPr>
          <w:p w14:paraId="062EE51C" w14:textId="77777777" w:rsidR="008A7196" w:rsidRPr="00862EFB" w:rsidRDefault="008A7196" w:rsidP="00C169F5">
            <w:pPr>
              <w:rPr>
                <w:rFonts w:eastAsia="TUOS Blake" w:cstheme="minorHAnsi"/>
              </w:rPr>
            </w:pPr>
          </w:p>
        </w:tc>
      </w:tr>
      <w:tr w:rsidR="008A7196" w:rsidRPr="00862EFB" w14:paraId="12A782F2" w14:textId="77777777" w:rsidTr="00C169F5">
        <w:trPr>
          <w:trHeight w:val="758"/>
        </w:trPr>
        <w:tc>
          <w:tcPr>
            <w:tcW w:w="8220" w:type="dxa"/>
          </w:tcPr>
          <w:p w14:paraId="486301E1" w14:textId="77777777" w:rsidR="008A7196" w:rsidRPr="00862EFB" w:rsidRDefault="008A7196" w:rsidP="00C169F5">
            <w:pPr>
              <w:rPr>
                <w:rFonts w:eastAsia="TUOS Blake" w:cstheme="minorHAnsi"/>
              </w:rPr>
            </w:pPr>
            <w:r w:rsidRPr="00862EFB">
              <w:rPr>
                <w:rFonts w:eastAsia="TUOS Blake" w:cstheme="minorHAnsi"/>
              </w:rPr>
              <w:t>I understand and agree that my words may be quoted in publications, reports, web pages, and other research outputs. I understand that I will not be named in these outputs.</w:t>
            </w:r>
          </w:p>
        </w:tc>
        <w:tc>
          <w:tcPr>
            <w:tcW w:w="1703" w:type="dxa"/>
          </w:tcPr>
          <w:p w14:paraId="194BF94B" w14:textId="77777777" w:rsidR="008A7196" w:rsidRPr="00862EFB" w:rsidRDefault="008A7196" w:rsidP="00C169F5">
            <w:pPr>
              <w:rPr>
                <w:rFonts w:eastAsia="TUOS Blake" w:cstheme="minorHAnsi"/>
              </w:rPr>
            </w:pPr>
          </w:p>
        </w:tc>
      </w:tr>
      <w:tr w:rsidR="008A7196" w:rsidRPr="00862EFB" w14:paraId="04A7EF4C" w14:textId="77777777" w:rsidTr="00C169F5">
        <w:tc>
          <w:tcPr>
            <w:tcW w:w="8220" w:type="dxa"/>
          </w:tcPr>
          <w:p w14:paraId="3F574971" w14:textId="77777777" w:rsidR="008A7196" w:rsidRPr="00862EFB" w:rsidRDefault="008A7196" w:rsidP="00C169F5">
            <w:pPr>
              <w:rPr>
                <w:rFonts w:eastAsia="TUOS Blake" w:cstheme="minorHAnsi"/>
              </w:rPr>
            </w:pPr>
            <w:r w:rsidRPr="00862EFB">
              <w:rPr>
                <w:rFonts w:eastAsia="TUOS Blake" w:cstheme="minorHAnsi"/>
              </w:rPr>
              <w:t xml:space="preserve">I understand and agree that other authorised researchers will have access to this data only if they agree to preserve the confidentiality of the information as requested in this form. </w:t>
            </w:r>
          </w:p>
        </w:tc>
        <w:tc>
          <w:tcPr>
            <w:tcW w:w="1703" w:type="dxa"/>
          </w:tcPr>
          <w:p w14:paraId="12A9517D" w14:textId="77777777" w:rsidR="008A7196" w:rsidRPr="00862EFB" w:rsidRDefault="008A7196" w:rsidP="00C169F5">
            <w:pPr>
              <w:rPr>
                <w:rFonts w:eastAsia="TUOS Blake" w:cstheme="minorHAnsi"/>
              </w:rPr>
            </w:pPr>
          </w:p>
        </w:tc>
      </w:tr>
      <w:tr w:rsidR="008A7196" w:rsidRPr="00862EFB" w14:paraId="478C038D" w14:textId="77777777" w:rsidTr="00C169F5">
        <w:tc>
          <w:tcPr>
            <w:tcW w:w="8220" w:type="dxa"/>
          </w:tcPr>
          <w:p w14:paraId="3993E3A4" w14:textId="77777777" w:rsidR="008A7196" w:rsidRPr="00862EFB" w:rsidRDefault="008A7196" w:rsidP="00C169F5">
            <w:pPr>
              <w:rPr>
                <w:rFonts w:eastAsia="TUOS Blake" w:cstheme="minorHAnsi"/>
              </w:rPr>
            </w:pPr>
            <w:r w:rsidRPr="00862EFB">
              <w:rPr>
                <w:rFonts w:eastAsia="TUOS Blake" w:cstheme="minorHAnsi"/>
              </w:rPr>
              <w:lastRenderedPageBreak/>
              <w:t>I understand and agree that other authorised researchers may use my data in publications, reports, web pages, and other research outputs, only if they agree to preserve the confidentiality of the information as requested in this form.</w:t>
            </w:r>
          </w:p>
        </w:tc>
        <w:tc>
          <w:tcPr>
            <w:tcW w:w="1703" w:type="dxa"/>
          </w:tcPr>
          <w:p w14:paraId="7990EAC8" w14:textId="77777777" w:rsidR="008A7196" w:rsidRPr="00862EFB" w:rsidRDefault="008A7196" w:rsidP="00C169F5">
            <w:pPr>
              <w:rPr>
                <w:rFonts w:eastAsia="TUOS Blake" w:cstheme="minorHAnsi"/>
              </w:rPr>
            </w:pPr>
          </w:p>
        </w:tc>
      </w:tr>
    </w:tbl>
    <w:p w14:paraId="61710CAA" w14:textId="77777777" w:rsidR="008A7196" w:rsidRPr="00862EFB" w:rsidRDefault="008A7196" w:rsidP="008A7196">
      <w:pPr>
        <w:rPr>
          <w:rFonts w:cstheme="minorHAnsi"/>
        </w:rPr>
      </w:pPr>
    </w:p>
    <w:p w14:paraId="48FFCACC" w14:textId="77777777" w:rsidR="008A7196" w:rsidRPr="00862EFB" w:rsidRDefault="008A7196" w:rsidP="008A7196">
      <w:pPr>
        <w:rPr>
          <w:rFonts w:cstheme="minorHAnsi"/>
        </w:rPr>
      </w:pPr>
    </w:p>
    <w:p w14:paraId="1813C350" w14:textId="77777777" w:rsidR="008A7196" w:rsidRPr="00862EFB" w:rsidRDefault="008A7196" w:rsidP="008A7196">
      <w:pPr>
        <w:rPr>
          <w:rFonts w:cstheme="minorHAnsi"/>
        </w:rPr>
      </w:pPr>
    </w:p>
    <w:p w14:paraId="49388750" w14:textId="77777777" w:rsidR="008A7196" w:rsidRPr="00862EFB" w:rsidRDefault="008A7196" w:rsidP="008A7196">
      <w:pPr>
        <w:jc w:val="both"/>
        <w:rPr>
          <w:rFonts w:cstheme="minorHAnsi"/>
          <w:b/>
        </w:rPr>
      </w:pPr>
      <w:r w:rsidRPr="00862EFB">
        <w:rPr>
          <w:rFonts w:cstheme="minorHAnsi"/>
          <w:b/>
        </w:rPr>
        <w:t xml:space="preserve">Name of participant [printed]……………………….     Signature………………………   </w:t>
      </w:r>
    </w:p>
    <w:p w14:paraId="18ABEB32" w14:textId="77777777" w:rsidR="008A7196" w:rsidRPr="00862EFB" w:rsidRDefault="008A7196" w:rsidP="008A7196">
      <w:pPr>
        <w:jc w:val="both"/>
        <w:rPr>
          <w:rFonts w:cstheme="minorHAnsi"/>
          <w:b/>
        </w:rPr>
      </w:pPr>
      <w:r w:rsidRPr="00862EFB">
        <w:rPr>
          <w:rFonts w:cstheme="minorHAnsi"/>
          <w:noProof/>
        </w:rPr>
        <mc:AlternateContent>
          <mc:Choice Requires="wps">
            <w:drawing>
              <wp:anchor distT="0" distB="0" distL="114300" distR="114300" simplePos="0" relativeHeight="251722752" behindDoc="0" locked="0" layoutInCell="1" hidden="0" allowOverlap="1" wp14:anchorId="43B21EB6" wp14:editId="2350F387">
                <wp:simplePos x="0" y="0"/>
                <wp:positionH relativeFrom="column">
                  <wp:posOffset>3492500</wp:posOffset>
                </wp:positionH>
                <wp:positionV relativeFrom="paragraph">
                  <wp:posOffset>38100</wp:posOffset>
                </wp:positionV>
                <wp:extent cx="2000250" cy="625610"/>
                <wp:effectExtent l="0" t="0" r="0" b="0"/>
                <wp:wrapNone/>
                <wp:docPr id="31" name="Rectangle 31"/>
                <wp:cNvGraphicFramePr/>
                <a:graphic xmlns:a="http://schemas.openxmlformats.org/drawingml/2006/main">
                  <a:graphicData uri="http://schemas.microsoft.com/office/word/2010/wordprocessingShape">
                    <wps:wsp>
                      <wps:cNvSpPr/>
                      <wps:spPr>
                        <a:xfrm>
                          <a:off x="4350638" y="3471958"/>
                          <a:ext cx="1990725" cy="616085"/>
                        </a:xfrm>
                        <a:prstGeom prst="rect">
                          <a:avLst/>
                        </a:prstGeom>
                        <a:solidFill>
                          <a:schemeClr val="lt1"/>
                        </a:solidFill>
                        <a:ln>
                          <a:noFill/>
                        </a:ln>
                      </wps:spPr>
                      <wps:txbx>
                        <w:txbxContent>
                          <w:p w14:paraId="7C30F2D4" w14:textId="77777777" w:rsidR="008A7196" w:rsidRDefault="008A7196" w:rsidP="008A7196">
                            <w:pPr>
                              <w:textDirection w:val="btLr"/>
                            </w:pPr>
                            <w:r>
                              <w:rPr>
                                <w:i/>
                                <w:color w:val="000000"/>
                                <w:sz w:val="16"/>
                              </w:rPr>
                              <w:t>(Signed by the researcher, on behalf of the participant, after the participant has provided verbal consent if consent if collected remotely)</w:t>
                            </w:r>
                          </w:p>
                        </w:txbxContent>
                      </wps:txbx>
                      <wps:bodyPr spcFirstLastPara="1" wrap="square" lIns="91425" tIns="45700" rIns="91425" bIns="45700" anchor="t" anchorCtr="0">
                        <a:noAutofit/>
                      </wps:bodyPr>
                    </wps:wsp>
                  </a:graphicData>
                </a:graphic>
              </wp:anchor>
            </w:drawing>
          </mc:Choice>
          <mc:Fallback>
            <w:pict>
              <v:rect w14:anchorId="43B21EB6" id="Rectangle 31" o:spid="_x0000_s1032" style="position:absolute;left:0;text-align:left;margin-left:275pt;margin-top:3pt;width:157.5pt;height:49.2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" fillcolor="white [3201]" stroked="f">
                <v:textbox inset="2.53958mm,1.2694mm,2.53958mm,1.2694mm">
                  <w:txbxContent>
                    <w:p w14:paraId="7C30F2D4" w14:textId="77777777" w:rsidR="008A7196" w:rsidRDefault="008A7196" w:rsidP="008A7196">
                      <w:pPr>
                        <w:textDirection w:val="btLr"/>
                      </w:pPr>
                      <w:r>
                        <w:rPr>
                          <w:i/>
                          <w:color w:val="000000"/>
                          <w:sz w:val="16"/>
                        </w:rPr>
                        <w:t>(Signed by the researcher, on behalf of the participant, after the participant has provided verbal consent if consent if collected remotely)</w:t>
                      </w:r>
                    </w:p>
                  </w:txbxContent>
                </v:textbox>
              </v:rect>
            </w:pict>
          </mc:Fallback>
        </mc:AlternateContent>
      </w:r>
    </w:p>
    <w:p w14:paraId="166A9C8E" w14:textId="77777777" w:rsidR="008A7196" w:rsidRPr="00862EFB" w:rsidRDefault="008A7196" w:rsidP="008A7196">
      <w:pPr>
        <w:tabs>
          <w:tab w:val="left" w:pos="5964"/>
        </w:tabs>
        <w:jc w:val="both"/>
        <w:rPr>
          <w:rFonts w:cstheme="minorHAnsi"/>
          <w:b/>
        </w:rPr>
      </w:pPr>
      <w:r w:rsidRPr="00862EFB">
        <w:rPr>
          <w:rFonts w:cstheme="minorHAnsi"/>
          <w:b/>
        </w:rPr>
        <w:t xml:space="preserve">Date………………. </w:t>
      </w:r>
      <w:r w:rsidRPr="00862EFB">
        <w:rPr>
          <w:rFonts w:cstheme="minorHAnsi"/>
          <w:b/>
        </w:rPr>
        <w:tab/>
      </w:r>
    </w:p>
    <w:p w14:paraId="1304C0B1" w14:textId="77777777" w:rsidR="008A7196" w:rsidRPr="00862EFB" w:rsidRDefault="008A7196" w:rsidP="008A7196">
      <w:pPr>
        <w:jc w:val="both"/>
        <w:rPr>
          <w:rFonts w:cstheme="minorHAnsi"/>
          <w:b/>
        </w:rPr>
      </w:pPr>
    </w:p>
    <w:p w14:paraId="3860F641" w14:textId="77777777" w:rsidR="008A7196" w:rsidRPr="00862EFB" w:rsidRDefault="008A7196" w:rsidP="008A7196">
      <w:pPr>
        <w:jc w:val="both"/>
        <w:rPr>
          <w:rFonts w:cstheme="minorHAnsi"/>
          <w:b/>
        </w:rPr>
      </w:pPr>
    </w:p>
    <w:p w14:paraId="7AD3FF0A" w14:textId="77777777" w:rsidR="008A7196" w:rsidRPr="00862EFB" w:rsidRDefault="008A7196" w:rsidP="008A7196">
      <w:pPr>
        <w:jc w:val="both"/>
        <w:rPr>
          <w:rFonts w:cstheme="minorHAnsi"/>
          <w:b/>
        </w:rPr>
      </w:pPr>
      <w:r w:rsidRPr="00862EFB">
        <w:rPr>
          <w:rFonts w:cstheme="minorHAnsi"/>
          <w:b/>
        </w:rPr>
        <w:t>Name of researcher [printed] Esme Tuttiett                   Signature……………………….</w:t>
      </w:r>
    </w:p>
    <w:p w14:paraId="31EC2443" w14:textId="77777777" w:rsidR="008A7196" w:rsidRPr="00862EFB" w:rsidRDefault="008A7196" w:rsidP="008A7196">
      <w:pPr>
        <w:jc w:val="both"/>
        <w:rPr>
          <w:rFonts w:cstheme="minorHAnsi"/>
          <w:b/>
        </w:rPr>
      </w:pPr>
    </w:p>
    <w:p w14:paraId="4B37DB1B" w14:textId="77777777" w:rsidR="008A7196" w:rsidRPr="00862EFB" w:rsidRDefault="008A7196" w:rsidP="008A7196">
      <w:pPr>
        <w:jc w:val="both"/>
        <w:rPr>
          <w:rFonts w:cstheme="minorHAnsi"/>
          <w:b/>
        </w:rPr>
      </w:pPr>
      <w:r w:rsidRPr="00862EFB">
        <w:rPr>
          <w:rFonts w:cstheme="minorHAnsi"/>
          <w:b/>
        </w:rPr>
        <w:t>Date……………….</w:t>
      </w:r>
    </w:p>
    <w:p w14:paraId="38DD8090" w14:textId="77777777" w:rsidR="008A7196" w:rsidRPr="00862EFB" w:rsidRDefault="008A7196" w:rsidP="008A7196">
      <w:pPr>
        <w:jc w:val="both"/>
        <w:rPr>
          <w:rFonts w:cstheme="minorHAnsi"/>
          <w:b/>
        </w:rPr>
      </w:pPr>
    </w:p>
    <w:p w14:paraId="2499E16A" w14:textId="77777777" w:rsidR="008A7196" w:rsidRPr="00862EFB" w:rsidRDefault="008A7196" w:rsidP="008A7196">
      <w:pPr>
        <w:jc w:val="both"/>
        <w:rPr>
          <w:rFonts w:cstheme="minorHAnsi"/>
          <w:b/>
        </w:rPr>
      </w:pPr>
      <w:r w:rsidRPr="00862EFB">
        <w:rPr>
          <w:rFonts w:cstheme="minorHAnsi"/>
          <w:b/>
        </w:rPr>
        <w:t>Project contact details for further information:</w:t>
      </w:r>
    </w:p>
    <w:p w14:paraId="3E6975D3" w14:textId="77777777" w:rsidR="008A7196" w:rsidRPr="00862EFB" w:rsidRDefault="008A7196" w:rsidP="008A7196">
      <w:pPr>
        <w:jc w:val="both"/>
        <w:rPr>
          <w:rFonts w:cstheme="minorHAnsi"/>
          <w:b/>
        </w:rPr>
      </w:pPr>
    </w:p>
    <w:p w14:paraId="6EDA0314" w14:textId="77777777" w:rsidR="008A7196" w:rsidRPr="00862EFB" w:rsidRDefault="008A7196" w:rsidP="008A7196">
      <w:pPr>
        <w:jc w:val="both"/>
        <w:rPr>
          <w:rFonts w:cstheme="minorHAnsi"/>
          <w:color w:val="000000"/>
        </w:rPr>
      </w:pPr>
      <w:r w:rsidRPr="00862EFB">
        <w:rPr>
          <w:rFonts w:cstheme="minorHAnsi"/>
          <w:color w:val="000000"/>
        </w:rPr>
        <w:t>Lead Researcher</w:t>
      </w:r>
    </w:p>
    <w:p w14:paraId="3CB517E4" w14:textId="77777777" w:rsidR="008A7196" w:rsidRPr="00862EFB" w:rsidRDefault="008A7196" w:rsidP="008A7196">
      <w:pPr>
        <w:jc w:val="both"/>
        <w:rPr>
          <w:rFonts w:cstheme="minorHAnsi"/>
          <w:color w:val="000000"/>
        </w:rPr>
      </w:pPr>
      <w:r w:rsidRPr="00862EFB">
        <w:rPr>
          <w:rFonts w:cstheme="minorHAnsi"/>
          <w:color w:val="000000"/>
        </w:rPr>
        <w:t>Esme Tuttiett</w:t>
      </w:r>
    </w:p>
    <w:p w14:paraId="0A6268F6" w14:textId="77777777" w:rsidR="008A7196" w:rsidRPr="00862EFB" w:rsidRDefault="00EB542D" w:rsidP="008A7196">
      <w:pPr>
        <w:jc w:val="both"/>
        <w:rPr>
          <w:rFonts w:cstheme="minorHAnsi"/>
        </w:rPr>
      </w:pPr>
      <w:hyperlink r:id="rId107">
        <w:r w:rsidR="008A7196" w:rsidRPr="00862EFB">
          <w:rPr>
            <w:rFonts w:cstheme="minorHAnsi"/>
            <w:color w:val="0000FF"/>
            <w:u w:val="single"/>
          </w:rPr>
          <w:t>Ertuttiett1@sheffield.ac.uk</w:t>
        </w:r>
      </w:hyperlink>
    </w:p>
    <w:p w14:paraId="7C6164C1" w14:textId="77777777" w:rsidR="008A7196" w:rsidRPr="00862EFB" w:rsidRDefault="008A7196" w:rsidP="008A7196">
      <w:pPr>
        <w:jc w:val="both"/>
        <w:rPr>
          <w:rFonts w:cstheme="minorHAnsi"/>
          <w:color w:val="000000"/>
        </w:rPr>
      </w:pPr>
    </w:p>
    <w:p w14:paraId="3F633394" w14:textId="77777777" w:rsidR="008A7196" w:rsidRPr="00862EFB" w:rsidRDefault="008A7196" w:rsidP="008A7196">
      <w:pPr>
        <w:jc w:val="both"/>
        <w:rPr>
          <w:rFonts w:cstheme="minorHAnsi"/>
          <w:color w:val="000000"/>
        </w:rPr>
      </w:pPr>
    </w:p>
    <w:p w14:paraId="5BBE8B28" w14:textId="77777777" w:rsidR="008A7196" w:rsidRPr="00862EFB" w:rsidRDefault="008A7196" w:rsidP="008A7196">
      <w:pPr>
        <w:jc w:val="both"/>
        <w:rPr>
          <w:rFonts w:cstheme="minorHAnsi"/>
          <w:color w:val="000000"/>
        </w:rPr>
      </w:pPr>
    </w:p>
    <w:p w14:paraId="37ED67EE" w14:textId="77777777" w:rsidR="008A7196" w:rsidRPr="00862EFB" w:rsidRDefault="008A7196" w:rsidP="008A7196">
      <w:pPr>
        <w:jc w:val="both"/>
        <w:rPr>
          <w:rFonts w:cstheme="minorHAnsi"/>
          <w:color w:val="000000"/>
        </w:rPr>
      </w:pPr>
      <w:r w:rsidRPr="00862EFB">
        <w:rPr>
          <w:rFonts w:cstheme="minorHAnsi"/>
          <w:color w:val="000000"/>
        </w:rPr>
        <w:t xml:space="preserve">Supervisors:                                        </w:t>
      </w:r>
    </w:p>
    <w:p w14:paraId="29B8EC9B" w14:textId="77777777" w:rsidR="008A7196" w:rsidRPr="00862EFB" w:rsidRDefault="008A7196" w:rsidP="008A7196">
      <w:pPr>
        <w:jc w:val="both"/>
        <w:rPr>
          <w:rFonts w:cstheme="minorHAnsi"/>
          <w:color w:val="000000"/>
        </w:rPr>
      </w:pPr>
      <w:r w:rsidRPr="00862EFB">
        <w:rPr>
          <w:rFonts w:cstheme="minorHAnsi"/>
        </w:rPr>
        <w:t xml:space="preserve">                                                                      </w:t>
      </w:r>
    </w:p>
    <w:p w14:paraId="3659B34D" w14:textId="77777777" w:rsidR="008A7196" w:rsidRPr="00862EFB" w:rsidRDefault="008A7196" w:rsidP="008A7196">
      <w:pPr>
        <w:jc w:val="both"/>
        <w:rPr>
          <w:rFonts w:cstheme="minorHAnsi"/>
          <w:color w:val="000000"/>
        </w:rPr>
      </w:pPr>
      <w:r w:rsidRPr="00862EFB">
        <w:rPr>
          <w:rFonts w:cstheme="minorHAnsi"/>
          <w:color w:val="000000"/>
        </w:rPr>
        <w:t>Dr Liz Williams                                 Prof Bernard Corfe</w:t>
      </w:r>
    </w:p>
    <w:p w14:paraId="2A406545" w14:textId="77777777" w:rsidR="008A7196" w:rsidRPr="00862EFB" w:rsidRDefault="00EB542D" w:rsidP="008A7196">
      <w:pPr>
        <w:rPr>
          <w:rFonts w:cstheme="minorHAnsi"/>
        </w:rPr>
      </w:pPr>
      <w:hyperlink r:id="rId108">
        <w:r w:rsidR="008A7196" w:rsidRPr="00862EFB">
          <w:rPr>
            <w:rFonts w:eastAsia="Helvetica Neue" w:cstheme="minorHAnsi"/>
            <w:color w:val="1A73E8"/>
            <w:highlight w:val="white"/>
            <w:u w:val="single"/>
          </w:rPr>
          <w:t>e.a.williams@sheffield.ac.uk</w:t>
        </w:r>
      </w:hyperlink>
      <w:r w:rsidR="008A7196" w:rsidRPr="00862EFB">
        <w:rPr>
          <w:rFonts w:cstheme="minorHAnsi"/>
        </w:rPr>
        <w:tab/>
      </w:r>
      <w:r w:rsidR="008A7196" w:rsidRPr="00862EFB">
        <w:rPr>
          <w:rFonts w:cstheme="minorHAnsi"/>
        </w:rPr>
        <w:tab/>
      </w:r>
      <w:r w:rsidR="008A7196" w:rsidRPr="00862EFB">
        <w:rPr>
          <w:rFonts w:eastAsia="Helvetica Neue" w:cstheme="minorHAnsi"/>
          <w:highlight w:val="white"/>
        </w:rPr>
        <w:t>bernard.corfe@newcastle.ac.uk</w:t>
      </w:r>
    </w:p>
    <w:p w14:paraId="0379C8CF" w14:textId="77777777" w:rsidR="008A7196" w:rsidRPr="00862EFB" w:rsidRDefault="008A7196" w:rsidP="008A7196">
      <w:pPr>
        <w:rPr>
          <w:rFonts w:cstheme="minorHAnsi"/>
        </w:rPr>
      </w:pPr>
    </w:p>
    <w:p w14:paraId="72195E46" w14:textId="77777777" w:rsidR="008A7196" w:rsidRPr="00862EFB" w:rsidRDefault="008A7196" w:rsidP="008A7196">
      <w:pPr>
        <w:rPr>
          <w:rFonts w:cstheme="minorHAnsi"/>
        </w:rPr>
      </w:pPr>
    </w:p>
    <w:p w14:paraId="5242A2A8" w14:textId="77777777" w:rsidR="008A7196" w:rsidRPr="00862EFB" w:rsidRDefault="008A7196" w:rsidP="008A7196">
      <w:pPr>
        <w:rPr>
          <w:rFonts w:cstheme="minorHAnsi"/>
        </w:rPr>
        <w:sectPr w:rsidR="008A7196" w:rsidRPr="00862EFB" w:rsidSect="00E650CA">
          <w:pgSz w:w="11900" w:h="16840"/>
          <w:pgMar w:top="1440" w:right="1440" w:bottom="1440" w:left="1440" w:header="708" w:footer="708" w:gutter="0"/>
          <w:cols w:space="708"/>
          <w:docGrid w:linePitch="360"/>
        </w:sectPr>
      </w:pPr>
    </w:p>
    <w:p w14:paraId="6166F15A" w14:textId="77777777" w:rsidR="008A7196" w:rsidRPr="00862EFB" w:rsidRDefault="008A7196" w:rsidP="008A7196">
      <w:pPr>
        <w:rPr>
          <w:rFonts w:cstheme="minorHAnsi"/>
        </w:rPr>
      </w:pPr>
    </w:p>
    <w:p w14:paraId="4546003B" w14:textId="77777777" w:rsidR="008A7196" w:rsidRPr="00862EFB" w:rsidRDefault="008A7196" w:rsidP="008A7196">
      <w:pPr>
        <w:rPr>
          <w:rFonts w:cstheme="minorHAnsi"/>
        </w:rPr>
      </w:pPr>
    </w:p>
    <w:p w14:paraId="2983BEE9" w14:textId="77777777" w:rsidR="008A7196" w:rsidRPr="00862EFB" w:rsidRDefault="008A7196" w:rsidP="008A7196">
      <w:pPr>
        <w:rPr>
          <w:rFonts w:cstheme="minorHAnsi"/>
        </w:rPr>
      </w:pPr>
      <w:r w:rsidRPr="00862EFB">
        <w:rPr>
          <w:rFonts w:cstheme="minorHAnsi"/>
        </w:rPr>
        <w:t>Appendix 12: Study recruitment poster for the REMEND feasibility trial.</w:t>
      </w:r>
    </w:p>
    <w:p w14:paraId="3E3FC491" w14:textId="77777777" w:rsidR="008A7196" w:rsidRPr="00862EFB" w:rsidRDefault="008A7196" w:rsidP="008A7196">
      <w:pPr>
        <w:rPr>
          <w:rFonts w:cstheme="minorHAnsi"/>
        </w:rPr>
      </w:pPr>
    </w:p>
    <w:p w14:paraId="2F64B2F0" w14:textId="77777777" w:rsidR="008A7196" w:rsidRPr="00862EFB" w:rsidRDefault="008A7196" w:rsidP="008A7196">
      <w:pPr>
        <w:rPr>
          <w:rFonts w:cstheme="minorHAnsi"/>
        </w:rPr>
      </w:pPr>
    </w:p>
    <w:p w14:paraId="453166DF" w14:textId="77777777" w:rsidR="008A7196" w:rsidRPr="00862EFB" w:rsidRDefault="008A7196" w:rsidP="008A7196">
      <w:pPr>
        <w:rPr>
          <w:rFonts w:cstheme="minorHAnsi"/>
        </w:rPr>
      </w:pPr>
      <w:r w:rsidRPr="00862EFB">
        <w:rPr>
          <w:rFonts w:cstheme="minorHAnsi"/>
          <w:noProof/>
        </w:rPr>
        <w:drawing>
          <wp:inline distT="0" distB="0" distL="0" distR="0" wp14:anchorId="739B397D" wp14:editId="24F95A23">
            <wp:extent cx="3958046" cy="7036079"/>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9">
                      <a:extLst>
                        <a:ext uri="{28A0092B-C50C-407E-A947-70E740481C1C}">
                          <a14:useLocalDpi xmlns:a14="http://schemas.microsoft.com/office/drawing/2010/main" val="0"/>
                        </a:ext>
                      </a:extLst>
                    </a:blip>
                    <a:stretch>
                      <a:fillRect/>
                    </a:stretch>
                  </pic:blipFill>
                  <pic:spPr>
                    <a:xfrm>
                      <a:off x="0" y="0"/>
                      <a:ext cx="3964093" cy="7046828"/>
                    </a:xfrm>
                    <a:prstGeom prst="rect">
                      <a:avLst/>
                    </a:prstGeom>
                  </pic:spPr>
                </pic:pic>
              </a:graphicData>
            </a:graphic>
          </wp:inline>
        </w:drawing>
      </w:r>
    </w:p>
    <w:p w14:paraId="13445002" w14:textId="77777777" w:rsidR="008A7196" w:rsidRPr="00862EFB" w:rsidRDefault="008A7196" w:rsidP="008A7196">
      <w:pPr>
        <w:rPr>
          <w:rFonts w:cstheme="minorHAnsi"/>
        </w:rPr>
      </w:pPr>
      <w:r w:rsidRPr="00862EFB">
        <w:rPr>
          <w:rFonts w:cstheme="minorHAnsi"/>
        </w:rPr>
        <w:lastRenderedPageBreak/>
        <w:t>Appendix 13: Personal trainer, level 3 and diploma in exercise referral certificates.</w:t>
      </w:r>
      <w:r w:rsidRPr="00862EFB">
        <w:rPr>
          <w:rFonts w:cstheme="minorHAnsi"/>
          <w:noProof/>
        </w:rPr>
        <w:drawing>
          <wp:inline distT="0" distB="0" distL="0" distR="0" wp14:anchorId="0D03AF95" wp14:editId="6173A9D0">
            <wp:extent cx="5225143" cy="7369653"/>
            <wp:effectExtent l="0" t="0" r="0" b="0"/>
            <wp:docPr id="173" name="Picture 17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Text, letter&#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29899" cy="7376361"/>
                    </a:xfrm>
                    <a:prstGeom prst="rect">
                      <a:avLst/>
                    </a:prstGeom>
                  </pic:spPr>
                </pic:pic>
              </a:graphicData>
            </a:graphic>
          </wp:inline>
        </w:drawing>
      </w:r>
    </w:p>
    <w:p w14:paraId="3EBE0BC8" w14:textId="77777777" w:rsidR="008A7196" w:rsidRPr="00862EFB" w:rsidRDefault="008A7196" w:rsidP="008A7196">
      <w:pPr>
        <w:rPr>
          <w:rFonts w:cstheme="minorHAnsi"/>
        </w:rPr>
      </w:pPr>
    </w:p>
    <w:p w14:paraId="1BD6D432" w14:textId="77777777" w:rsidR="008A7196" w:rsidRPr="00862EFB" w:rsidRDefault="008A7196" w:rsidP="008A7196">
      <w:pPr>
        <w:rPr>
          <w:rFonts w:cstheme="minorHAnsi"/>
        </w:rPr>
      </w:pPr>
    </w:p>
    <w:p w14:paraId="1B974228" w14:textId="77777777" w:rsidR="008A7196" w:rsidRPr="00862EFB" w:rsidRDefault="008A7196" w:rsidP="008A7196">
      <w:pPr>
        <w:rPr>
          <w:rFonts w:cstheme="minorHAnsi"/>
        </w:rPr>
        <w:sectPr w:rsidR="008A7196" w:rsidRPr="00862EFB" w:rsidSect="00E650CA">
          <w:pgSz w:w="11900" w:h="16840"/>
          <w:pgMar w:top="1440" w:right="1440" w:bottom="1440" w:left="1440" w:header="708" w:footer="708" w:gutter="0"/>
          <w:cols w:space="708"/>
          <w:docGrid w:linePitch="360"/>
        </w:sectPr>
      </w:pPr>
      <w:r w:rsidRPr="00862EFB">
        <w:rPr>
          <w:rFonts w:cstheme="minorHAnsi"/>
          <w:noProof/>
        </w:rPr>
        <w:lastRenderedPageBreak/>
        <w:drawing>
          <wp:inline distT="0" distB="0" distL="0" distR="0" wp14:anchorId="2D4683BB" wp14:editId="05385762">
            <wp:extent cx="5290457" cy="7486407"/>
            <wp:effectExtent l="0" t="0" r="5715" b="0"/>
            <wp:docPr id="174" name="Picture 17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timeline&#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5294201" cy="7491705"/>
                    </a:xfrm>
                    <a:prstGeom prst="rect">
                      <a:avLst/>
                    </a:prstGeom>
                  </pic:spPr>
                </pic:pic>
              </a:graphicData>
            </a:graphic>
          </wp:inline>
        </w:drawing>
      </w:r>
    </w:p>
    <w:p w14:paraId="4B72D261" w14:textId="77777777" w:rsidR="008A7196" w:rsidRPr="00862EFB" w:rsidRDefault="008A7196" w:rsidP="008A7196">
      <w:pPr>
        <w:rPr>
          <w:rFonts w:cstheme="minorHAnsi"/>
        </w:rPr>
      </w:pPr>
      <w:r w:rsidRPr="00862EFB">
        <w:rPr>
          <w:rFonts w:cstheme="minorHAnsi"/>
        </w:rPr>
        <w:lastRenderedPageBreak/>
        <w:t>Appendix 14: An example of a study log book provided to participants who engaged in the REMEND feasibility trial. This logbook was given to participants who were on the 2 protein supplements, per day, intervention arm.</w:t>
      </w:r>
    </w:p>
    <w:p w14:paraId="0EFDB9AB" w14:textId="77777777" w:rsidR="008A7196" w:rsidRPr="00862EFB" w:rsidRDefault="008A7196" w:rsidP="008A7196">
      <w:pPr>
        <w:rPr>
          <w:rFonts w:cstheme="minorHAnsi"/>
        </w:rPr>
      </w:pPr>
    </w:p>
    <w:p w14:paraId="36C89436" w14:textId="77777777" w:rsidR="008A7196" w:rsidRPr="00862EFB" w:rsidRDefault="008A7196" w:rsidP="008A7196">
      <w:pPr>
        <w:rPr>
          <w:rFonts w:cstheme="minorHAnsi"/>
        </w:rPr>
      </w:pPr>
      <w:r w:rsidRPr="00862EFB">
        <w:rPr>
          <w:rFonts w:cstheme="minorHAnsi"/>
          <w:noProof/>
        </w:rPr>
        <w:drawing>
          <wp:inline distT="0" distB="0" distL="0" distR="0" wp14:anchorId="5D7CF1CA" wp14:editId="1D54AC26">
            <wp:extent cx="5727700" cy="81051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47EAB33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545CF882" wp14:editId="0DB670BE">
            <wp:extent cx="5727700" cy="549946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113">
                      <a:extLst>
                        <a:ext uri="{28A0092B-C50C-407E-A947-70E740481C1C}">
                          <a14:useLocalDpi xmlns:a14="http://schemas.microsoft.com/office/drawing/2010/main" val="0"/>
                        </a:ext>
                      </a:extLst>
                    </a:blip>
                    <a:srcRect b="32148"/>
                    <a:stretch/>
                  </pic:blipFill>
                  <pic:spPr bwMode="auto">
                    <a:xfrm>
                      <a:off x="0" y="0"/>
                      <a:ext cx="5727700" cy="5499463"/>
                    </a:xfrm>
                    <a:prstGeom prst="rect">
                      <a:avLst/>
                    </a:prstGeom>
                    <a:ln>
                      <a:noFill/>
                    </a:ln>
                    <a:extLst>
                      <a:ext uri="{53640926-AAD7-44D8-BBD7-CCE9431645EC}">
                        <a14:shadowObscured xmlns:a14="http://schemas.microsoft.com/office/drawing/2010/main"/>
                      </a:ext>
                    </a:extLst>
                  </pic:spPr>
                </pic:pic>
              </a:graphicData>
            </a:graphic>
          </wp:inline>
        </w:drawing>
      </w:r>
    </w:p>
    <w:p w14:paraId="11E9DF0F" w14:textId="77777777" w:rsidR="008A7196" w:rsidRPr="00862EFB" w:rsidRDefault="008A7196" w:rsidP="008A7196">
      <w:pPr>
        <w:rPr>
          <w:rFonts w:cstheme="minorHAnsi"/>
        </w:rPr>
      </w:pPr>
    </w:p>
    <w:p w14:paraId="541EFE04" w14:textId="77777777" w:rsidR="008A7196" w:rsidRPr="00862EFB" w:rsidRDefault="008A7196" w:rsidP="008A7196">
      <w:pPr>
        <w:rPr>
          <w:rFonts w:cstheme="minorHAnsi"/>
        </w:rPr>
        <w:sectPr w:rsidR="008A7196" w:rsidRPr="00862EFB" w:rsidSect="000D24B8">
          <w:pgSz w:w="11900" w:h="16840"/>
          <w:pgMar w:top="1440" w:right="1440" w:bottom="1440" w:left="1440" w:header="708" w:footer="708" w:gutter="0"/>
          <w:cols w:space="708"/>
          <w:docGrid w:linePitch="360"/>
        </w:sectPr>
      </w:pPr>
      <w:r w:rsidRPr="00862EFB">
        <w:rPr>
          <w:rFonts w:cstheme="minorHAnsi"/>
          <w:noProof/>
        </w:rPr>
        <w:lastRenderedPageBreak/>
        <w:drawing>
          <wp:inline distT="0" distB="0" distL="0" distR="0" wp14:anchorId="2B0FD083" wp14:editId="18BF00DE">
            <wp:extent cx="5727700" cy="81051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14">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4403C8CD"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7290FEDD" wp14:editId="3F8E69A8">
            <wp:extent cx="5727700" cy="810514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15">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603B4925" w14:textId="77777777" w:rsidR="008A7196" w:rsidRPr="00862EFB" w:rsidRDefault="008A7196" w:rsidP="008A7196">
      <w:pPr>
        <w:rPr>
          <w:rFonts w:cstheme="minorHAnsi"/>
        </w:rPr>
      </w:pPr>
    </w:p>
    <w:p w14:paraId="5D720720"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55783828" wp14:editId="000F467A">
            <wp:extent cx="5727700" cy="81051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16">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7A884C09"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650F7808" wp14:editId="1D7CB037">
            <wp:extent cx="5727700" cy="81051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1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59D9E74F"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5380DEE8" wp14:editId="11F45B93">
            <wp:extent cx="5727700" cy="81051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1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178BAD39" w14:textId="77777777" w:rsidR="008A7196" w:rsidRPr="00862EFB" w:rsidRDefault="008A7196" w:rsidP="008A7196">
      <w:pPr>
        <w:rPr>
          <w:rFonts w:cstheme="minorHAnsi"/>
        </w:rPr>
      </w:pPr>
    </w:p>
    <w:p w14:paraId="64813048" w14:textId="77777777" w:rsidR="008A7196" w:rsidRPr="00862EFB" w:rsidRDefault="008A7196" w:rsidP="008A7196">
      <w:pPr>
        <w:rPr>
          <w:rFonts w:cstheme="minorHAnsi"/>
        </w:rPr>
      </w:pPr>
    </w:p>
    <w:p w14:paraId="4B262C6C" w14:textId="77777777" w:rsidR="008A7196" w:rsidRPr="00862EFB" w:rsidRDefault="008A7196" w:rsidP="008A7196">
      <w:pPr>
        <w:rPr>
          <w:rFonts w:cstheme="minorHAnsi"/>
        </w:rPr>
      </w:pPr>
    </w:p>
    <w:p w14:paraId="12830527" w14:textId="77777777" w:rsidR="008A7196" w:rsidRPr="00862EFB" w:rsidRDefault="008A7196" w:rsidP="008A7196">
      <w:pPr>
        <w:rPr>
          <w:rFonts w:cstheme="minorHAnsi"/>
        </w:rPr>
      </w:pPr>
    </w:p>
    <w:p w14:paraId="47695B72"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6669E274" wp14:editId="072163FF">
            <wp:extent cx="5727700" cy="81051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9">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FE5F9AF" w14:textId="77777777" w:rsidR="008A7196" w:rsidRPr="00862EFB" w:rsidRDefault="008A7196" w:rsidP="008A7196">
      <w:pPr>
        <w:rPr>
          <w:rFonts w:cstheme="minorHAnsi"/>
        </w:rPr>
      </w:pPr>
    </w:p>
    <w:p w14:paraId="24A87D2D" w14:textId="77777777" w:rsidR="008A7196" w:rsidRPr="00862EFB" w:rsidRDefault="008A7196" w:rsidP="008A7196">
      <w:pPr>
        <w:rPr>
          <w:rFonts w:cstheme="minorHAnsi"/>
        </w:rPr>
      </w:pPr>
    </w:p>
    <w:p w14:paraId="6ED6EF93" w14:textId="77777777" w:rsidR="008A7196" w:rsidRPr="00862EFB" w:rsidRDefault="008A7196" w:rsidP="008A7196">
      <w:pPr>
        <w:rPr>
          <w:rFonts w:cstheme="minorHAnsi"/>
        </w:rPr>
      </w:pPr>
    </w:p>
    <w:p w14:paraId="46B1DE80" w14:textId="77777777" w:rsidR="008A7196" w:rsidRPr="00862EFB" w:rsidRDefault="008A7196" w:rsidP="008A7196">
      <w:pPr>
        <w:rPr>
          <w:rFonts w:cstheme="minorHAnsi"/>
        </w:rPr>
      </w:pPr>
    </w:p>
    <w:p w14:paraId="30B1B75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2705D7AC" wp14:editId="262FB781">
            <wp:extent cx="5727700" cy="81051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20">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2CD301C2" w14:textId="77777777" w:rsidR="008A7196" w:rsidRPr="00862EFB" w:rsidRDefault="008A7196" w:rsidP="008A7196">
      <w:pPr>
        <w:rPr>
          <w:rFonts w:cstheme="minorHAnsi"/>
        </w:rPr>
      </w:pPr>
    </w:p>
    <w:p w14:paraId="35F74D10" w14:textId="77777777" w:rsidR="008A7196" w:rsidRPr="00862EFB" w:rsidRDefault="008A7196" w:rsidP="008A7196">
      <w:pPr>
        <w:rPr>
          <w:rFonts w:cstheme="minorHAnsi"/>
          <w:noProof/>
        </w:rPr>
      </w:pPr>
      <w:r w:rsidRPr="00862EFB">
        <w:rPr>
          <w:rFonts w:cstheme="minorHAnsi"/>
          <w:noProof/>
        </w:rPr>
        <w:lastRenderedPageBreak/>
        <w:drawing>
          <wp:inline distT="0" distB="0" distL="0" distR="0" wp14:anchorId="0F9F976C" wp14:editId="7880CF9D">
            <wp:extent cx="5727700" cy="40474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21">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drawing>
          <wp:inline distT="0" distB="0" distL="0" distR="0" wp14:anchorId="00A9C1E2" wp14:editId="0B7FBAB8">
            <wp:extent cx="5727700" cy="40474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22">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t xml:space="preserve"> </w:t>
      </w:r>
      <w:r w:rsidRPr="00862EFB">
        <w:rPr>
          <w:rFonts w:cstheme="minorHAnsi"/>
          <w:noProof/>
        </w:rPr>
        <w:lastRenderedPageBreak/>
        <w:drawing>
          <wp:inline distT="0" distB="0" distL="0" distR="0" wp14:anchorId="3E2AE07D" wp14:editId="0DF2F0DF">
            <wp:extent cx="5727700" cy="40474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27700" cy="4047490"/>
                    </a:xfrm>
                    <a:prstGeom prst="rect">
                      <a:avLst/>
                    </a:prstGeom>
                  </pic:spPr>
                </pic:pic>
              </a:graphicData>
            </a:graphic>
          </wp:inline>
        </w:drawing>
      </w:r>
      <w:r w:rsidRPr="00862EFB">
        <w:rPr>
          <w:rFonts w:cstheme="minorHAnsi"/>
          <w:noProof/>
        </w:rPr>
        <w:t xml:space="preserve"> </w:t>
      </w:r>
      <w:r w:rsidRPr="00862EFB">
        <w:rPr>
          <w:rFonts w:cstheme="minorHAnsi"/>
          <w:noProof/>
        </w:rPr>
        <w:drawing>
          <wp:inline distT="0" distB="0" distL="0" distR="0" wp14:anchorId="3C0F4187" wp14:editId="30519975">
            <wp:extent cx="5727700" cy="40474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27700" cy="4047490"/>
                    </a:xfrm>
                    <a:prstGeom prst="rect">
                      <a:avLst/>
                    </a:prstGeom>
                  </pic:spPr>
                </pic:pic>
              </a:graphicData>
            </a:graphic>
          </wp:inline>
        </w:drawing>
      </w:r>
      <w:r w:rsidRPr="00862EFB">
        <w:rPr>
          <w:rFonts w:cstheme="minorHAnsi"/>
          <w:noProof/>
        </w:rPr>
        <w:t xml:space="preserve"> </w:t>
      </w:r>
      <w:r w:rsidRPr="00862EFB">
        <w:rPr>
          <w:rFonts w:cstheme="minorHAnsi"/>
          <w:noProof/>
        </w:rPr>
        <w:lastRenderedPageBreak/>
        <w:drawing>
          <wp:inline distT="0" distB="0" distL="0" distR="0" wp14:anchorId="4578E6EF" wp14:editId="4A4038F6">
            <wp:extent cx="5727700" cy="40474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27700" cy="4047490"/>
                    </a:xfrm>
                    <a:prstGeom prst="rect">
                      <a:avLst/>
                    </a:prstGeom>
                  </pic:spPr>
                </pic:pic>
              </a:graphicData>
            </a:graphic>
          </wp:inline>
        </w:drawing>
      </w:r>
      <w:r w:rsidRPr="00862EFB">
        <w:rPr>
          <w:rFonts w:cstheme="minorHAnsi"/>
          <w:noProof/>
        </w:rPr>
        <w:t xml:space="preserve"> </w:t>
      </w:r>
      <w:r w:rsidRPr="00862EFB">
        <w:rPr>
          <w:rFonts w:cstheme="minorHAnsi"/>
          <w:noProof/>
        </w:rPr>
        <w:drawing>
          <wp:inline distT="0" distB="0" distL="0" distR="0" wp14:anchorId="1CD622EA" wp14:editId="5E0633E9">
            <wp:extent cx="5727700" cy="404749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727700" cy="4047490"/>
                    </a:xfrm>
                    <a:prstGeom prst="rect">
                      <a:avLst/>
                    </a:prstGeom>
                  </pic:spPr>
                </pic:pic>
              </a:graphicData>
            </a:graphic>
          </wp:inline>
        </w:drawing>
      </w:r>
      <w:r w:rsidRPr="00862EFB">
        <w:rPr>
          <w:rFonts w:cstheme="minorHAnsi"/>
          <w:noProof/>
        </w:rPr>
        <w:lastRenderedPageBreak/>
        <w:drawing>
          <wp:inline distT="0" distB="0" distL="0" distR="0" wp14:anchorId="2F0267BC" wp14:editId="0A5254F7">
            <wp:extent cx="5727700" cy="40474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27">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drawing>
          <wp:inline distT="0" distB="0" distL="0" distR="0" wp14:anchorId="13924E04" wp14:editId="6EC7B176">
            <wp:extent cx="5727700" cy="4047490"/>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28">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14:paraId="6B5433A1"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7DEFFD0A" wp14:editId="7ACB6E87">
            <wp:extent cx="5727700" cy="404749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29">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drawing>
          <wp:inline distT="0" distB="0" distL="0" distR="0" wp14:anchorId="695C21A8" wp14:editId="0E842A89">
            <wp:extent cx="5727700" cy="4047490"/>
            <wp:effectExtent l="0" t="0" r="0" b="381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30">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lastRenderedPageBreak/>
        <w:drawing>
          <wp:inline distT="0" distB="0" distL="0" distR="0" wp14:anchorId="7F6090F3" wp14:editId="36A5A98C">
            <wp:extent cx="5727700" cy="810514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3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t xml:space="preserve"> </w:t>
      </w:r>
      <w:r w:rsidRPr="00862EFB">
        <w:rPr>
          <w:rFonts w:cstheme="minorHAnsi"/>
          <w:noProof/>
        </w:rPr>
        <w:lastRenderedPageBreak/>
        <w:drawing>
          <wp:inline distT="0" distB="0" distL="0" distR="0" wp14:anchorId="0C662FA9" wp14:editId="473F2B07">
            <wp:extent cx="5727700" cy="810514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3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184D9902"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5D629411" wp14:editId="29D738ED">
            <wp:extent cx="5727700" cy="810514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33">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40AFB364" wp14:editId="2F81CE42">
            <wp:extent cx="5727700" cy="810514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4">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21D28608" wp14:editId="246CA265">
            <wp:extent cx="5727700" cy="810514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5">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769ECD16" wp14:editId="452EC160">
            <wp:extent cx="5727700" cy="81051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36">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2DBD476F" wp14:editId="516A32B5">
            <wp:extent cx="5727700" cy="81051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3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72282B3C" wp14:editId="0A0F82B4">
            <wp:extent cx="5727700" cy="810514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3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1015E812" wp14:editId="3374A241">
            <wp:extent cx="5727700" cy="810514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39">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1C81556E" wp14:editId="28B7312F">
            <wp:extent cx="5727700" cy="810514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40">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16E691D9" wp14:editId="2675E708">
            <wp:extent cx="5727700" cy="810514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41">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142CF666" wp14:editId="1BF56E64">
            <wp:extent cx="5727700" cy="810514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42">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3198A2CF" wp14:editId="47AAA6AE">
            <wp:extent cx="5727700" cy="404749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43">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drawing>
          <wp:inline distT="0" distB="0" distL="0" distR="0" wp14:anchorId="78C945FD" wp14:editId="5C8EE083">
            <wp:extent cx="5727700" cy="404749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44">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lastRenderedPageBreak/>
        <w:drawing>
          <wp:inline distT="0" distB="0" distL="0" distR="0" wp14:anchorId="7047E71D" wp14:editId="117A4876">
            <wp:extent cx="5727700" cy="404749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45">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r w:rsidRPr="00862EFB">
        <w:rPr>
          <w:rFonts w:cstheme="minorHAnsi"/>
          <w:noProof/>
        </w:rPr>
        <w:lastRenderedPageBreak/>
        <w:drawing>
          <wp:inline distT="0" distB="0" distL="0" distR="0" wp14:anchorId="1B3A9356" wp14:editId="3133141F">
            <wp:extent cx="5727700" cy="8105140"/>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46">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0F97C6DA" wp14:editId="4CB447A7">
            <wp:extent cx="5727700" cy="810514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47">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r w:rsidRPr="00862EFB">
        <w:rPr>
          <w:rFonts w:cstheme="minorHAnsi"/>
          <w:noProof/>
        </w:rPr>
        <w:lastRenderedPageBreak/>
        <w:drawing>
          <wp:inline distT="0" distB="0" distL="0" distR="0" wp14:anchorId="3B2D9CD2" wp14:editId="5FE6053F">
            <wp:extent cx="5727700" cy="810514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48">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73F39C64" w14:textId="77777777" w:rsidR="008A7196" w:rsidRPr="00862EFB" w:rsidRDefault="008A7196" w:rsidP="008A7196">
      <w:pPr>
        <w:rPr>
          <w:rFonts w:cstheme="minorHAnsi"/>
        </w:rPr>
      </w:pPr>
    </w:p>
    <w:p w14:paraId="63C3B12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16641D61" wp14:editId="19C7BD66">
            <wp:extent cx="5727700" cy="810514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49">
                      <a:extLst>
                        <a:ext uri="{28A0092B-C50C-407E-A947-70E740481C1C}">
                          <a14:useLocalDpi xmlns:a14="http://schemas.microsoft.com/office/drawing/2010/main" val="0"/>
                        </a:ext>
                      </a:extLst>
                    </a:blip>
                    <a:stretch>
                      <a:fillRect/>
                    </a:stretch>
                  </pic:blipFill>
                  <pic:spPr>
                    <a:xfrm>
                      <a:off x="0" y="0"/>
                      <a:ext cx="5727700" cy="8105140"/>
                    </a:xfrm>
                    <a:prstGeom prst="rect">
                      <a:avLst/>
                    </a:prstGeom>
                  </pic:spPr>
                </pic:pic>
              </a:graphicData>
            </a:graphic>
          </wp:inline>
        </w:drawing>
      </w:r>
    </w:p>
    <w:p w14:paraId="656FCC5A" w14:textId="77777777" w:rsidR="008A7196" w:rsidRPr="00862EFB" w:rsidRDefault="008A7196" w:rsidP="008A7196">
      <w:pPr>
        <w:rPr>
          <w:rFonts w:cstheme="minorHAnsi"/>
          <w:noProof/>
        </w:rPr>
      </w:pPr>
      <w:r w:rsidRPr="00862EFB">
        <w:rPr>
          <w:rFonts w:cstheme="minorHAnsi"/>
        </w:rPr>
        <w:lastRenderedPageBreak/>
        <w:t>Appendix 15 PAR-Q form:</w:t>
      </w:r>
      <w:r w:rsidRPr="00862EFB">
        <w:rPr>
          <w:rFonts w:cstheme="minorHAnsi"/>
          <w:noProof/>
        </w:rPr>
        <w:t xml:space="preserve"> </w:t>
      </w:r>
      <w:r w:rsidRPr="00862EFB">
        <w:rPr>
          <w:rFonts w:cstheme="minorHAnsi"/>
          <w:noProof/>
        </w:rPr>
        <w:drawing>
          <wp:inline distT="0" distB="0" distL="0" distR="0" wp14:anchorId="1EB9BD83" wp14:editId="56A7FAB1">
            <wp:extent cx="5682343" cy="804122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0">
                      <a:extLst>
                        <a:ext uri="{28A0092B-C50C-407E-A947-70E740481C1C}">
                          <a14:useLocalDpi xmlns:a14="http://schemas.microsoft.com/office/drawing/2010/main" val="0"/>
                        </a:ext>
                      </a:extLst>
                    </a:blip>
                    <a:stretch>
                      <a:fillRect/>
                    </a:stretch>
                  </pic:blipFill>
                  <pic:spPr>
                    <a:xfrm>
                      <a:off x="0" y="0"/>
                      <a:ext cx="5686202" cy="8046681"/>
                    </a:xfrm>
                    <a:prstGeom prst="rect">
                      <a:avLst/>
                    </a:prstGeom>
                  </pic:spPr>
                </pic:pic>
              </a:graphicData>
            </a:graphic>
          </wp:inline>
        </w:drawing>
      </w:r>
    </w:p>
    <w:p w14:paraId="0CFF98D3" w14:textId="77777777" w:rsidR="008A7196" w:rsidRPr="00862EFB" w:rsidRDefault="008A7196" w:rsidP="008A7196">
      <w:pPr>
        <w:rPr>
          <w:rFonts w:cstheme="minorHAnsi"/>
          <w:noProof/>
        </w:rPr>
      </w:pPr>
    </w:p>
    <w:p w14:paraId="4496A15B" w14:textId="77777777" w:rsidR="008A7196" w:rsidRPr="00862EFB" w:rsidRDefault="008A7196" w:rsidP="008A7196">
      <w:pPr>
        <w:rPr>
          <w:rFonts w:cstheme="minorHAnsi"/>
        </w:rPr>
      </w:pPr>
    </w:p>
    <w:p w14:paraId="61B8FD91" w14:textId="77777777" w:rsidR="008A7196" w:rsidRPr="00862EFB" w:rsidRDefault="008A7196" w:rsidP="008A7196">
      <w:pPr>
        <w:rPr>
          <w:rFonts w:cstheme="minorHAnsi"/>
        </w:rPr>
      </w:pPr>
    </w:p>
    <w:p w14:paraId="10E497E5" w14:textId="77777777" w:rsidR="008A7196" w:rsidRPr="00862EFB" w:rsidRDefault="008A7196" w:rsidP="008A7196">
      <w:pPr>
        <w:rPr>
          <w:rFonts w:cstheme="minorHAnsi"/>
        </w:rPr>
      </w:pPr>
      <w:r w:rsidRPr="00862EFB">
        <w:rPr>
          <w:rFonts w:cstheme="minorHAnsi"/>
        </w:rPr>
        <w:lastRenderedPageBreak/>
        <w:t>Appendix 16: Study outcomes questionnaire (exercise)</w:t>
      </w:r>
    </w:p>
    <w:p w14:paraId="2CA3D51B" w14:textId="77777777" w:rsidR="008A7196" w:rsidRPr="00862EFB" w:rsidRDefault="008A7196" w:rsidP="008A7196">
      <w:pPr>
        <w:rPr>
          <w:rFonts w:cstheme="minorHAnsi"/>
        </w:rPr>
      </w:pPr>
      <w:r w:rsidRPr="00862EFB">
        <w:rPr>
          <w:rFonts w:cstheme="minorHAnsi"/>
          <w:noProof/>
        </w:rPr>
        <w:drawing>
          <wp:inline distT="0" distB="0" distL="0" distR="0" wp14:anchorId="054949AC" wp14:editId="679BF824">
            <wp:extent cx="5727700" cy="8095615"/>
            <wp:effectExtent l="0" t="0" r="0" b="0"/>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24332708" w14:textId="77777777" w:rsidR="008A7196" w:rsidRPr="00862EFB" w:rsidRDefault="008A7196" w:rsidP="008A7196">
      <w:pPr>
        <w:rPr>
          <w:rFonts w:cstheme="minorHAnsi"/>
        </w:rPr>
      </w:pPr>
      <w:r w:rsidRPr="00862EFB">
        <w:rPr>
          <w:rFonts w:cstheme="minorHAnsi"/>
        </w:rPr>
        <w:t>Appendix X: Study outcomes questionnaire (nutrition)</w:t>
      </w:r>
    </w:p>
    <w:p w14:paraId="596D168D" w14:textId="77777777" w:rsidR="008A7196" w:rsidRPr="00862EFB" w:rsidRDefault="008A7196" w:rsidP="008A7196">
      <w:pPr>
        <w:rPr>
          <w:rFonts w:cstheme="minorHAnsi"/>
        </w:rPr>
      </w:pPr>
    </w:p>
    <w:p w14:paraId="4907055A"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658B60CE" wp14:editId="2F0DB5F9">
            <wp:extent cx="5727700" cy="8095615"/>
            <wp:effectExtent l="0" t="0" r="0" b="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3C0AE3F4" wp14:editId="08D7E0F5">
            <wp:extent cx="5727700" cy="8095615"/>
            <wp:effectExtent l="0" t="0" r="0" b="0"/>
            <wp:docPr id="196" name="Picture 19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Graphical user interface, text, application, email&#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5CDDDE42" wp14:editId="46A48037">
            <wp:extent cx="5727700" cy="8095615"/>
            <wp:effectExtent l="0" t="0" r="0" b="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2FD78996" wp14:editId="7AC5FD88">
            <wp:extent cx="5727700" cy="8095615"/>
            <wp:effectExtent l="0" t="0" r="0" b="0"/>
            <wp:docPr id="197" name="Picture 1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Graphical user interface, text, application, email&#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189C3389" wp14:editId="3B71BC40">
            <wp:extent cx="5727700" cy="8095615"/>
            <wp:effectExtent l="0" t="0" r="0" b="0"/>
            <wp:docPr id="198" name="Picture 1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Graphical user interface, application&#10;&#10;Description automatically generated"/>
                    <pic:cNvPicPr/>
                  </pic:nvPicPr>
                  <pic:blipFill>
                    <a:blip r:embed="rId156">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2D651747" w14:textId="77777777" w:rsidR="008A7196" w:rsidRPr="00862EFB" w:rsidRDefault="008A7196" w:rsidP="008A7196">
      <w:pPr>
        <w:rPr>
          <w:rFonts w:cstheme="minorHAnsi"/>
        </w:rPr>
      </w:pPr>
    </w:p>
    <w:p w14:paraId="1A3AC082" w14:textId="77777777" w:rsidR="008A7196" w:rsidRPr="00862EFB" w:rsidRDefault="008A7196" w:rsidP="008A7196">
      <w:pPr>
        <w:rPr>
          <w:rFonts w:cstheme="minorHAnsi"/>
        </w:rPr>
      </w:pPr>
    </w:p>
    <w:p w14:paraId="5AF7FA2A" w14:textId="77777777" w:rsidR="008A7196" w:rsidRPr="00862EFB" w:rsidRDefault="008A7196" w:rsidP="008A7196">
      <w:pPr>
        <w:rPr>
          <w:rFonts w:cstheme="minorHAnsi"/>
        </w:rPr>
      </w:pPr>
    </w:p>
    <w:p w14:paraId="76450D46" w14:textId="77777777" w:rsidR="008A7196" w:rsidRPr="00862EFB" w:rsidRDefault="008A7196" w:rsidP="008A7196">
      <w:pPr>
        <w:rPr>
          <w:rFonts w:cstheme="minorHAnsi"/>
        </w:rPr>
      </w:pPr>
      <w:r w:rsidRPr="00862EFB">
        <w:rPr>
          <w:rFonts w:cstheme="minorHAnsi"/>
        </w:rPr>
        <w:lastRenderedPageBreak/>
        <w:t xml:space="preserve">Appendix 17: Outcome questionnaire given to 7 participants assigned to a protein intervention arm. </w:t>
      </w:r>
      <w:r w:rsidRPr="00862EFB">
        <w:rPr>
          <w:rFonts w:cstheme="minorHAnsi"/>
          <w:noProof/>
        </w:rPr>
        <w:drawing>
          <wp:inline distT="0" distB="0" distL="0" distR="0" wp14:anchorId="154FC6E8" wp14:editId="308E7C16">
            <wp:extent cx="5016137" cy="7089880"/>
            <wp:effectExtent l="0" t="0" r="635" b="0"/>
            <wp:docPr id="199" name="Picture 19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Text&#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5034491" cy="7115822"/>
                    </a:xfrm>
                    <a:prstGeom prst="rect">
                      <a:avLst/>
                    </a:prstGeom>
                  </pic:spPr>
                </pic:pic>
              </a:graphicData>
            </a:graphic>
          </wp:inline>
        </w:drawing>
      </w:r>
    </w:p>
    <w:p w14:paraId="521B2579"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653B2E9B" wp14:editId="2A77EF9D">
            <wp:extent cx="5727700" cy="8095615"/>
            <wp:effectExtent l="0" t="0" r="0" b="0"/>
            <wp:docPr id="200" name="Picture 20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Graphical user interface, text, application, email&#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r w:rsidRPr="00862EFB">
        <w:rPr>
          <w:rFonts w:cstheme="minorHAnsi"/>
          <w:noProof/>
        </w:rPr>
        <w:lastRenderedPageBreak/>
        <w:drawing>
          <wp:inline distT="0" distB="0" distL="0" distR="0" wp14:anchorId="563024D0" wp14:editId="1001240B">
            <wp:extent cx="5727700" cy="8095615"/>
            <wp:effectExtent l="0" t="0" r="0" b="0"/>
            <wp:docPr id="25" name="Picture 2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 email&#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5727700" cy="8095615"/>
                    </a:xfrm>
                    <a:prstGeom prst="rect">
                      <a:avLst/>
                    </a:prstGeom>
                  </pic:spPr>
                </pic:pic>
              </a:graphicData>
            </a:graphic>
          </wp:inline>
        </w:drawing>
      </w:r>
    </w:p>
    <w:p w14:paraId="76797449" w14:textId="77777777" w:rsidR="008A7196" w:rsidRPr="00862EFB" w:rsidRDefault="008A7196" w:rsidP="008A7196">
      <w:pPr>
        <w:rPr>
          <w:rFonts w:cstheme="minorHAnsi"/>
        </w:rPr>
      </w:pPr>
    </w:p>
    <w:p w14:paraId="2C6F12DA" w14:textId="77777777" w:rsidR="008A7196" w:rsidRPr="00862EFB" w:rsidRDefault="008A7196" w:rsidP="008A7196">
      <w:pPr>
        <w:rPr>
          <w:rFonts w:cstheme="minorHAnsi"/>
        </w:rPr>
        <w:sectPr w:rsidR="008A7196" w:rsidRPr="00862EFB" w:rsidSect="00E06A7F">
          <w:pgSz w:w="11900" w:h="16840"/>
          <w:pgMar w:top="1440" w:right="1440" w:bottom="1440" w:left="1440" w:header="708" w:footer="708" w:gutter="0"/>
          <w:cols w:space="708"/>
          <w:docGrid w:linePitch="360"/>
        </w:sectPr>
      </w:pPr>
    </w:p>
    <w:p w14:paraId="3C32F243" w14:textId="77777777" w:rsidR="008A7196" w:rsidRPr="00862EFB" w:rsidRDefault="008A7196" w:rsidP="008A7196">
      <w:pPr>
        <w:rPr>
          <w:rFonts w:cstheme="minorHAnsi"/>
        </w:rPr>
      </w:pPr>
      <w:r w:rsidRPr="00862EFB">
        <w:rPr>
          <w:rFonts w:cstheme="minorHAnsi"/>
        </w:rPr>
        <w:lastRenderedPageBreak/>
        <w:t>Appendix 18: Semi-structured interview topic guide:</w:t>
      </w:r>
    </w:p>
    <w:p w14:paraId="0984CF9B" w14:textId="77777777" w:rsidR="008A7196" w:rsidRPr="00862EFB" w:rsidRDefault="008A7196" w:rsidP="008A7196">
      <w:pPr>
        <w:rPr>
          <w:rFonts w:cstheme="minorHAnsi"/>
        </w:rPr>
      </w:pPr>
    </w:p>
    <w:p w14:paraId="471D29ED" w14:textId="77777777" w:rsidR="008A7196" w:rsidRPr="00862EFB" w:rsidRDefault="008A7196" w:rsidP="008A7196">
      <w:pPr>
        <w:rPr>
          <w:rFonts w:cstheme="minorHAnsi"/>
        </w:rPr>
      </w:pPr>
      <w:r w:rsidRPr="00862EFB">
        <w:rPr>
          <w:rFonts w:cstheme="minorHAnsi"/>
        </w:rPr>
        <w:t>Background:</w:t>
      </w:r>
    </w:p>
    <w:p w14:paraId="44DE40EA" w14:textId="77777777" w:rsidR="008A7196" w:rsidRPr="00862EFB" w:rsidRDefault="008A7196" w:rsidP="008A7196">
      <w:pPr>
        <w:rPr>
          <w:rFonts w:cstheme="minorHAnsi"/>
        </w:rPr>
      </w:pPr>
      <w:r w:rsidRPr="00862EFB">
        <w:rPr>
          <w:rFonts w:cstheme="minorHAnsi"/>
        </w:rPr>
        <w:t>This topic guide is to support discussion with participants about their experiences of engaging in this trial, to help gain an understanding about the acceptability and tolerability of the research and thus the feasibility of conducting a trial on a larger scale (if resources were to allow.)</w:t>
      </w:r>
    </w:p>
    <w:p w14:paraId="1D6D265B" w14:textId="77777777" w:rsidR="008A7196" w:rsidRPr="00862EFB" w:rsidRDefault="008A7196" w:rsidP="008A7196">
      <w:pPr>
        <w:rPr>
          <w:rFonts w:cstheme="minorHAnsi"/>
        </w:rPr>
      </w:pPr>
    </w:p>
    <w:p w14:paraId="7F652043" w14:textId="77777777" w:rsidR="008A7196" w:rsidRPr="00862EFB" w:rsidRDefault="008A7196" w:rsidP="008A7196">
      <w:pPr>
        <w:rPr>
          <w:rFonts w:cstheme="minorHAnsi"/>
        </w:rPr>
      </w:pPr>
      <w:r w:rsidRPr="00862EFB">
        <w:rPr>
          <w:rFonts w:cstheme="minorHAnsi"/>
        </w:rPr>
        <w:t>Overarching aims for the interview/focus group:</w:t>
      </w:r>
    </w:p>
    <w:p w14:paraId="659394D0" w14:textId="77777777" w:rsidR="008A7196" w:rsidRPr="00862EFB" w:rsidRDefault="008A7196" w:rsidP="008A7196">
      <w:pPr>
        <w:rPr>
          <w:rFonts w:cstheme="minorHAnsi"/>
        </w:rPr>
      </w:pPr>
    </w:p>
    <w:p w14:paraId="69C0CDBF" w14:textId="77777777" w:rsidR="008A7196" w:rsidRPr="00862EFB" w:rsidRDefault="008A7196" w:rsidP="008A7196">
      <w:pPr>
        <w:rPr>
          <w:rFonts w:cstheme="minorHAnsi"/>
        </w:rPr>
      </w:pPr>
      <w:r w:rsidRPr="00862EFB">
        <w:rPr>
          <w:rFonts w:cstheme="minorHAnsi"/>
        </w:rPr>
        <w:t>Gather specific information about the following:</w:t>
      </w:r>
    </w:p>
    <w:p w14:paraId="24A1FE97" w14:textId="77777777" w:rsidR="008A7196" w:rsidRPr="00862EFB" w:rsidRDefault="008A7196" w:rsidP="008A7196">
      <w:pPr>
        <w:rPr>
          <w:rFonts w:cstheme="minorHAnsi"/>
        </w:rPr>
      </w:pPr>
    </w:p>
    <w:p w14:paraId="75B0B767" w14:textId="77777777" w:rsidR="008A7196" w:rsidRPr="00862EFB" w:rsidRDefault="008A7196" w:rsidP="008A7196">
      <w:pPr>
        <w:rPr>
          <w:rFonts w:cstheme="minorHAnsi"/>
          <w:i/>
        </w:rPr>
      </w:pPr>
      <w:r w:rsidRPr="00862EFB">
        <w:rPr>
          <w:rFonts w:cstheme="minorHAnsi"/>
          <w:i/>
        </w:rPr>
        <w:t>Exercise intervention:</w:t>
      </w:r>
    </w:p>
    <w:p w14:paraId="1778CE60" w14:textId="77777777" w:rsidR="008A7196" w:rsidRPr="00862EFB" w:rsidRDefault="008A7196">
      <w:pPr>
        <w:numPr>
          <w:ilvl w:val="0"/>
          <w:numId w:val="56"/>
        </w:numPr>
        <w:spacing w:line="276" w:lineRule="auto"/>
        <w:rPr>
          <w:rFonts w:cstheme="minorHAnsi"/>
        </w:rPr>
      </w:pPr>
      <w:r w:rsidRPr="00862EFB">
        <w:rPr>
          <w:rFonts w:cstheme="minorHAnsi"/>
        </w:rPr>
        <w:t>Attendance at exercise session</w:t>
      </w:r>
    </w:p>
    <w:p w14:paraId="1091F858" w14:textId="77777777" w:rsidR="008A7196" w:rsidRPr="00862EFB" w:rsidRDefault="008A7196">
      <w:pPr>
        <w:numPr>
          <w:ilvl w:val="0"/>
          <w:numId w:val="56"/>
        </w:numPr>
        <w:spacing w:line="276" w:lineRule="auto"/>
        <w:rPr>
          <w:rFonts w:cstheme="minorHAnsi"/>
        </w:rPr>
      </w:pPr>
      <w:r w:rsidRPr="00862EFB">
        <w:rPr>
          <w:rFonts w:cstheme="minorHAnsi"/>
        </w:rPr>
        <w:t>Enjoyment of exercise sessions</w:t>
      </w:r>
    </w:p>
    <w:p w14:paraId="4AF0F5AD" w14:textId="77777777" w:rsidR="008A7196" w:rsidRPr="00862EFB" w:rsidRDefault="008A7196">
      <w:pPr>
        <w:numPr>
          <w:ilvl w:val="0"/>
          <w:numId w:val="56"/>
        </w:numPr>
        <w:spacing w:line="276" w:lineRule="auto"/>
        <w:rPr>
          <w:rFonts w:cstheme="minorHAnsi"/>
        </w:rPr>
      </w:pPr>
      <w:r w:rsidRPr="00862EFB">
        <w:rPr>
          <w:rFonts w:cstheme="minorHAnsi"/>
        </w:rPr>
        <w:t>Difficulty of exercise sessions</w:t>
      </w:r>
    </w:p>
    <w:p w14:paraId="190DC00C" w14:textId="77777777" w:rsidR="008A7196" w:rsidRPr="00862EFB" w:rsidRDefault="008A7196">
      <w:pPr>
        <w:numPr>
          <w:ilvl w:val="0"/>
          <w:numId w:val="56"/>
        </w:numPr>
        <w:spacing w:line="276" w:lineRule="auto"/>
        <w:rPr>
          <w:rFonts w:cstheme="minorHAnsi"/>
        </w:rPr>
      </w:pPr>
      <w:r w:rsidRPr="00862EFB">
        <w:rPr>
          <w:rFonts w:cstheme="minorHAnsi"/>
        </w:rPr>
        <w:t>Feelings following exercise</w:t>
      </w:r>
    </w:p>
    <w:p w14:paraId="3F8D49CD" w14:textId="77777777" w:rsidR="008A7196" w:rsidRPr="00862EFB" w:rsidRDefault="008A7196">
      <w:pPr>
        <w:numPr>
          <w:ilvl w:val="0"/>
          <w:numId w:val="56"/>
        </w:numPr>
        <w:spacing w:line="276" w:lineRule="auto"/>
        <w:rPr>
          <w:rFonts w:cstheme="minorHAnsi"/>
        </w:rPr>
      </w:pPr>
      <w:r w:rsidRPr="00862EFB">
        <w:rPr>
          <w:rFonts w:cstheme="minorHAnsi"/>
        </w:rPr>
        <w:t>Any suggestions for changes to the exercise programme.</w:t>
      </w:r>
    </w:p>
    <w:p w14:paraId="2A551537" w14:textId="77777777" w:rsidR="008A7196" w:rsidRPr="00862EFB" w:rsidRDefault="008A7196" w:rsidP="008A7196">
      <w:pPr>
        <w:rPr>
          <w:rFonts w:cstheme="minorHAnsi"/>
        </w:rPr>
      </w:pPr>
    </w:p>
    <w:p w14:paraId="1D1BAD5C" w14:textId="77777777" w:rsidR="008A7196" w:rsidRPr="00862EFB" w:rsidRDefault="008A7196" w:rsidP="008A7196">
      <w:pPr>
        <w:rPr>
          <w:rFonts w:cstheme="minorHAnsi"/>
        </w:rPr>
      </w:pPr>
      <w:r w:rsidRPr="00862EFB">
        <w:rPr>
          <w:rFonts w:cstheme="minorHAnsi"/>
          <w:i/>
        </w:rPr>
        <w:t>Nutrition intervention:</w:t>
      </w:r>
    </w:p>
    <w:p w14:paraId="49D655BF" w14:textId="77777777" w:rsidR="008A7196" w:rsidRPr="00862EFB" w:rsidRDefault="008A7196">
      <w:pPr>
        <w:numPr>
          <w:ilvl w:val="0"/>
          <w:numId w:val="53"/>
        </w:numPr>
        <w:spacing w:line="276" w:lineRule="auto"/>
        <w:rPr>
          <w:rFonts w:cstheme="minorHAnsi"/>
        </w:rPr>
      </w:pPr>
      <w:r w:rsidRPr="00862EFB">
        <w:rPr>
          <w:rFonts w:cstheme="minorHAnsi"/>
        </w:rPr>
        <w:t>Palatability of supplement</w:t>
      </w:r>
    </w:p>
    <w:p w14:paraId="3EA46A7C" w14:textId="77777777" w:rsidR="008A7196" w:rsidRPr="00862EFB" w:rsidRDefault="008A7196">
      <w:pPr>
        <w:numPr>
          <w:ilvl w:val="0"/>
          <w:numId w:val="53"/>
        </w:numPr>
        <w:spacing w:line="276" w:lineRule="auto"/>
        <w:rPr>
          <w:rFonts w:cstheme="minorHAnsi"/>
        </w:rPr>
      </w:pPr>
      <w:r w:rsidRPr="00862EFB">
        <w:rPr>
          <w:rFonts w:cstheme="minorHAnsi"/>
        </w:rPr>
        <w:t>Taste, texture of supplement</w:t>
      </w:r>
    </w:p>
    <w:p w14:paraId="4495F8AE" w14:textId="77777777" w:rsidR="008A7196" w:rsidRPr="00862EFB" w:rsidRDefault="008A7196">
      <w:pPr>
        <w:numPr>
          <w:ilvl w:val="0"/>
          <w:numId w:val="53"/>
        </w:numPr>
        <w:spacing w:line="276" w:lineRule="auto"/>
        <w:rPr>
          <w:rFonts w:cstheme="minorHAnsi"/>
        </w:rPr>
      </w:pPr>
      <w:r w:rsidRPr="00862EFB">
        <w:rPr>
          <w:rFonts w:cstheme="minorHAnsi"/>
        </w:rPr>
        <w:t>Complications/adverse effects following supplementation</w:t>
      </w:r>
    </w:p>
    <w:p w14:paraId="4871F8B0" w14:textId="77777777" w:rsidR="008A7196" w:rsidRPr="00862EFB" w:rsidRDefault="008A7196" w:rsidP="008A7196">
      <w:pPr>
        <w:rPr>
          <w:rFonts w:cstheme="minorHAnsi"/>
        </w:rPr>
      </w:pPr>
    </w:p>
    <w:p w14:paraId="575E4ABB" w14:textId="77777777" w:rsidR="008A7196" w:rsidRPr="00862EFB" w:rsidRDefault="008A7196" w:rsidP="008A7196">
      <w:pPr>
        <w:rPr>
          <w:rFonts w:cstheme="minorHAnsi"/>
          <w:i/>
        </w:rPr>
      </w:pPr>
      <w:r w:rsidRPr="00862EFB">
        <w:rPr>
          <w:rFonts w:cstheme="minorHAnsi"/>
          <w:i/>
        </w:rPr>
        <w:t>Other areas of interest:</w:t>
      </w:r>
    </w:p>
    <w:p w14:paraId="5765DD1F" w14:textId="77777777" w:rsidR="008A7196" w:rsidRPr="00862EFB" w:rsidRDefault="008A7196">
      <w:pPr>
        <w:numPr>
          <w:ilvl w:val="0"/>
          <w:numId w:val="60"/>
        </w:numPr>
        <w:spacing w:line="276" w:lineRule="auto"/>
        <w:rPr>
          <w:rFonts w:cstheme="minorHAnsi"/>
        </w:rPr>
      </w:pPr>
      <w:r w:rsidRPr="00862EFB">
        <w:rPr>
          <w:rFonts w:cstheme="minorHAnsi"/>
        </w:rPr>
        <w:t>Behaviour changes</w:t>
      </w:r>
    </w:p>
    <w:p w14:paraId="79E0CB65" w14:textId="77777777" w:rsidR="008A7196" w:rsidRPr="00862EFB" w:rsidRDefault="008A7196">
      <w:pPr>
        <w:numPr>
          <w:ilvl w:val="0"/>
          <w:numId w:val="60"/>
        </w:numPr>
        <w:spacing w:line="276" w:lineRule="auto"/>
        <w:rPr>
          <w:rFonts w:cstheme="minorHAnsi"/>
        </w:rPr>
      </w:pPr>
      <w:r w:rsidRPr="00862EFB">
        <w:rPr>
          <w:rFonts w:cstheme="minorHAnsi"/>
        </w:rPr>
        <w:t>Spill over behaviours</w:t>
      </w:r>
    </w:p>
    <w:p w14:paraId="3FE7D96D" w14:textId="77777777" w:rsidR="008A7196" w:rsidRPr="00862EFB" w:rsidRDefault="008A7196" w:rsidP="008A7196">
      <w:pPr>
        <w:rPr>
          <w:rFonts w:cstheme="minorHAnsi"/>
        </w:rPr>
      </w:pPr>
    </w:p>
    <w:p w14:paraId="3C8D0EA1" w14:textId="77777777" w:rsidR="008A7196" w:rsidRPr="00862EFB" w:rsidRDefault="008A7196" w:rsidP="008A7196">
      <w:pPr>
        <w:rPr>
          <w:rFonts w:cstheme="minorHAnsi"/>
        </w:rPr>
      </w:pPr>
      <w:r w:rsidRPr="00862EFB">
        <w:rPr>
          <w:rFonts w:cstheme="minorHAnsi"/>
        </w:rPr>
        <w:t>Questions in this topic guide are structured to address these aims in sufficient detail, in relation to all the components of the trial undertaken and gain an insight into the participant’s experience of engaging with this research.</w:t>
      </w:r>
    </w:p>
    <w:p w14:paraId="0A76FCC6" w14:textId="77777777" w:rsidR="008A7196" w:rsidRPr="00862EFB" w:rsidRDefault="008A7196" w:rsidP="008A7196">
      <w:pPr>
        <w:rPr>
          <w:rFonts w:cstheme="minorHAnsi"/>
        </w:rPr>
      </w:pPr>
    </w:p>
    <w:p w14:paraId="11CBF9F2" w14:textId="77777777" w:rsidR="008A7196" w:rsidRPr="00862EFB" w:rsidRDefault="008A7196" w:rsidP="008A7196">
      <w:pPr>
        <w:rPr>
          <w:rFonts w:cstheme="minorHAnsi"/>
        </w:rPr>
      </w:pPr>
      <w:r w:rsidRPr="00862EFB">
        <w:rPr>
          <w:rFonts w:cstheme="minorHAnsi"/>
        </w:rPr>
        <w:t>Before the interview:</w:t>
      </w:r>
    </w:p>
    <w:p w14:paraId="59406D5D" w14:textId="77777777" w:rsidR="008A7196" w:rsidRPr="00862EFB" w:rsidRDefault="008A7196">
      <w:pPr>
        <w:numPr>
          <w:ilvl w:val="0"/>
          <w:numId w:val="61"/>
        </w:numPr>
        <w:spacing w:line="276" w:lineRule="auto"/>
        <w:rPr>
          <w:rFonts w:cstheme="minorHAnsi"/>
        </w:rPr>
      </w:pPr>
      <w:r w:rsidRPr="00862EFB">
        <w:rPr>
          <w:rFonts w:cstheme="minorHAnsi"/>
        </w:rPr>
        <w:t>Ensure participants are comfortable and free for a discussion - if this is held remotely, double check that their environment is appropriate for holding a conversation.</w:t>
      </w:r>
    </w:p>
    <w:p w14:paraId="17B06852" w14:textId="77777777" w:rsidR="008A7196" w:rsidRPr="00862EFB" w:rsidRDefault="008A7196">
      <w:pPr>
        <w:numPr>
          <w:ilvl w:val="0"/>
          <w:numId w:val="61"/>
        </w:numPr>
        <w:spacing w:line="276" w:lineRule="auto"/>
        <w:rPr>
          <w:rFonts w:cstheme="minorHAnsi"/>
        </w:rPr>
      </w:pPr>
      <w:r w:rsidRPr="00862EFB">
        <w:rPr>
          <w:rFonts w:cstheme="minorHAnsi"/>
        </w:rPr>
        <w:t>Check equipment (recording etc) is set up and working</w:t>
      </w:r>
    </w:p>
    <w:p w14:paraId="659EDBF7" w14:textId="77777777" w:rsidR="008A7196" w:rsidRPr="00862EFB" w:rsidRDefault="008A7196">
      <w:pPr>
        <w:numPr>
          <w:ilvl w:val="0"/>
          <w:numId w:val="61"/>
        </w:numPr>
        <w:spacing w:line="276" w:lineRule="auto"/>
        <w:rPr>
          <w:rFonts w:cstheme="minorHAnsi"/>
        </w:rPr>
      </w:pPr>
      <w:r w:rsidRPr="00862EFB">
        <w:rPr>
          <w:rFonts w:cstheme="minorHAnsi"/>
        </w:rPr>
        <w:t>Ensure all interview materials are to hand</w:t>
      </w:r>
    </w:p>
    <w:p w14:paraId="1A698C31" w14:textId="77777777" w:rsidR="008A7196" w:rsidRPr="00862EFB" w:rsidRDefault="008A7196">
      <w:pPr>
        <w:numPr>
          <w:ilvl w:val="0"/>
          <w:numId w:val="61"/>
        </w:numPr>
        <w:spacing w:line="276" w:lineRule="auto"/>
        <w:rPr>
          <w:rFonts w:cstheme="minorHAnsi"/>
        </w:rPr>
      </w:pPr>
      <w:r w:rsidRPr="00862EFB">
        <w:rPr>
          <w:rFonts w:cstheme="minorHAnsi"/>
        </w:rPr>
        <w:t>Ensure participants have completed the required paperwork, to date.</w:t>
      </w:r>
    </w:p>
    <w:p w14:paraId="5E33F822" w14:textId="77777777" w:rsidR="008A7196" w:rsidRPr="00862EFB" w:rsidRDefault="008A7196" w:rsidP="008A7196">
      <w:pPr>
        <w:rPr>
          <w:rFonts w:cstheme="minorHAnsi"/>
        </w:rPr>
      </w:pPr>
    </w:p>
    <w:p w14:paraId="0AC3235F" w14:textId="77777777" w:rsidR="008A7196" w:rsidRPr="00862EFB" w:rsidRDefault="008A7196" w:rsidP="008A7196">
      <w:pPr>
        <w:rPr>
          <w:rFonts w:cstheme="minorHAnsi"/>
        </w:rPr>
      </w:pPr>
      <w:r w:rsidRPr="00862EFB">
        <w:rPr>
          <w:rFonts w:cstheme="minorHAnsi"/>
        </w:rPr>
        <w:t>During interview:</w:t>
      </w:r>
    </w:p>
    <w:p w14:paraId="7B30A004" w14:textId="77777777" w:rsidR="008A7196" w:rsidRPr="00862EFB" w:rsidRDefault="008A7196" w:rsidP="008A7196">
      <w:pPr>
        <w:rPr>
          <w:rFonts w:cstheme="minorHAnsi"/>
        </w:rPr>
      </w:pPr>
    </w:p>
    <w:p w14:paraId="1377B59D" w14:textId="77777777" w:rsidR="008A7196" w:rsidRPr="00862EFB" w:rsidRDefault="008A7196" w:rsidP="008A7196">
      <w:pPr>
        <w:rPr>
          <w:rFonts w:cstheme="minorHAnsi"/>
        </w:rPr>
      </w:pPr>
      <w:r w:rsidRPr="00862EFB">
        <w:rPr>
          <w:rFonts w:cstheme="minorHAnsi"/>
        </w:rPr>
        <w:t>Introduction (approx 5 minutes:)</w:t>
      </w:r>
    </w:p>
    <w:p w14:paraId="727EFAC2" w14:textId="77777777" w:rsidR="008A7196" w:rsidRPr="00862EFB" w:rsidRDefault="008A7196">
      <w:pPr>
        <w:numPr>
          <w:ilvl w:val="0"/>
          <w:numId w:val="62"/>
        </w:numPr>
        <w:spacing w:line="276" w:lineRule="auto"/>
        <w:rPr>
          <w:rFonts w:cstheme="minorHAnsi"/>
        </w:rPr>
      </w:pPr>
      <w:r w:rsidRPr="00862EFB">
        <w:rPr>
          <w:rFonts w:cstheme="minorHAnsi"/>
        </w:rPr>
        <w:t>Overview of project</w:t>
      </w:r>
    </w:p>
    <w:p w14:paraId="0C66E38F" w14:textId="77777777" w:rsidR="008A7196" w:rsidRPr="00862EFB" w:rsidRDefault="008A7196">
      <w:pPr>
        <w:numPr>
          <w:ilvl w:val="0"/>
          <w:numId w:val="62"/>
        </w:numPr>
        <w:spacing w:line="276" w:lineRule="auto"/>
        <w:rPr>
          <w:rFonts w:cstheme="minorHAnsi"/>
        </w:rPr>
      </w:pPr>
      <w:r w:rsidRPr="00862EFB">
        <w:rPr>
          <w:rFonts w:cstheme="minorHAnsi"/>
        </w:rPr>
        <w:lastRenderedPageBreak/>
        <w:t xml:space="preserve">Aims of project; </w:t>
      </w:r>
      <w:r w:rsidRPr="00862EFB">
        <w:rPr>
          <w:rFonts w:eastAsia="Calibri" w:cstheme="minorHAnsi"/>
        </w:rPr>
        <w:t>To assess the adherence, compliance and acceptability of the exercise regime. To assess the tolerance and acceptability of consuming the nutritional component(s).</w:t>
      </w:r>
    </w:p>
    <w:p w14:paraId="62349AD2"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Outline the structure of the interview; several open ended questions relating to aims and objectives</w:t>
      </w:r>
    </w:p>
    <w:p w14:paraId="17245B22"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Follow up questions may be asked</w:t>
      </w:r>
    </w:p>
    <w:p w14:paraId="68C8EFF4"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Interview will be recorded but recordings will be deleted when they are written up</w:t>
      </w:r>
    </w:p>
    <w:p w14:paraId="7FAA6437"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Strictly confidential - identifiable information will be removed during the write up</w:t>
      </w:r>
    </w:p>
    <w:p w14:paraId="46D3867E"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Information will be stored in accordance with regulations (these were outlined on the participant information sheet.)</w:t>
      </w:r>
    </w:p>
    <w:p w14:paraId="3BDB7AFF"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Participants do not need to answer a question, if they do not wish.</w:t>
      </w:r>
    </w:p>
    <w:p w14:paraId="6E0A5FB3" w14:textId="77777777" w:rsidR="008A7196" w:rsidRPr="00862EFB" w:rsidRDefault="008A7196">
      <w:pPr>
        <w:numPr>
          <w:ilvl w:val="0"/>
          <w:numId w:val="62"/>
        </w:numPr>
        <w:spacing w:line="276" w:lineRule="auto"/>
        <w:rPr>
          <w:rFonts w:eastAsia="Calibri" w:cstheme="minorHAnsi"/>
        </w:rPr>
      </w:pPr>
      <w:r w:rsidRPr="00862EFB">
        <w:rPr>
          <w:rFonts w:eastAsia="Calibri" w:cstheme="minorHAnsi"/>
        </w:rPr>
        <w:t>Participants are encouraged to ask for clarification on any questions that are unclear.</w:t>
      </w:r>
    </w:p>
    <w:p w14:paraId="1F0658C8" w14:textId="77777777" w:rsidR="008A7196" w:rsidRPr="00862EFB" w:rsidRDefault="008A7196" w:rsidP="008A7196">
      <w:pPr>
        <w:rPr>
          <w:rFonts w:eastAsia="Calibri" w:cstheme="minorHAnsi"/>
        </w:rPr>
      </w:pPr>
    </w:p>
    <w:p w14:paraId="5188A2C8" w14:textId="77777777" w:rsidR="008A7196" w:rsidRPr="00862EFB" w:rsidRDefault="008A7196" w:rsidP="008A7196">
      <w:pPr>
        <w:rPr>
          <w:rFonts w:eastAsia="Calibri" w:cstheme="minorHAnsi"/>
        </w:rPr>
      </w:pPr>
      <w:r w:rsidRPr="00862EFB">
        <w:rPr>
          <w:rFonts w:eastAsia="Calibri" w:cstheme="minorHAnsi"/>
        </w:rPr>
        <w:t>Part 1:</w:t>
      </w:r>
    </w:p>
    <w:p w14:paraId="01D9C05B" w14:textId="77777777" w:rsidR="008A7196" w:rsidRPr="00862EFB" w:rsidRDefault="008A7196" w:rsidP="008A7196">
      <w:pPr>
        <w:rPr>
          <w:rFonts w:eastAsia="Calibri" w:cstheme="minorHAnsi"/>
        </w:rPr>
      </w:pPr>
      <w:r w:rsidRPr="00862EFB">
        <w:rPr>
          <w:rFonts w:eastAsia="Calibri" w:cstheme="minorHAnsi"/>
        </w:rPr>
        <w:t>Gather contextual evidence - find out about participants lifestyle, particularly with regard to physical activity levels and diet. (approx 5 minutes)</w:t>
      </w:r>
    </w:p>
    <w:p w14:paraId="19B5138A" w14:textId="77777777" w:rsidR="008A7196" w:rsidRPr="00862EFB" w:rsidRDefault="008A7196">
      <w:pPr>
        <w:numPr>
          <w:ilvl w:val="0"/>
          <w:numId w:val="57"/>
        </w:numPr>
        <w:spacing w:line="276" w:lineRule="auto"/>
        <w:rPr>
          <w:rFonts w:eastAsia="Calibri" w:cstheme="minorHAnsi"/>
        </w:rPr>
      </w:pPr>
      <w:r w:rsidRPr="00862EFB">
        <w:rPr>
          <w:rFonts w:eastAsia="Calibri" w:cstheme="minorHAnsi"/>
        </w:rPr>
        <w:t>Please could you elaborate on why you chose to engage in this study?</w:t>
      </w:r>
    </w:p>
    <w:p w14:paraId="52BB5C9E" w14:textId="77777777" w:rsidR="008A7196" w:rsidRPr="00862EFB" w:rsidRDefault="008A7196">
      <w:pPr>
        <w:numPr>
          <w:ilvl w:val="0"/>
          <w:numId w:val="57"/>
        </w:numPr>
        <w:spacing w:line="276" w:lineRule="auto"/>
        <w:rPr>
          <w:rFonts w:eastAsia="Calibri" w:cstheme="minorHAnsi"/>
        </w:rPr>
      </w:pPr>
      <w:r w:rsidRPr="00862EFB">
        <w:rPr>
          <w:rFonts w:eastAsia="Calibri" w:cstheme="minorHAnsi"/>
        </w:rPr>
        <w:t>Please tell me about about your weekly routine</w:t>
      </w:r>
    </w:p>
    <w:p w14:paraId="78DCEED0" w14:textId="77777777" w:rsidR="008A7196" w:rsidRPr="00862EFB" w:rsidRDefault="008A7196">
      <w:pPr>
        <w:numPr>
          <w:ilvl w:val="0"/>
          <w:numId w:val="57"/>
        </w:numPr>
        <w:spacing w:line="276" w:lineRule="auto"/>
        <w:rPr>
          <w:rFonts w:eastAsia="Calibri" w:cstheme="minorHAnsi"/>
        </w:rPr>
      </w:pPr>
      <w:r w:rsidRPr="00862EFB">
        <w:rPr>
          <w:rFonts w:eastAsia="Calibri" w:cstheme="minorHAnsi"/>
        </w:rPr>
        <w:t>Is your job quite sedentary?</w:t>
      </w:r>
    </w:p>
    <w:p w14:paraId="4EC2A476" w14:textId="77777777" w:rsidR="008A7196" w:rsidRPr="00862EFB" w:rsidRDefault="008A7196">
      <w:pPr>
        <w:numPr>
          <w:ilvl w:val="0"/>
          <w:numId w:val="57"/>
        </w:numPr>
        <w:spacing w:line="276" w:lineRule="auto"/>
        <w:rPr>
          <w:rFonts w:eastAsia="Calibri" w:cstheme="minorHAnsi"/>
        </w:rPr>
      </w:pPr>
      <w:r w:rsidRPr="00862EFB">
        <w:rPr>
          <w:rFonts w:eastAsia="Calibri" w:cstheme="minorHAnsi"/>
        </w:rPr>
        <w:t>How many sessions/minutes did you purposely engage in PA prior to the study?</w:t>
      </w:r>
    </w:p>
    <w:p w14:paraId="1C2C294C" w14:textId="77777777" w:rsidR="008A7196" w:rsidRPr="00862EFB" w:rsidRDefault="008A7196">
      <w:pPr>
        <w:numPr>
          <w:ilvl w:val="0"/>
          <w:numId w:val="57"/>
        </w:numPr>
        <w:spacing w:line="276" w:lineRule="auto"/>
        <w:rPr>
          <w:rFonts w:eastAsia="Calibri" w:cstheme="minorHAnsi"/>
        </w:rPr>
      </w:pPr>
      <w:r w:rsidRPr="00862EFB">
        <w:rPr>
          <w:rFonts w:eastAsia="Calibri" w:cstheme="minorHAnsi"/>
        </w:rPr>
        <w:t>How would you describe your general fitness level.</w:t>
      </w:r>
    </w:p>
    <w:p w14:paraId="653907B2" w14:textId="77777777" w:rsidR="008A7196" w:rsidRPr="00862EFB" w:rsidRDefault="008A7196">
      <w:pPr>
        <w:numPr>
          <w:ilvl w:val="0"/>
          <w:numId w:val="57"/>
        </w:numPr>
        <w:spacing w:line="276" w:lineRule="auto"/>
        <w:rPr>
          <w:rFonts w:eastAsia="Calibri" w:cstheme="minorHAnsi"/>
        </w:rPr>
      </w:pPr>
      <w:r w:rsidRPr="00862EFB">
        <w:rPr>
          <w:rFonts w:eastAsia="Calibri" w:cstheme="minorHAnsi"/>
        </w:rPr>
        <w:t>How would you describe your overall diet?</w:t>
      </w:r>
    </w:p>
    <w:p w14:paraId="57E9359E" w14:textId="77777777" w:rsidR="008A7196" w:rsidRPr="00862EFB" w:rsidRDefault="008A7196" w:rsidP="008A7196">
      <w:pPr>
        <w:rPr>
          <w:rFonts w:cstheme="minorHAnsi"/>
        </w:rPr>
      </w:pPr>
    </w:p>
    <w:p w14:paraId="28BAD534" w14:textId="77777777" w:rsidR="008A7196" w:rsidRPr="00862EFB" w:rsidRDefault="008A7196" w:rsidP="008A7196">
      <w:pPr>
        <w:rPr>
          <w:rFonts w:cstheme="minorHAnsi"/>
        </w:rPr>
      </w:pPr>
      <w:r w:rsidRPr="00862EFB">
        <w:rPr>
          <w:rFonts w:cstheme="minorHAnsi"/>
        </w:rPr>
        <w:t>Part 2:</w:t>
      </w:r>
    </w:p>
    <w:p w14:paraId="2291E776" w14:textId="77777777" w:rsidR="008A7196" w:rsidRPr="00862EFB" w:rsidRDefault="008A7196" w:rsidP="008A7196">
      <w:pPr>
        <w:rPr>
          <w:rFonts w:cstheme="minorHAnsi"/>
        </w:rPr>
      </w:pPr>
      <w:r w:rsidRPr="00862EFB">
        <w:rPr>
          <w:rFonts w:cstheme="minorHAnsi"/>
        </w:rPr>
        <w:t>Exercise intervention (approximately 15-20 minutes:)</w:t>
      </w:r>
    </w:p>
    <w:p w14:paraId="52695CDA" w14:textId="77777777" w:rsidR="008A7196" w:rsidRPr="00862EFB" w:rsidRDefault="008A7196">
      <w:pPr>
        <w:numPr>
          <w:ilvl w:val="0"/>
          <w:numId w:val="59"/>
        </w:numPr>
        <w:spacing w:line="276" w:lineRule="auto"/>
        <w:rPr>
          <w:rFonts w:cstheme="minorHAnsi"/>
        </w:rPr>
      </w:pPr>
      <w:r w:rsidRPr="00862EFB">
        <w:rPr>
          <w:rFonts w:cstheme="minorHAnsi"/>
        </w:rPr>
        <w:t>Did you attend most/all of the exercise sessions?</w:t>
      </w:r>
    </w:p>
    <w:p w14:paraId="2F1BFFDF" w14:textId="77777777" w:rsidR="008A7196" w:rsidRPr="00862EFB" w:rsidRDefault="008A7196">
      <w:pPr>
        <w:numPr>
          <w:ilvl w:val="0"/>
          <w:numId w:val="59"/>
        </w:numPr>
        <w:spacing w:line="276" w:lineRule="auto"/>
        <w:rPr>
          <w:rFonts w:cstheme="minorHAnsi"/>
        </w:rPr>
      </w:pPr>
      <w:r w:rsidRPr="00862EFB">
        <w:rPr>
          <w:rFonts w:cstheme="minorHAnsi"/>
        </w:rPr>
        <w:t>What were your reasons behind not attending, if any were missed?</w:t>
      </w:r>
    </w:p>
    <w:p w14:paraId="6033DE55" w14:textId="77777777" w:rsidR="008A7196" w:rsidRPr="00862EFB" w:rsidRDefault="008A7196">
      <w:pPr>
        <w:numPr>
          <w:ilvl w:val="0"/>
          <w:numId w:val="59"/>
        </w:numPr>
        <w:spacing w:line="276" w:lineRule="auto"/>
        <w:rPr>
          <w:rFonts w:cstheme="minorHAnsi"/>
        </w:rPr>
      </w:pPr>
      <w:r w:rsidRPr="00862EFB">
        <w:rPr>
          <w:rFonts w:cstheme="minorHAnsi"/>
        </w:rPr>
        <w:t>When did you find sessions easiest to attend</w:t>
      </w:r>
    </w:p>
    <w:p w14:paraId="40E5584B" w14:textId="77777777" w:rsidR="008A7196" w:rsidRPr="00862EFB" w:rsidRDefault="008A7196">
      <w:pPr>
        <w:numPr>
          <w:ilvl w:val="0"/>
          <w:numId w:val="59"/>
        </w:numPr>
        <w:spacing w:line="276" w:lineRule="auto"/>
        <w:rPr>
          <w:rFonts w:cstheme="minorHAnsi"/>
        </w:rPr>
      </w:pPr>
      <w:r w:rsidRPr="00862EFB">
        <w:rPr>
          <w:rFonts w:cstheme="minorHAnsi"/>
        </w:rPr>
        <w:t>How did you feel just before you were due to take part in a session?</w:t>
      </w:r>
    </w:p>
    <w:p w14:paraId="397900ED" w14:textId="77777777" w:rsidR="008A7196" w:rsidRPr="00862EFB" w:rsidRDefault="008A7196">
      <w:pPr>
        <w:numPr>
          <w:ilvl w:val="0"/>
          <w:numId w:val="59"/>
        </w:numPr>
        <w:spacing w:line="276" w:lineRule="auto"/>
        <w:rPr>
          <w:rFonts w:cstheme="minorHAnsi"/>
        </w:rPr>
      </w:pPr>
      <w:r w:rsidRPr="00862EFB">
        <w:rPr>
          <w:rFonts w:cstheme="minorHAnsi"/>
        </w:rPr>
        <w:t>Please elaborate on how you found the exercise session? Enjoyment, difficulty, motivation…</w:t>
      </w:r>
    </w:p>
    <w:p w14:paraId="7225491B" w14:textId="77777777" w:rsidR="008A7196" w:rsidRPr="00862EFB" w:rsidRDefault="008A7196">
      <w:pPr>
        <w:numPr>
          <w:ilvl w:val="0"/>
          <w:numId w:val="59"/>
        </w:numPr>
        <w:spacing w:line="276" w:lineRule="auto"/>
        <w:rPr>
          <w:rFonts w:cstheme="minorHAnsi"/>
        </w:rPr>
      </w:pPr>
      <w:r w:rsidRPr="00862EFB">
        <w:rPr>
          <w:rFonts w:cstheme="minorHAnsi"/>
        </w:rPr>
        <w:t>How did you find using the resistance bands?</w:t>
      </w:r>
    </w:p>
    <w:p w14:paraId="1B7275D1" w14:textId="77777777" w:rsidR="008A7196" w:rsidRPr="00862EFB" w:rsidRDefault="008A7196">
      <w:pPr>
        <w:numPr>
          <w:ilvl w:val="0"/>
          <w:numId w:val="59"/>
        </w:numPr>
        <w:spacing w:line="276" w:lineRule="auto"/>
        <w:rPr>
          <w:rFonts w:cstheme="minorHAnsi"/>
        </w:rPr>
      </w:pPr>
      <w:r w:rsidRPr="00862EFB">
        <w:rPr>
          <w:rFonts w:cstheme="minorHAnsi"/>
        </w:rPr>
        <w:t>What were your thoughts on completing the exercise sessions via video call?</w:t>
      </w:r>
    </w:p>
    <w:p w14:paraId="111E80B6" w14:textId="77777777" w:rsidR="008A7196" w:rsidRPr="00862EFB" w:rsidRDefault="008A7196">
      <w:pPr>
        <w:numPr>
          <w:ilvl w:val="0"/>
          <w:numId w:val="59"/>
        </w:numPr>
        <w:spacing w:line="276" w:lineRule="auto"/>
        <w:rPr>
          <w:rFonts w:cstheme="minorHAnsi"/>
        </w:rPr>
      </w:pPr>
      <w:r w:rsidRPr="00862EFB">
        <w:rPr>
          <w:rFonts w:cstheme="minorHAnsi"/>
        </w:rPr>
        <w:t>How did you find doing the workouts at home?</w:t>
      </w:r>
    </w:p>
    <w:p w14:paraId="5A3C78EB" w14:textId="77777777" w:rsidR="008A7196" w:rsidRPr="00862EFB" w:rsidRDefault="008A7196">
      <w:pPr>
        <w:numPr>
          <w:ilvl w:val="0"/>
          <w:numId w:val="59"/>
        </w:numPr>
        <w:spacing w:line="276" w:lineRule="auto"/>
        <w:rPr>
          <w:rFonts w:cstheme="minorHAnsi"/>
        </w:rPr>
      </w:pPr>
      <w:r w:rsidRPr="00862EFB">
        <w:rPr>
          <w:rFonts w:cstheme="minorHAnsi"/>
        </w:rPr>
        <w:t>Did you experience any discomfort during or after the exercise?</w:t>
      </w:r>
    </w:p>
    <w:p w14:paraId="5CF7AF0E" w14:textId="77777777" w:rsidR="008A7196" w:rsidRPr="00862EFB" w:rsidRDefault="008A7196">
      <w:pPr>
        <w:numPr>
          <w:ilvl w:val="0"/>
          <w:numId w:val="59"/>
        </w:numPr>
        <w:spacing w:line="276" w:lineRule="auto"/>
        <w:rPr>
          <w:rFonts w:cstheme="minorHAnsi"/>
        </w:rPr>
      </w:pPr>
      <w:r w:rsidRPr="00862EFB">
        <w:rPr>
          <w:rFonts w:cstheme="minorHAnsi"/>
        </w:rPr>
        <w:t>How did you feel, in general, after completing the exercise session?</w:t>
      </w:r>
    </w:p>
    <w:p w14:paraId="25038434" w14:textId="77777777" w:rsidR="008A7196" w:rsidRPr="00862EFB" w:rsidRDefault="008A7196">
      <w:pPr>
        <w:numPr>
          <w:ilvl w:val="0"/>
          <w:numId w:val="59"/>
        </w:numPr>
        <w:spacing w:line="276" w:lineRule="auto"/>
        <w:rPr>
          <w:rFonts w:cstheme="minorHAnsi"/>
        </w:rPr>
      </w:pPr>
      <w:r w:rsidRPr="00862EFB">
        <w:rPr>
          <w:rFonts w:cstheme="minorHAnsi"/>
        </w:rPr>
        <w:t>Do you think you were hungrier/less hungry after the workout?</w:t>
      </w:r>
    </w:p>
    <w:p w14:paraId="12F389BF" w14:textId="77777777" w:rsidR="008A7196" w:rsidRPr="00862EFB" w:rsidRDefault="008A7196">
      <w:pPr>
        <w:numPr>
          <w:ilvl w:val="0"/>
          <w:numId w:val="59"/>
        </w:numPr>
        <w:spacing w:line="276" w:lineRule="auto"/>
        <w:rPr>
          <w:rFonts w:cstheme="minorHAnsi"/>
        </w:rPr>
      </w:pPr>
      <w:r w:rsidRPr="00862EFB">
        <w:rPr>
          <w:rFonts w:cstheme="minorHAnsi"/>
        </w:rPr>
        <w:t>How did you feel in the day or two, following completing a workout session?</w:t>
      </w:r>
    </w:p>
    <w:p w14:paraId="23F82979" w14:textId="77777777" w:rsidR="008A7196" w:rsidRPr="00862EFB" w:rsidRDefault="008A7196">
      <w:pPr>
        <w:numPr>
          <w:ilvl w:val="0"/>
          <w:numId w:val="59"/>
        </w:numPr>
        <w:spacing w:line="276" w:lineRule="auto"/>
        <w:rPr>
          <w:rFonts w:cstheme="minorHAnsi"/>
        </w:rPr>
      </w:pPr>
      <w:r w:rsidRPr="00862EFB">
        <w:rPr>
          <w:rFonts w:cstheme="minorHAnsi"/>
        </w:rPr>
        <w:t>Do you feel like overall, you have gotten stronger/fitter/healthier?</w:t>
      </w:r>
    </w:p>
    <w:p w14:paraId="025BCC92" w14:textId="77777777" w:rsidR="008A7196" w:rsidRPr="00862EFB" w:rsidRDefault="008A7196">
      <w:pPr>
        <w:numPr>
          <w:ilvl w:val="0"/>
          <w:numId w:val="59"/>
        </w:numPr>
        <w:spacing w:line="276" w:lineRule="auto"/>
        <w:rPr>
          <w:rFonts w:cstheme="minorHAnsi"/>
        </w:rPr>
      </w:pPr>
      <w:r w:rsidRPr="00862EFB">
        <w:rPr>
          <w:rFonts w:cstheme="minorHAnsi"/>
        </w:rPr>
        <w:t>Did you experience any negative outcomes to undertaking the exercise programme?</w:t>
      </w:r>
    </w:p>
    <w:p w14:paraId="16C3A6B4" w14:textId="77777777" w:rsidR="008A7196" w:rsidRPr="00862EFB" w:rsidRDefault="008A7196">
      <w:pPr>
        <w:numPr>
          <w:ilvl w:val="0"/>
          <w:numId w:val="59"/>
        </w:numPr>
        <w:spacing w:line="276" w:lineRule="auto"/>
        <w:rPr>
          <w:rFonts w:cstheme="minorHAnsi"/>
        </w:rPr>
      </w:pPr>
      <w:r w:rsidRPr="00862EFB">
        <w:rPr>
          <w:rFonts w:cstheme="minorHAnsi"/>
        </w:rPr>
        <w:t xml:space="preserve">Do you have any further comments/suggestions about the exercise programme? </w:t>
      </w:r>
    </w:p>
    <w:p w14:paraId="6ADEFA91" w14:textId="77777777" w:rsidR="008A7196" w:rsidRPr="00862EFB" w:rsidRDefault="008A7196" w:rsidP="008A7196">
      <w:pPr>
        <w:rPr>
          <w:rFonts w:cstheme="minorHAnsi"/>
        </w:rPr>
      </w:pPr>
    </w:p>
    <w:p w14:paraId="073F7FD8" w14:textId="77777777" w:rsidR="008A7196" w:rsidRPr="00862EFB" w:rsidRDefault="008A7196" w:rsidP="008A7196">
      <w:pPr>
        <w:rPr>
          <w:rFonts w:cstheme="minorHAnsi"/>
        </w:rPr>
      </w:pPr>
      <w:r w:rsidRPr="00862EFB">
        <w:rPr>
          <w:rFonts w:cstheme="minorHAnsi"/>
        </w:rPr>
        <w:lastRenderedPageBreak/>
        <w:t>Part 3 (approximately 10-15 minutes:)</w:t>
      </w:r>
    </w:p>
    <w:p w14:paraId="2A183BFD" w14:textId="77777777" w:rsidR="008A7196" w:rsidRPr="00862EFB" w:rsidRDefault="008A7196" w:rsidP="008A7196">
      <w:pPr>
        <w:rPr>
          <w:rFonts w:cstheme="minorHAnsi"/>
        </w:rPr>
      </w:pPr>
      <w:r w:rsidRPr="00862EFB">
        <w:rPr>
          <w:rFonts w:cstheme="minorHAnsi"/>
        </w:rPr>
        <w:t>Nutrition intervention:</w:t>
      </w:r>
    </w:p>
    <w:p w14:paraId="7EC22D6D" w14:textId="77777777" w:rsidR="008A7196" w:rsidRPr="00862EFB" w:rsidRDefault="008A7196">
      <w:pPr>
        <w:numPr>
          <w:ilvl w:val="0"/>
          <w:numId w:val="58"/>
        </w:numPr>
        <w:spacing w:line="276" w:lineRule="auto"/>
        <w:rPr>
          <w:rFonts w:cstheme="minorHAnsi"/>
        </w:rPr>
      </w:pPr>
      <w:r w:rsidRPr="00862EFB">
        <w:rPr>
          <w:rFonts w:cstheme="minorHAnsi"/>
        </w:rPr>
        <w:t>Did you enjoy the taste of the supplement?</w:t>
      </w:r>
    </w:p>
    <w:p w14:paraId="7A55AA9A" w14:textId="77777777" w:rsidR="008A7196" w:rsidRPr="00862EFB" w:rsidRDefault="008A7196">
      <w:pPr>
        <w:numPr>
          <w:ilvl w:val="0"/>
          <w:numId w:val="58"/>
        </w:numPr>
        <w:spacing w:line="276" w:lineRule="auto"/>
        <w:rPr>
          <w:rFonts w:cstheme="minorHAnsi"/>
        </w:rPr>
      </w:pPr>
      <w:r w:rsidRPr="00862EFB">
        <w:rPr>
          <w:rFonts w:cstheme="minorHAnsi"/>
        </w:rPr>
        <w:t>Did you mind the form in which the protein was provided? Palatability</w:t>
      </w:r>
    </w:p>
    <w:p w14:paraId="437EC776" w14:textId="77777777" w:rsidR="008A7196" w:rsidRPr="00862EFB" w:rsidRDefault="008A7196">
      <w:pPr>
        <w:numPr>
          <w:ilvl w:val="0"/>
          <w:numId w:val="58"/>
        </w:numPr>
        <w:spacing w:line="276" w:lineRule="auto"/>
        <w:rPr>
          <w:rFonts w:cstheme="minorHAnsi"/>
        </w:rPr>
      </w:pPr>
      <w:r w:rsidRPr="00862EFB">
        <w:rPr>
          <w:rFonts w:cstheme="minorHAnsi"/>
        </w:rPr>
        <w:t>Did you find the supplement easy/difficult to consume daily?</w:t>
      </w:r>
    </w:p>
    <w:p w14:paraId="71B6DAE6" w14:textId="77777777" w:rsidR="008A7196" w:rsidRPr="00862EFB" w:rsidRDefault="008A7196">
      <w:pPr>
        <w:numPr>
          <w:ilvl w:val="0"/>
          <w:numId w:val="58"/>
        </w:numPr>
        <w:spacing w:line="276" w:lineRule="auto"/>
        <w:rPr>
          <w:rFonts w:cstheme="minorHAnsi"/>
        </w:rPr>
      </w:pPr>
      <w:r w:rsidRPr="00862EFB">
        <w:rPr>
          <w:rFonts w:cstheme="minorHAnsi"/>
        </w:rPr>
        <w:t>Did you not take the supplement, and if so, what were your reasons for this?</w:t>
      </w:r>
    </w:p>
    <w:p w14:paraId="0EF88C04" w14:textId="77777777" w:rsidR="008A7196" w:rsidRPr="00862EFB" w:rsidRDefault="008A7196">
      <w:pPr>
        <w:numPr>
          <w:ilvl w:val="0"/>
          <w:numId w:val="58"/>
        </w:numPr>
        <w:spacing w:line="276" w:lineRule="auto"/>
        <w:rPr>
          <w:rFonts w:cstheme="minorHAnsi"/>
        </w:rPr>
      </w:pPr>
      <w:r w:rsidRPr="00862EFB">
        <w:rPr>
          <w:rFonts w:cstheme="minorHAnsi"/>
        </w:rPr>
        <w:t>How did you feel after consuming the supplement?</w:t>
      </w:r>
    </w:p>
    <w:p w14:paraId="70201CA3" w14:textId="77777777" w:rsidR="008A7196" w:rsidRPr="00862EFB" w:rsidRDefault="008A7196">
      <w:pPr>
        <w:numPr>
          <w:ilvl w:val="0"/>
          <w:numId w:val="58"/>
        </w:numPr>
        <w:spacing w:line="276" w:lineRule="auto"/>
        <w:rPr>
          <w:rFonts w:cstheme="minorHAnsi"/>
        </w:rPr>
      </w:pPr>
      <w:r w:rsidRPr="00862EFB">
        <w:rPr>
          <w:rFonts w:cstheme="minorHAnsi"/>
        </w:rPr>
        <w:t>Did you notice any effects on appetite/hunger following consuming the supplement?</w:t>
      </w:r>
    </w:p>
    <w:p w14:paraId="1AF79958" w14:textId="77777777" w:rsidR="008A7196" w:rsidRPr="00862EFB" w:rsidRDefault="008A7196">
      <w:pPr>
        <w:numPr>
          <w:ilvl w:val="0"/>
          <w:numId w:val="58"/>
        </w:numPr>
        <w:spacing w:line="276" w:lineRule="auto"/>
        <w:rPr>
          <w:rFonts w:cstheme="minorHAnsi"/>
        </w:rPr>
      </w:pPr>
      <w:r w:rsidRPr="00862EFB">
        <w:rPr>
          <w:rFonts w:cstheme="minorHAnsi"/>
        </w:rPr>
        <w:t>Do you think you have made any significant changes to your diet since engaging in the research?</w:t>
      </w:r>
    </w:p>
    <w:p w14:paraId="27C28FD3" w14:textId="77777777" w:rsidR="008A7196" w:rsidRPr="00862EFB" w:rsidRDefault="008A7196" w:rsidP="008A7196">
      <w:pPr>
        <w:rPr>
          <w:rFonts w:cstheme="minorHAnsi"/>
        </w:rPr>
      </w:pPr>
    </w:p>
    <w:p w14:paraId="6E1456BC" w14:textId="77777777" w:rsidR="008A7196" w:rsidRPr="00862EFB" w:rsidRDefault="008A7196" w:rsidP="008A7196">
      <w:pPr>
        <w:rPr>
          <w:rFonts w:cstheme="minorHAnsi"/>
        </w:rPr>
      </w:pPr>
      <w:r w:rsidRPr="00862EFB">
        <w:rPr>
          <w:rFonts w:cstheme="minorHAnsi"/>
        </w:rPr>
        <w:t>Part 4 (approximately 10-15 minutes:)</w:t>
      </w:r>
    </w:p>
    <w:p w14:paraId="1D505645" w14:textId="77777777" w:rsidR="008A7196" w:rsidRPr="00862EFB" w:rsidRDefault="008A7196" w:rsidP="008A7196">
      <w:pPr>
        <w:rPr>
          <w:rFonts w:cstheme="minorHAnsi"/>
        </w:rPr>
      </w:pPr>
      <w:r w:rsidRPr="00862EFB">
        <w:rPr>
          <w:rFonts w:cstheme="minorHAnsi"/>
        </w:rPr>
        <w:t>Behaviour changes</w:t>
      </w:r>
    </w:p>
    <w:p w14:paraId="2E0A652B" w14:textId="77777777" w:rsidR="008A7196" w:rsidRPr="00862EFB" w:rsidRDefault="008A7196">
      <w:pPr>
        <w:numPr>
          <w:ilvl w:val="0"/>
          <w:numId w:val="54"/>
        </w:numPr>
        <w:spacing w:line="276" w:lineRule="auto"/>
        <w:rPr>
          <w:rFonts w:cstheme="minorHAnsi"/>
        </w:rPr>
      </w:pPr>
      <w:r w:rsidRPr="00862EFB">
        <w:rPr>
          <w:rFonts w:cstheme="minorHAnsi"/>
        </w:rPr>
        <w:t>Did you engage in any further physical, outside of the delivered zoom sessions, that you would not normally undertake, during the course of the study?</w:t>
      </w:r>
    </w:p>
    <w:p w14:paraId="5FD7DCC4" w14:textId="77777777" w:rsidR="008A7196" w:rsidRPr="00862EFB" w:rsidRDefault="008A7196">
      <w:pPr>
        <w:numPr>
          <w:ilvl w:val="0"/>
          <w:numId w:val="54"/>
        </w:numPr>
        <w:spacing w:line="276" w:lineRule="auto"/>
        <w:rPr>
          <w:rFonts w:cstheme="minorHAnsi"/>
        </w:rPr>
      </w:pPr>
      <w:r w:rsidRPr="00862EFB">
        <w:rPr>
          <w:rFonts w:cstheme="minorHAnsi"/>
        </w:rPr>
        <w:t>Do you think you will continue to engage in resistance training, at some level?</w:t>
      </w:r>
    </w:p>
    <w:p w14:paraId="773D233E" w14:textId="77777777" w:rsidR="008A7196" w:rsidRPr="00862EFB" w:rsidRDefault="008A7196">
      <w:pPr>
        <w:numPr>
          <w:ilvl w:val="0"/>
          <w:numId w:val="54"/>
        </w:numPr>
        <w:spacing w:line="276" w:lineRule="auto"/>
        <w:rPr>
          <w:rFonts w:cstheme="minorHAnsi"/>
        </w:rPr>
      </w:pPr>
      <w:r w:rsidRPr="00862EFB">
        <w:rPr>
          <w:rFonts w:cstheme="minorHAnsi"/>
        </w:rPr>
        <w:t>Are there any changes in your mood that you are aware of?</w:t>
      </w:r>
    </w:p>
    <w:p w14:paraId="7F7DEBC5" w14:textId="77777777" w:rsidR="008A7196" w:rsidRPr="00862EFB" w:rsidRDefault="008A7196">
      <w:pPr>
        <w:numPr>
          <w:ilvl w:val="0"/>
          <w:numId w:val="54"/>
        </w:numPr>
        <w:spacing w:line="276" w:lineRule="auto"/>
        <w:rPr>
          <w:rFonts w:cstheme="minorHAnsi"/>
        </w:rPr>
      </w:pPr>
      <w:r w:rsidRPr="00862EFB">
        <w:rPr>
          <w:rFonts w:cstheme="minorHAnsi"/>
        </w:rPr>
        <w:t>Did engaging in the research make you change any other aspect of your daily life/routine</w:t>
      </w:r>
    </w:p>
    <w:p w14:paraId="1CCAD449" w14:textId="77777777" w:rsidR="008A7196" w:rsidRPr="00862EFB" w:rsidRDefault="008A7196">
      <w:pPr>
        <w:numPr>
          <w:ilvl w:val="0"/>
          <w:numId w:val="54"/>
        </w:numPr>
        <w:spacing w:line="276" w:lineRule="auto"/>
        <w:rPr>
          <w:rFonts w:cstheme="minorHAnsi"/>
        </w:rPr>
      </w:pPr>
      <w:r w:rsidRPr="00862EFB">
        <w:rPr>
          <w:rFonts w:cstheme="minorHAnsi"/>
        </w:rPr>
        <w:t>Have you learnt anything since engaging with this research?</w:t>
      </w:r>
    </w:p>
    <w:p w14:paraId="2C3EC7C4" w14:textId="77777777" w:rsidR="008A7196" w:rsidRPr="00862EFB" w:rsidRDefault="008A7196" w:rsidP="008A7196">
      <w:pPr>
        <w:rPr>
          <w:rFonts w:cstheme="minorHAnsi"/>
        </w:rPr>
      </w:pPr>
    </w:p>
    <w:p w14:paraId="7F827C79" w14:textId="77777777" w:rsidR="008A7196" w:rsidRPr="00862EFB" w:rsidRDefault="008A7196" w:rsidP="008A7196">
      <w:pPr>
        <w:rPr>
          <w:rFonts w:cstheme="minorHAnsi"/>
        </w:rPr>
      </w:pPr>
      <w:r w:rsidRPr="00862EFB">
        <w:rPr>
          <w:rFonts w:cstheme="minorHAnsi"/>
        </w:rPr>
        <w:t>Part 5 (approximately 5 minutes)</w:t>
      </w:r>
    </w:p>
    <w:p w14:paraId="4BEE18BB" w14:textId="77777777" w:rsidR="008A7196" w:rsidRPr="00862EFB" w:rsidRDefault="008A7196" w:rsidP="008A7196">
      <w:pPr>
        <w:rPr>
          <w:rFonts w:cstheme="minorHAnsi"/>
        </w:rPr>
      </w:pPr>
      <w:r w:rsidRPr="00862EFB">
        <w:rPr>
          <w:rFonts w:cstheme="minorHAnsi"/>
        </w:rPr>
        <w:t>Conclusion.</w:t>
      </w:r>
    </w:p>
    <w:p w14:paraId="083791A2" w14:textId="77777777" w:rsidR="008A7196" w:rsidRPr="00862EFB" w:rsidRDefault="008A7196">
      <w:pPr>
        <w:numPr>
          <w:ilvl w:val="0"/>
          <w:numId w:val="55"/>
        </w:numPr>
        <w:spacing w:line="276" w:lineRule="auto"/>
        <w:rPr>
          <w:rFonts w:cstheme="minorHAnsi"/>
        </w:rPr>
      </w:pPr>
      <w:r w:rsidRPr="00862EFB">
        <w:rPr>
          <w:rFonts w:cstheme="minorHAnsi"/>
        </w:rPr>
        <w:t>Overall highs/lows of engaging with the research?</w:t>
      </w:r>
    </w:p>
    <w:p w14:paraId="56DAA335" w14:textId="77777777" w:rsidR="008A7196" w:rsidRPr="00862EFB" w:rsidRDefault="008A7196">
      <w:pPr>
        <w:numPr>
          <w:ilvl w:val="0"/>
          <w:numId w:val="55"/>
        </w:numPr>
        <w:spacing w:line="276" w:lineRule="auto"/>
        <w:rPr>
          <w:rFonts w:cstheme="minorHAnsi"/>
        </w:rPr>
      </w:pPr>
      <w:r w:rsidRPr="00862EFB">
        <w:rPr>
          <w:rFonts w:cstheme="minorHAnsi"/>
        </w:rPr>
        <w:t>Any questions?</w:t>
      </w:r>
    </w:p>
    <w:p w14:paraId="1CB3FA4E" w14:textId="77777777" w:rsidR="008A7196" w:rsidRPr="00862EFB" w:rsidRDefault="008A7196">
      <w:pPr>
        <w:numPr>
          <w:ilvl w:val="0"/>
          <w:numId w:val="55"/>
        </w:numPr>
        <w:spacing w:line="276" w:lineRule="auto"/>
        <w:rPr>
          <w:rFonts w:cstheme="minorHAnsi"/>
        </w:rPr>
      </w:pPr>
      <w:r w:rsidRPr="00862EFB">
        <w:rPr>
          <w:rFonts w:cstheme="minorHAnsi"/>
        </w:rPr>
        <w:t>Any feedback on any aspect of the trial (including the discussion/questions we’ve had today?)</w:t>
      </w:r>
    </w:p>
    <w:p w14:paraId="3F9631D7" w14:textId="77777777" w:rsidR="008A7196" w:rsidRPr="00862EFB" w:rsidRDefault="008A7196">
      <w:pPr>
        <w:numPr>
          <w:ilvl w:val="0"/>
          <w:numId w:val="55"/>
        </w:numPr>
        <w:spacing w:line="276" w:lineRule="auto"/>
        <w:rPr>
          <w:rFonts w:cstheme="minorHAnsi"/>
        </w:rPr>
      </w:pPr>
      <w:r w:rsidRPr="00862EFB">
        <w:rPr>
          <w:rFonts w:cstheme="minorHAnsi"/>
        </w:rPr>
        <w:t>Overall views</w:t>
      </w:r>
    </w:p>
    <w:p w14:paraId="0002E518" w14:textId="77777777" w:rsidR="008A7196" w:rsidRPr="00862EFB" w:rsidRDefault="008A7196">
      <w:pPr>
        <w:numPr>
          <w:ilvl w:val="0"/>
          <w:numId w:val="55"/>
        </w:numPr>
        <w:spacing w:line="276" w:lineRule="auto"/>
        <w:rPr>
          <w:rFonts w:cstheme="minorHAnsi"/>
        </w:rPr>
      </w:pPr>
      <w:r w:rsidRPr="00862EFB">
        <w:rPr>
          <w:rFonts w:cstheme="minorHAnsi"/>
        </w:rPr>
        <w:t>Any final comments/thoughts?</w:t>
      </w:r>
    </w:p>
    <w:p w14:paraId="0A1B70FC" w14:textId="77777777" w:rsidR="008A7196" w:rsidRPr="00862EFB" w:rsidRDefault="008A7196" w:rsidP="008A7196">
      <w:pPr>
        <w:rPr>
          <w:rFonts w:cstheme="minorHAnsi"/>
        </w:rPr>
      </w:pPr>
    </w:p>
    <w:p w14:paraId="59CA2DEB" w14:textId="77777777" w:rsidR="008A7196" w:rsidRPr="00862EFB" w:rsidRDefault="008A7196" w:rsidP="008A7196">
      <w:pPr>
        <w:rPr>
          <w:rFonts w:cstheme="minorHAnsi"/>
        </w:rPr>
        <w:sectPr w:rsidR="008A7196" w:rsidRPr="00862EFB" w:rsidSect="00E06A7F">
          <w:pgSz w:w="11900" w:h="16840"/>
          <w:pgMar w:top="1440" w:right="1440" w:bottom="1440" w:left="1440" w:header="708" w:footer="708" w:gutter="0"/>
          <w:cols w:space="708"/>
          <w:docGrid w:linePitch="360"/>
        </w:sectPr>
      </w:pPr>
      <w:r w:rsidRPr="00862EFB">
        <w:rPr>
          <w:rFonts w:cstheme="minorHAnsi"/>
        </w:rPr>
        <w:t>THANK YOU.</w:t>
      </w:r>
    </w:p>
    <w:p w14:paraId="3C5064CA" w14:textId="77777777" w:rsidR="008A7196" w:rsidRPr="00862EFB" w:rsidRDefault="008A7196" w:rsidP="008A7196">
      <w:pPr>
        <w:rPr>
          <w:rFonts w:cstheme="minorHAnsi"/>
        </w:rPr>
      </w:pPr>
      <w:r w:rsidRPr="00862EFB">
        <w:rPr>
          <w:rFonts w:cstheme="minorHAnsi"/>
        </w:rPr>
        <w:lastRenderedPageBreak/>
        <w:t>Appendix 19: Visit 1 and 2 measurement forms</w:t>
      </w:r>
    </w:p>
    <w:p w14:paraId="733760A3" w14:textId="77777777" w:rsidR="008A7196" w:rsidRPr="00862EFB" w:rsidRDefault="008A7196" w:rsidP="008A7196">
      <w:pPr>
        <w:rPr>
          <w:rFonts w:cstheme="minorHAnsi"/>
          <w:b/>
          <w:bCs/>
        </w:rPr>
      </w:pPr>
      <w:r w:rsidRPr="00862EFB">
        <w:rPr>
          <w:rFonts w:cstheme="minorHAnsi"/>
          <w:b/>
          <w:bCs/>
        </w:rPr>
        <w:t xml:space="preserve">Participant Demographic information </w:t>
      </w:r>
    </w:p>
    <w:p w14:paraId="2E834374" w14:textId="77777777" w:rsidR="008A7196" w:rsidRPr="00862EFB" w:rsidRDefault="008A7196" w:rsidP="008A7196">
      <w:pPr>
        <w:rPr>
          <w:rFonts w:cstheme="minorHAnsi"/>
        </w:rPr>
      </w:pPr>
    </w:p>
    <w:p w14:paraId="7CBF84E4" w14:textId="77777777" w:rsidR="008A7196" w:rsidRPr="00862EFB" w:rsidRDefault="008A7196" w:rsidP="008A7196">
      <w:pPr>
        <w:spacing w:after="200" w:line="360" w:lineRule="auto"/>
        <w:jc w:val="both"/>
        <w:rPr>
          <w:rFonts w:cstheme="minorHAnsi"/>
          <w:b/>
        </w:rPr>
      </w:pPr>
      <w:r w:rsidRPr="00862EFB">
        <w:rPr>
          <w:rFonts w:cstheme="minorHAnsi"/>
        </w:rPr>
        <w:t>Date:</w:t>
      </w:r>
      <w:r w:rsidRPr="00862EFB">
        <w:rPr>
          <w:rFonts w:cstheme="minorHAnsi"/>
          <w:b/>
        </w:rPr>
        <w:t xml:space="preserve"> ____________          </w:t>
      </w:r>
      <w:r w:rsidRPr="00862EFB">
        <w:rPr>
          <w:rFonts w:cstheme="minorHAnsi"/>
          <w:b/>
        </w:rPr>
        <w:tab/>
      </w:r>
      <w:r w:rsidRPr="00862EFB">
        <w:rPr>
          <w:rFonts w:cstheme="minorHAnsi"/>
        </w:rPr>
        <w:t>Participant number:</w:t>
      </w:r>
      <w:r w:rsidRPr="00862EFB">
        <w:rPr>
          <w:rFonts w:cstheme="minorHAnsi"/>
          <w:b/>
        </w:rPr>
        <w:t xml:space="preserve"> __________________</w:t>
      </w:r>
    </w:p>
    <w:p w14:paraId="5A5A112B" w14:textId="77777777" w:rsidR="008A7196" w:rsidRPr="00862EFB" w:rsidRDefault="008A7196" w:rsidP="008A7196">
      <w:pPr>
        <w:spacing w:after="200" w:line="360" w:lineRule="auto"/>
        <w:jc w:val="both"/>
        <w:rPr>
          <w:rFonts w:cstheme="minorHAnsi"/>
        </w:rPr>
      </w:pPr>
      <w:r w:rsidRPr="00862EFB">
        <w:rPr>
          <w:rFonts w:cstheme="minorHAnsi"/>
        </w:rPr>
        <w:t>Contact details: __________________________________ Mobile: ____________</w:t>
      </w:r>
    </w:p>
    <w:p w14:paraId="4C517FA7" w14:textId="77777777" w:rsidR="008A7196" w:rsidRPr="00862EFB" w:rsidRDefault="008A7196" w:rsidP="008A7196">
      <w:pPr>
        <w:spacing w:after="200" w:line="360" w:lineRule="auto"/>
        <w:jc w:val="both"/>
        <w:rPr>
          <w:rFonts w:cstheme="minorHAnsi"/>
          <w:b/>
        </w:rPr>
      </w:pPr>
      <w:r w:rsidRPr="00862EFB">
        <w:rPr>
          <w:rFonts w:cstheme="minorHAnsi"/>
          <w:b/>
        </w:rPr>
        <w:t>If you are not comfortable providing any of the following information/measurements, that is no problem – we do not need to take any measurement you do not wish to provide.</w:t>
      </w:r>
    </w:p>
    <w:p w14:paraId="6D9B0C1F" w14:textId="77777777" w:rsidR="008A7196" w:rsidRPr="00862EFB" w:rsidRDefault="008A7196" w:rsidP="008A7196">
      <w:pPr>
        <w:spacing w:after="200" w:line="360" w:lineRule="auto"/>
        <w:jc w:val="both"/>
        <w:rPr>
          <w:rFonts w:cstheme="minorHAnsi"/>
          <w:bCs/>
        </w:rPr>
      </w:pPr>
      <w:r w:rsidRPr="00862EFB">
        <w:rPr>
          <w:rFonts w:cstheme="minorHAnsi"/>
          <w:bCs/>
        </w:rPr>
        <w:t xml:space="preserve">Description of ethnic group:_____________* (see laminated sheet, please use the number that you feel best describes your ethnicity) </w:t>
      </w:r>
    </w:p>
    <w:p w14:paraId="702CF506" w14:textId="77777777" w:rsidR="008A7196" w:rsidRPr="00862EFB" w:rsidRDefault="008A7196" w:rsidP="008A7196">
      <w:pPr>
        <w:spacing w:after="200" w:line="360" w:lineRule="auto"/>
        <w:jc w:val="both"/>
        <w:rPr>
          <w:rFonts w:cstheme="minorHAnsi"/>
          <w:b/>
          <w:bCs/>
        </w:rPr>
      </w:pPr>
      <w:r w:rsidRPr="00862EFB">
        <w:rPr>
          <w:rFonts w:cstheme="minorHAnsi"/>
          <w:bCs/>
        </w:rPr>
        <w:t>Description of gender</w:t>
      </w:r>
      <w:r w:rsidRPr="00862EFB">
        <w:rPr>
          <w:rFonts w:cstheme="minorHAnsi"/>
        </w:rPr>
        <w:t xml:space="preserve">: Male </w:t>
      </w:r>
      <w:r w:rsidRPr="00862EFB">
        <w:rPr>
          <w:rFonts w:ascii="Segoe UI Symbol" w:eastAsia="MS Gothic" w:hAnsi="Segoe UI Symbol" w:cs="Segoe UI Symbol"/>
        </w:rPr>
        <w:t>☐</w:t>
      </w:r>
      <w:r w:rsidRPr="00862EFB">
        <w:rPr>
          <w:rFonts w:cstheme="minorHAnsi"/>
        </w:rPr>
        <w:tab/>
      </w:r>
      <w:r w:rsidRPr="00862EFB">
        <w:rPr>
          <w:rFonts w:cstheme="minorHAnsi"/>
        </w:rPr>
        <w:tab/>
        <w:t xml:space="preserve">Female </w:t>
      </w:r>
      <w:r w:rsidRPr="00862EFB">
        <w:rPr>
          <w:rFonts w:ascii="Segoe UI Symbol" w:eastAsia="MS Gothic" w:hAnsi="Segoe UI Symbol" w:cs="Segoe UI Symbol"/>
        </w:rPr>
        <w:t>☐</w:t>
      </w:r>
      <w:r w:rsidRPr="00862EFB">
        <w:rPr>
          <w:rFonts w:cstheme="minorHAnsi"/>
        </w:rPr>
        <w:tab/>
      </w:r>
      <w:r w:rsidRPr="00862EFB">
        <w:rPr>
          <w:rFonts w:cstheme="minorHAnsi"/>
        </w:rPr>
        <w:tab/>
        <w:t xml:space="preserve">Non-binary </w:t>
      </w:r>
      <w:r w:rsidRPr="00862EFB">
        <w:rPr>
          <w:rFonts w:ascii="Segoe UI Symbol" w:eastAsia="MS Gothic" w:hAnsi="Segoe UI Symbol" w:cs="Segoe UI Symbol"/>
        </w:rPr>
        <w:t>☐</w:t>
      </w:r>
      <w:r w:rsidRPr="00862EFB">
        <w:rPr>
          <w:rFonts w:cstheme="minorHAnsi"/>
        </w:rPr>
        <w:tab/>
      </w:r>
      <w:r w:rsidRPr="00862EFB">
        <w:rPr>
          <w:rFonts w:cstheme="minorHAnsi"/>
        </w:rPr>
        <w:tab/>
        <w:t>Prefer not to say</w:t>
      </w:r>
      <w:r w:rsidRPr="00862EFB">
        <w:rPr>
          <w:rFonts w:ascii="Segoe UI Symbol" w:eastAsia="MS Gothic" w:hAnsi="Segoe UI Symbol" w:cs="Segoe UI Symbol"/>
        </w:rPr>
        <w:t>☐</w:t>
      </w:r>
    </w:p>
    <w:p w14:paraId="07C0D973" w14:textId="77777777" w:rsidR="008A7196" w:rsidRPr="00862EFB" w:rsidRDefault="008A7196" w:rsidP="008A7196">
      <w:pPr>
        <w:spacing w:after="200" w:line="360" w:lineRule="auto"/>
        <w:jc w:val="both"/>
        <w:rPr>
          <w:rFonts w:cstheme="minorHAnsi"/>
          <w:b/>
        </w:rPr>
      </w:pPr>
      <w:r w:rsidRPr="00862EFB">
        <w:rPr>
          <w:rFonts w:cstheme="minorHAnsi"/>
          <w:b/>
        </w:rPr>
        <w:t>Anthropometric data</w:t>
      </w:r>
    </w:p>
    <w:p w14:paraId="0C62C468" w14:textId="77777777" w:rsidR="008A7196" w:rsidRPr="00862EFB" w:rsidRDefault="008A7196" w:rsidP="008A7196">
      <w:pPr>
        <w:spacing w:after="200" w:line="360" w:lineRule="auto"/>
        <w:jc w:val="both"/>
        <w:rPr>
          <w:rFonts w:cstheme="minorHAnsi"/>
        </w:rPr>
      </w:pPr>
      <w:r w:rsidRPr="00862EFB">
        <w:rPr>
          <w:rFonts w:cstheme="minorHAnsi"/>
        </w:rPr>
        <w:t>Age: ________________ years</w:t>
      </w:r>
    </w:p>
    <w:p w14:paraId="44158307" w14:textId="77777777" w:rsidR="008A7196" w:rsidRPr="00862EFB" w:rsidRDefault="008A7196" w:rsidP="008A7196">
      <w:pPr>
        <w:spacing w:after="200" w:line="360" w:lineRule="auto"/>
        <w:jc w:val="both"/>
        <w:rPr>
          <w:rFonts w:cstheme="minorHAnsi"/>
        </w:rPr>
      </w:pPr>
      <w:r w:rsidRPr="00862EFB">
        <w:rPr>
          <w:rFonts w:cstheme="minorHAnsi"/>
        </w:rPr>
        <w:t>Age at which left education ________________</w:t>
      </w:r>
    </w:p>
    <w:p w14:paraId="085074B2" w14:textId="77777777" w:rsidR="008A7196" w:rsidRPr="00862EFB" w:rsidRDefault="008A7196" w:rsidP="008A7196">
      <w:pPr>
        <w:jc w:val="both"/>
        <w:rPr>
          <w:rFonts w:cstheme="minorHAnsi"/>
        </w:rPr>
      </w:pPr>
      <w:r w:rsidRPr="00862EFB">
        <w:rPr>
          <w:rFonts w:cstheme="minorHAnsi"/>
        </w:rPr>
        <w:t xml:space="preserve">Do you smoke                                 </w:t>
      </w:r>
      <w:r w:rsidRPr="00862EFB">
        <w:rPr>
          <w:rFonts w:cstheme="minorHAnsi"/>
        </w:rPr>
        <w:tab/>
        <w:t xml:space="preserve">       </w:t>
      </w:r>
      <w:r w:rsidRPr="00862EFB">
        <w:rPr>
          <w:rFonts w:cstheme="minorHAnsi"/>
        </w:rPr>
        <w:tab/>
        <w:t xml:space="preserve">   Yes </w:t>
      </w:r>
      <w:r w:rsidRPr="00862EFB">
        <w:rPr>
          <w:rFonts w:ascii="Segoe UI Symbol" w:eastAsia="MS Gothic" w:hAnsi="Segoe UI Symbol" w:cs="Segoe UI Symbol"/>
        </w:rPr>
        <w:t>☐</w:t>
      </w:r>
      <w:r w:rsidRPr="00862EFB">
        <w:rPr>
          <w:rFonts w:cstheme="minorHAnsi"/>
        </w:rPr>
        <w:t xml:space="preserve">                   </w:t>
      </w:r>
      <w:r w:rsidRPr="00862EFB">
        <w:rPr>
          <w:rFonts w:cstheme="minorHAnsi"/>
        </w:rPr>
        <w:tab/>
        <w:t xml:space="preserve"> </w:t>
      </w:r>
      <w:r w:rsidRPr="00862EFB">
        <w:rPr>
          <w:rFonts w:cstheme="minorHAnsi"/>
        </w:rPr>
        <w:tab/>
        <w:t xml:space="preserve">No </w:t>
      </w:r>
      <w:r w:rsidRPr="00862EFB">
        <w:rPr>
          <w:rFonts w:ascii="Segoe UI Symbol" w:eastAsia="MS Gothic" w:hAnsi="Segoe UI Symbol" w:cs="Segoe UI Symbol"/>
        </w:rPr>
        <w:t>☐</w:t>
      </w:r>
      <w:r w:rsidRPr="00862EFB">
        <w:rPr>
          <w:rFonts w:cstheme="minorHAnsi"/>
        </w:rPr>
        <w:t xml:space="preserve">        </w:t>
      </w:r>
    </w:p>
    <w:p w14:paraId="11997947" w14:textId="77777777" w:rsidR="008A7196" w:rsidRPr="00862EFB" w:rsidRDefault="008A7196" w:rsidP="008A7196">
      <w:pPr>
        <w:ind w:firstLine="720"/>
        <w:jc w:val="both"/>
        <w:rPr>
          <w:rFonts w:cstheme="minorHAnsi"/>
        </w:rPr>
      </w:pPr>
      <w:r w:rsidRPr="00862EFB">
        <w:rPr>
          <w:rFonts w:cstheme="minorHAnsi"/>
        </w:rPr>
        <w:t xml:space="preserve">No. of cigarettes per day: ______                 </w:t>
      </w:r>
      <w:r w:rsidRPr="00862EFB">
        <w:rPr>
          <w:rFonts w:cstheme="minorHAnsi"/>
        </w:rPr>
        <w:tab/>
        <w:t xml:space="preserve"> </w:t>
      </w:r>
      <w:r w:rsidRPr="00862EFB">
        <w:rPr>
          <w:rFonts w:cstheme="minorHAnsi"/>
        </w:rPr>
        <w:tab/>
        <w:t xml:space="preserve">              </w:t>
      </w:r>
    </w:p>
    <w:p w14:paraId="47CE5D81" w14:textId="77777777" w:rsidR="008A7196" w:rsidRPr="00862EFB" w:rsidRDefault="008A7196" w:rsidP="008A7196">
      <w:pPr>
        <w:jc w:val="both"/>
        <w:rPr>
          <w:rFonts w:cstheme="minorHAnsi"/>
        </w:rPr>
      </w:pPr>
    </w:p>
    <w:p w14:paraId="52E5E6FE" w14:textId="77777777" w:rsidR="008A7196" w:rsidRPr="00862EFB" w:rsidRDefault="008A7196" w:rsidP="008A7196">
      <w:pPr>
        <w:jc w:val="both"/>
        <w:rPr>
          <w:rFonts w:eastAsia="MS Gothic" w:cstheme="minorHAnsi"/>
        </w:rPr>
      </w:pPr>
      <w:r w:rsidRPr="00862EFB">
        <w:rPr>
          <w:rFonts w:cstheme="minorHAnsi"/>
        </w:rPr>
        <w:t xml:space="preserve">Alcohol No. of units per week: _____                    </w:t>
      </w:r>
      <w:r w:rsidRPr="00862EFB">
        <w:rPr>
          <w:rFonts w:cstheme="minorHAnsi"/>
        </w:rPr>
        <w:tab/>
        <w:t xml:space="preserve"> </w:t>
      </w:r>
      <w:r w:rsidRPr="00862EFB">
        <w:rPr>
          <w:rFonts w:cstheme="minorHAnsi"/>
        </w:rPr>
        <w:tab/>
      </w:r>
    </w:p>
    <w:p w14:paraId="58DB82E7" w14:textId="77777777" w:rsidR="008A7196" w:rsidRPr="00862EFB" w:rsidRDefault="008A7196" w:rsidP="008A7196">
      <w:pPr>
        <w:ind w:firstLine="720"/>
        <w:jc w:val="both"/>
        <w:rPr>
          <w:rFonts w:cstheme="minorHAnsi"/>
          <w:sz w:val="36"/>
          <w:szCs w:val="36"/>
        </w:rPr>
      </w:pPr>
      <w:r w:rsidRPr="00862EFB">
        <w:rPr>
          <w:rFonts w:cstheme="minorHAnsi"/>
        </w:rPr>
        <w:t xml:space="preserve">Spirit </w:t>
      </w:r>
      <w:r w:rsidRPr="00862EFB">
        <w:rPr>
          <w:rFonts w:ascii="Segoe UI Symbol" w:eastAsia="MS Gothic" w:hAnsi="Segoe UI Symbol" w:cs="Segoe UI Symbol"/>
          <w:sz w:val="36"/>
          <w:szCs w:val="36"/>
        </w:rPr>
        <w:t>☐</w:t>
      </w:r>
      <w:r w:rsidRPr="00862EFB">
        <w:rPr>
          <w:rFonts w:cstheme="minorHAnsi"/>
          <w:sz w:val="36"/>
          <w:szCs w:val="36"/>
        </w:rPr>
        <w:t xml:space="preserve">       </w:t>
      </w:r>
      <w:r w:rsidRPr="00862EFB">
        <w:rPr>
          <w:rFonts w:cstheme="minorHAnsi"/>
          <w:sz w:val="36"/>
          <w:szCs w:val="36"/>
        </w:rPr>
        <w:tab/>
        <w:t xml:space="preserve">                       </w:t>
      </w:r>
    </w:p>
    <w:p w14:paraId="7839AF95" w14:textId="77777777" w:rsidR="008A7196" w:rsidRPr="00862EFB" w:rsidRDefault="008A7196" w:rsidP="008A7196">
      <w:pPr>
        <w:ind w:firstLine="720"/>
        <w:jc w:val="both"/>
        <w:rPr>
          <w:rFonts w:eastAsia="MS Gothic" w:cstheme="minorHAnsi"/>
          <w:sz w:val="36"/>
          <w:szCs w:val="36"/>
        </w:rPr>
      </w:pPr>
      <w:r w:rsidRPr="00862EFB">
        <w:rPr>
          <w:rFonts w:cstheme="minorHAnsi"/>
        </w:rPr>
        <w:t>Beer</w:t>
      </w:r>
      <w:r w:rsidRPr="00862EFB">
        <w:rPr>
          <w:rFonts w:cstheme="minorHAnsi"/>
          <w:sz w:val="36"/>
          <w:szCs w:val="36"/>
        </w:rPr>
        <w:t xml:space="preserve"> </w:t>
      </w:r>
      <w:r w:rsidRPr="00862EFB">
        <w:rPr>
          <w:rFonts w:ascii="Segoe UI Symbol" w:eastAsia="MS Gothic" w:hAnsi="Segoe UI Symbol" w:cs="Segoe UI Symbol"/>
          <w:sz w:val="36"/>
          <w:szCs w:val="36"/>
        </w:rPr>
        <w:t>☐</w:t>
      </w:r>
    </w:p>
    <w:p w14:paraId="5811D4E6" w14:textId="77777777" w:rsidR="008A7196" w:rsidRPr="00862EFB" w:rsidRDefault="008A7196" w:rsidP="008A7196">
      <w:pPr>
        <w:ind w:firstLine="720"/>
        <w:jc w:val="both"/>
        <w:rPr>
          <w:rFonts w:eastAsia="MS Gothic" w:cstheme="minorHAnsi"/>
          <w:sz w:val="36"/>
          <w:szCs w:val="36"/>
        </w:rPr>
      </w:pPr>
      <w:r w:rsidRPr="00862EFB">
        <w:rPr>
          <w:rFonts w:cstheme="minorHAnsi"/>
        </w:rPr>
        <w:t>Wine</w:t>
      </w:r>
      <w:r w:rsidRPr="00862EFB">
        <w:rPr>
          <w:rFonts w:cstheme="minorHAnsi"/>
          <w:sz w:val="36"/>
          <w:szCs w:val="36"/>
        </w:rPr>
        <w:t xml:space="preserve"> </w:t>
      </w:r>
      <w:r w:rsidRPr="00862EFB">
        <w:rPr>
          <w:rFonts w:ascii="Segoe UI Symbol" w:eastAsia="MS Gothic" w:hAnsi="Segoe UI Symbol" w:cs="Segoe UI Symbol"/>
          <w:sz w:val="36"/>
          <w:szCs w:val="36"/>
        </w:rPr>
        <w:t>☐</w:t>
      </w:r>
    </w:p>
    <w:p w14:paraId="3F215971" w14:textId="77777777" w:rsidR="008A7196" w:rsidRPr="00862EFB" w:rsidRDefault="008A7196" w:rsidP="008A7196">
      <w:pPr>
        <w:ind w:firstLine="720"/>
        <w:jc w:val="both"/>
        <w:rPr>
          <w:rFonts w:eastAsia="MS Gothic" w:cstheme="minorHAnsi"/>
          <w:sz w:val="36"/>
          <w:szCs w:val="36"/>
        </w:rPr>
      </w:pPr>
    </w:p>
    <w:p w14:paraId="7D710E60" w14:textId="77777777" w:rsidR="008A7196" w:rsidRPr="00862EFB" w:rsidRDefault="008A7196" w:rsidP="008A7196">
      <w:pPr>
        <w:rPr>
          <w:rFonts w:cstheme="minorHAnsi"/>
        </w:rPr>
      </w:pPr>
      <w:r w:rsidRPr="00862EFB">
        <w:rPr>
          <w:rFonts w:cstheme="minorHAnsi"/>
        </w:rPr>
        <w:t>To be recorded by researcher:</w:t>
      </w:r>
    </w:p>
    <w:p w14:paraId="75418044" w14:textId="77777777" w:rsidR="008A7196" w:rsidRPr="00862EFB" w:rsidRDefault="008A7196" w:rsidP="008A7196">
      <w:pPr>
        <w:rPr>
          <w:rFonts w:cstheme="minorHAnsi"/>
        </w:rPr>
      </w:pPr>
    </w:p>
    <w:p w14:paraId="6CE2B998" w14:textId="77777777" w:rsidR="008A7196" w:rsidRPr="00862EFB" w:rsidRDefault="008A7196" w:rsidP="008A7196">
      <w:pPr>
        <w:spacing w:after="200" w:line="360" w:lineRule="auto"/>
        <w:jc w:val="both"/>
        <w:rPr>
          <w:rFonts w:cstheme="minorHAnsi"/>
        </w:rPr>
      </w:pPr>
      <w:r w:rsidRPr="00862EFB">
        <w:rPr>
          <w:rFonts w:cstheme="minorHAnsi"/>
        </w:rPr>
        <w:t>Height: ______________ cms/feet and inches</w:t>
      </w:r>
    </w:p>
    <w:p w14:paraId="50F6F707" w14:textId="77777777" w:rsidR="008A7196" w:rsidRPr="00862EFB" w:rsidRDefault="008A7196" w:rsidP="008A7196">
      <w:pPr>
        <w:spacing w:after="200" w:line="360" w:lineRule="auto"/>
        <w:jc w:val="both"/>
        <w:rPr>
          <w:rFonts w:cstheme="minorHAnsi"/>
        </w:rPr>
      </w:pPr>
      <w:r w:rsidRPr="00862EFB">
        <w:rPr>
          <w:rFonts w:cstheme="minorHAnsi"/>
        </w:rPr>
        <w:t>Weight: ______________ kgs/stone and pounds</w:t>
      </w:r>
    </w:p>
    <w:p w14:paraId="2D6F964B" w14:textId="77777777" w:rsidR="008A7196" w:rsidRPr="00862EFB" w:rsidRDefault="008A7196" w:rsidP="008A7196">
      <w:pPr>
        <w:rPr>
          <w:rFonts w:cstheme="minorHAnsi"/>
        </w:rPr>
      </w:pPr>
      <w:r w:rsidRPr="00862EFB">
        <w:rPr>
          <w:rFonts w:cstheme="minorHAnsi"/>
          <w:b/>
          <w:bCs/>
        </w:rPr>
        <w:t>Bioelectrical impedance measurement</w:t>
      </w:r>
      <w:r w:rsidRPr="00862EFB">
        <w:rPr>
          <w:rFonts w:cstheme="minorHAnsi"/>
        </w:rPr>
        <w:t>:</w:t>
      </w:r>
      <w:r w:rsidRPr="00862EFB">
        <w:rPr>
          <w:rFonts w:cstheme="minorHAnsi"/>
          <w:vertAlign w:val="superscript"/>
        </w:rPr>
        <w:t>#</w:t>
      </w:r>
      <w:r w:rsidRPr="00862EFB">
        <w:rPr>
          <w:rFonts w:cstheme="minorHAnsi"/>
        </w:rPr>
        <w:t>_____________________(full measurements on separate sheet)</w:t>
      </w:r>
    </w:p>
    <w:p w14:paraId="2CE5916A" w14:textId="77777777" w:rsidR="008A7196" w:rsidRPr="00862EFB" w:rsidRDefault="008A7196" w:rsidP="008A7196">
      <w:pPr>
        <w:spacing w:after="200" w:line="360" w:lineRule="auto"/>
        <w:jc w:val="both"/>
        <w:rPr>
          <w:rFonts w:cstheme="minorHAnsi"/>
        </w:rPr>
      </w:pPr>
      <w:r w:rsidRPr="00862EFB">
        <w:rPr>
          <w:rFonts w:cstheme="minorHAnsi"/>
        </w:rPr>
        <w:t xml:space="preserve">#May wish to remove jewellery </w:t>
      </w:r>
    </w:p>
    <w:p w14:paraId="7E0864FF" w14:textId="77777777" w:rsidR="008A7196" w:rsidRPr="00862EFB" w:rsidRDefault="008A7196" w:rsidP="008A7196">
      <w:pPr>
        <w:spacing w:after="200" w:line="360" w:lineRule="auto"/>
        <w:jc w:val="both"/>
        <w:rPr>
          <w:rFonts w:cstheme="minorHAnsi"/>
        </w:rPr>
      </w:pPr>
    </w:p>
    <w:p w14:paraId="23179482" w14:textId="77777777" w:rsidR="008A7196" w:rsidRPr="00862EFB" w:rsidRDefault="008A7196" w:rsidP="008A7196">
      <w:pPr>
        <w:spacing w:after="200" w:line="360" w:lineRule="auto"/>
        <w:jc w:val="both"/>
        <w:rPr>
          <w:rFonts w:cstheme="minorHAnsi"/>
        </w:rPr>
      </w:pPr>
    </w:p>
    <w:p w14:paraId="5AA8FB18" w14:textId="77777777" w:rsidR="008A7196" w:rsidRPr="00862EFB" w:rsidRDefault="008A7196" w:rsidP="008A7196">
      <w:pPr>
        <w:spacing w:after="200" w:line="360" w:lineRule="auto"/>
        <w:jc w:val="both"/>
        <w:rPr>
          <w:rFonts w:cstheme="minorHAnsi"/>
        </w:rPr>
      </w:pPr>
      <w:r w:rsidRPr="00862EFB">
        <w:rPr>
          <w:rFonts w:cstheme="minorHAnsi"/>
          <w:b/>
          <w:bCs/>
          <w:u w:val="single"/>
        </w:rPr>
        <w:t>Circumference measurements</w:t>
      </w:r>
      <w:r w:rsidRPr="00862EFB">
        <w:rPr>
          <w:rFonts w:cstheme="minorHAnsi"/>
        </w:rPr>
        <w:t>:</w:t>
      </w:r>
    </w:p>
    <w:p w14:paraId="1FB5A695" w14:textId="77777777" w:rsidR="008A7196" w:rsidRPr="00862EFB" w:rsidRDefault="008A7196" w:rsidP="008A7196">
      <w:pPr>
        <w:spacing w:after="200" w:line="360" w:lineRule="auto"/>
        <w:jc w:val="both"/>
        <w:rPr>
          <w:rFonts w:cstheme="minorHAnsi"/>
        </w:rPr>
      </w:pPr>
      <w:r w:rsidRPr="00862EFB">
        <w:rPr>
          <w:rFonts w:cstheme="minorHAnsi"/>
        </w:rPr>
        <w:t xml:space="preserve">-Clothing considerations. </w:t>
      </w:r>
    </w:p>
    <w:p w14:paraId="16C453F6" w14:textId="77777777" w:rsidR="008A7196" w:rsidRPr="00862EFB" w:rsidRDefault="008A7196" w:rsidP="008A7196">
      <w:pPr>
        <w:rPr>
          <w:rFonts w:cstheme="minorHAnsi"/>
          <w:i/>
          <w:iCs/>
        </w:rPr>
      </w:pPr>
      <w:r w:rsidRPr="00862EFB">
        <w:rPr>
          <w:rFonts w:cstheme="minorHAnsi"/>
          <w:i/>
          <w:iCs/>
        </w:rPr>
        <w:t>Upper arm</w:t>
      </w:r>
    </w:p>
    <w:p w14:paraId="04D5AFD4" w14:textId="77777777" w:rsidR="008A7196" w:rsidRPr="00862EFB" w:rsidRDefault="008A7196">
      <w:pPr>
        <w:pStyle w:val="ListParagraph"/>
        <w:numPr>
          <w:ilvl w:val="0"/>
          <w:numId w:val="49"/>
        </w:numPr>
        <w:rPr>
          <w:rFonts w:cstheme="minorHAnsi"/>
        </w:rPr>
      </w:pPr>
      <w:r w:rsidRPr="00862EFB">
        <w:rPr>
          <w:rFonts w:cstheme="minorHAnsi"/>
        </w:rPr>
        <w:t>__________ cm</w:t>
      </w:r>
    </w:p>
    <w:p w14:paraId="14C718FB" w14:textId="77777777" w:rsidR="008A7196" w:rsidRPr="00862EFB" w:rsidRDefault="008A7196" w:rsidP="008A7196">
      <w:pPr>
        <w:ind w:left="360"/>
        <w:rPr>
          <w:rFonts w:cstheme="minorHAnsi"/>
        </w:rPr>
      </w:pPr>
    </w:p>
    <w:p w14:paraId="35161B2B" w14:textId="77777777" w:rsidR="008A7196" w:rsidRPr="00862EFB" w:rsidRDefault="008A7196">
      <w:pPr>
        <w:pStyle w:val="ListParagraph"/>
        <w:numPr>
          <w:ilvl w:val="0"/>
          <w:numId w:val="49"/>
        </w:numPr>
        <w:rPr>
          <w:rFonts w:cstheme="minorHAnsi"/>
        </w:rPr>
      </w:pPr>
      <w:r w:rsidRPr="00862EFB">
        <w:rPr>
          <w:rFonts w:cstheme="minorHAnsi"/>
        </w:rPr>
        <w:t>__________cm</w:t>
      </w:r>
    </w:p>
    <w:p w14:paraId="2C1D0D20" w14:textId="77777777" w:rsidR="008A7196" w:rsidRPr="00862EFB" w:rsidRDefault="008A7196" w:rsidP="008A7196">
      <w:pPr>
        <w:rPr>
          <w:rFonts w:cstheme="minorHAnsi"/>
        </w:rPr>
      </w:pPr>
    </w:p>
    <w:p w14:paraId="718D498E" w14:textId="77777777" w:rsidR="008A7196" w:rsidRPr="00862EFB" w:rsidRDefault="008A7196" w:rsidP="008A7196">
      <w:pPr>
        <w:rPr>
          <w:rFonts w:cstheme="minorHAnsi"/>
        </w:rPr>
      </w:pPr>
      <w:r w:rsidRPr="00862EFB">
        <w:rPr>
          <w:rFonts w:cstheme="minorHAnsi"/>
        </w:rPr>
        <w:t>Average: __________cm</w:t>
      </w:r>
    </w:p>
    <w:p w14:paraId="544BD0FC" w14:textId="77777777" w:rsidR="008A7196" w:rsidRPr="00862EFB" w:rsidRDefault="008A7196" w:rsidP="008A7196">
      <w:pPr>
        <w:rPr>
          <w:rFonts w:cstheme="minorHAnsi"/>
        </w:rPr>
      </w:pPr>
    </w:p>
    <w:p w14:paraId="7B9D2BE2" w14:textId="77777777" w:rsidR="008A7196" w:rsidRPr="00862EFB" w:rsidRDefault="008A7196" w:rsidP="008A7196">
      <w:pPr>
        <w:rPr>
          <w:rFonts w:cstheme="minorHAnsi"/>
          <w:i/>
          <w:iCs/>
        </w:rPr>
      </w:pPr>
      <w:r w:rsidRPr="00862EFB">
        <w:rPr>
          <w:rFonts w:cstheme="minorHAnsi"/>
          <w:i/>
          <w:iCs/>
        </w:rPr>
        <w:t xml:space="preserve">Chest: </w:t>
      </w:r>
    </w:p>
    <w:p w14:paraId="57A98339" w14:textId="77777777" w:rsidR="008A7196" w:rsidRPr="00862EFB" w:rsidRDefault="008A7196">
      <w:pPr>
        <w:pStyle w:val="ListParagraph"/>
        <w:numPr>
          <w:ilvl w:val="0"/>
          <w:numId w:val="45"/>
        </w:numPr>
        <w:rPr>
          <w:rFonts w:cstheme="minorHAnsi"/>
        </w:rPr>
      </w:pPr>
      <w:r w:rsidRPr="00862EFB">
        <w:rPr>
          <w:rFonts w:cstheme="minorHAnsi"/>
        </w:rPr>
        <w:t>__________cm</w:t>
      </w:r>
    </w:p>
    <w:p w14:paraId="1D1C00F1" w14:textId="77777777" w:rsidR="008A7196" w:rsidRPr="00862EFB" w:rsidRDefault="008A7196" w:rsidP="008A7196">
      <w:pPr>
        <w:pStyle w:val="ListParagraph"/>
        <w:rPr>
          <w:rFonts w:cstheme="minorHAnsi"/>
        </w:rPr>
      </w:pPr>
    </w:p>
    <w:p w14:paraId="565CF238" w14:textId="77777777" w:rsidR="008A7196" w:rsidRPr="00862EFB" w:rsidRDefault="008A7196">
      <w:pPr>
        <w:pStyle w:val="ListParagraph"/>
        <w:numPr>
          <w:ilvl w:val="0"/>
          <w:numId w:val="45"/>
        </w:numPr>
        <w:rPr>
          <w:rFonts w:cstheme="minorHAnsi"/>
        </w:rPr>
      </w:pPr>
      <w:r w:rsidRPr="00862EFB">
        <w:rPr>
          <w:rFonts w:cstheme="minorHAnsi"/>
        </w:rPr>
        <w:t>__________cm</w:t>
      </w:r>
    </w:p>
    <w:p w14:paraId="46C531EC" w14:textId="77777777" w:rsidR="008A7196" w:rsidRPr="00862EFB" w:rsidRDefault="008A7196" w:rsidP="008A7196">
      <w:pPr>
        <w:rPr>
          <w:rFonts w:cstheme="minorHAnsi"/>
        </w:rPr>
      </w:pPr>
    </w:p>
    <w:p w14:paraId="161913F0" w14:textId="77777777" w:rsidR="008A7196" w:rsidRPr="00862EFB" w:rsidRDefault="008A7196" w:rsidP="008A7196">
      <w:pPr>
        <w:rPr>
          <w:rFonts w:cstheme="minorHAnsi"/>
        </w:rPr>
      </w:pPr>
      <w:r w:rsidRPr="00862EFB">
        <w:rPr>
          <w:rFonts w:cstheme="minorHAnsi"/>
        </w:rPr>
        <w:t>Average: __________cm</w:t>
      </w:r>
    </w:p>
    <w:p w14:paraId="5B1E9290" w14:textId="77777777" w:rsidR="008A7196" w:rsidRPr="00862EFB" w:rsidRDefault="008A7196" w:rsidP="008A7196">
      <w:pPr>
        <w:rPr>
          <w:rFonts w:cstheme="minorHAnsi"/>
        </w:rPr>
      </w:pPr>
    </w:p>
    <w:p w14:paraId="3EE976E1" w14:textId="77777777" w:rsidR="008A7196" w:rsidRPr="00862EFB" w:rsidRDefault="008A7196" w:rsidP="008A7196">
      <w:pPr>
        <w:rPr>
          <w:rFonts w:cstheme="minorHAnsi"/>
          <w:i/>
          <w:iCs/>
        </w:rPr>
      </w:pPr>
      <w:r w:rsidRPr="00862EFB">
        <w:rPr>
          <w:rFonts w:cstheme="minorHAnsi"/>
          <w:i/>
          <w:iCs/>
        </w:rPr>
        <w:t>Waist:</w:t>
      </w:r>
    </w:p>
    <w:p w14:paraId="1D82640A" w14:textId="77777777" w:rsidR="008A7196" w:rsidRPr="00862EFB" w:rsidRDefault="008A7196">
      <w:pPr>
        <w:pStyle w:val="ListParagraph"/>
        <w:numPr>
          <w:ilvl w:val="0"/>
          <w:numId w:val="44"/>
        </w:numPr>
        <w:rPr>
          <w:rFonts w:cstheme="minorHAnsi"/>
        </w:rPr>
      </w:pPr>
      <w:r w:rsidRPr="00862EFB">
        <w:rPr>
          <w:rFonts w:cstheme="minorHAnsi"/>
        </w:rPr>
        <w:t>__________ cm</w:t>
      </w:r>
    </w:p>
    <w:p w14:paraId="2E44A65B" w14:textId="77777777" w:rsidR="008A7196" w:rsidRPr="00862EFB" w:rsidRDefault="008A7196" w:rsidP="008A7196">
      <w:pPr>
        <w:ind w:left="360"/>
        <w:rPr>
          <w:rFonts w:cstheme="minorHAnsi"/>
        </w:rPr>
      </w:pPr>
    </w:p>
    <w:p w14:paraId="1AAEB8EB" w14:textId="77777777" w:rsidR="008A7196" w:rsidRPr="00862EFB" w:rsidRDefault="008A7196">
      <w:pPr>
        <w:pStyle w:val="ListParagraph"/>
        <w:numPr>
          <w:ilvl w:val="0"/>
          <w:numId w:val="44"/>
        </w:numPr>
        <w:rPr>
          <w:rFonts w:cstheme="minorHAnsi"/>
        </w:rPr>
      </w:pPr>
      <w:r w:rsidRPr="00862EFB">
        <w:rPr>
          <w:rFonts w:cstheme="minorHAnsi"/>
        </w:rPr>
        <w:t>__________cm</w:t>
      </w:r>
    </w:p>
    <w:p w14:paraId="3BF8CA44" w14:textId="77777777" w:rsidR="008A7196" w:rsidRPr="00862EFB" w:rsidRDefault="008A7196" w:rsidP="008A7196">
      <w:pPr>
        <w:rPr>
          <w:rFonts w:cstheme="minorHAnsi"/>
        </w:rPr>
      </w:pPr>
    </w:p>
    <w:p w14:paraId="527463B3" w14:textId="77777777" w:rsidR="008A7196" w:rsidRPr="00862EFB" w:rsidRDefault="008A7196" w:rsidP="008A7196">
      <w:pPr>
        <w:rPr>
          <w:rFonts w:cstheme="minorHAnsi"/>
        </w:rPr>
      </w:pPr>
      <w:r w:rsidRPr="00862EFB">
        <w:rPr>
          <w:rFonts w:cstheme="minorHAnsi"/>
        </w:rPr>
        <w:t>Average: __________cm</w:t>
      </w:r>
    </w:p>
    <w:p w14:paraId="5621B16D" w14:textId="77777777" w:rsidR="008A7196" w:rsidRPr="00862EFB" w:rsidRDefault="008A7196" w:rsidP="008A7196">
      <w:pPr>
        <w:rPr>
          <w:rFonts w:cstheme="minorHAnsi"/>
        </w:rPr>
      </w:pPr>
    </w:p>
    <w:p w14:paraId="65A095E9" w14:textId="77777777" w:rsidR="008A7196" w:rsidRPr="00862EFB" w:rsidRDefault="008A7196" w:rsidP="008A7196">
      <w:pPr>
        <w:rPr>
          <w:rFonts w:cstheme="minorHAnsi"/>
          <w:i/>
          <w:iCs/>
        </w:rPr>
      </w:pPr>
      <w:r w:rsidRPr="00862EFB">
        <w:rPr>
          <w:rFonts w:cstheme="minorHAnsi"/>
          <w:i/>
          <w:iCs/>
        </w:rPr>
        <w:t xml:space="preserve">Hip: </w:t>
      </w:r>
    </w:p>
    <w:p w14:paraId="5CA3FA63" w14:textId="77777777" w:rsidR="008A7196" w:rsidRPr="00862EFB" w:rsidRDefault="008A7196">
      <w:pPr>
        <w:pStyle w:val="ListParagraph"/>
        <w:numPr>
          <w:ilvl w:val="0"/>
          <w:numId w:val="46"/>
        </w:numPr>
        <w:rPr>
          <w:rFonts w:cstheme="minorHAnsi"/>
        </w:rPr>
      </w:pPr>
      <w:r w:rsidRPr="00862EFB">
        <w:rPr>
          <w:rFonts w:cstheme="minorHAnsi"/>
        </w:rPr>
        <w:t>__________ cm</w:t>
      </w:r>
    </w:p>
    <w:p w14:paraId="19C993A4" w14:textId="77777777" w:rsidR="008A7196" w:rsidRPr="00862EFB" w:rsidRDefault="008A7196" w:rsidP="008A7196">
      <w:pPr>
        <w:ind w:left="360"/>
        <w:rPr>
          <w:rFonts w:cstheme="minorHAnsi"/>
        </w:rPr>
      </w:pPr>
    </w:p>
    <w:p w14:paraId="6531AEBA" w14:textId="77777777" w:rsidR="008A7196" w:rsidRPr="00862EFB" w:rsidRDefault="008A7196">
      <w:pPr>
        <w:pStyle w:val="ListParagraph"/>
        <w:numPr>
          <w:ilvl w:val="0"/>
          <w:numId w:val="46"/>
        </w:numPr>
        <w:rPr>
          <w:rFonts w:cstheme="minorHAnsi"/>
        </w:rPr>
      </w:pPr>
      <w:r w:rsidRPr="00862EFB">
        <w:rPr>
          <w:rFonts w:cstheme="minorHAnsi"/>
        </w:rPr>
        <w:t>__________cm</w:t>
      </w:r>
    </w:p>
    <w:p w14:paraId="3E08FF98" w14:textId="77777777" w:rsidR="008A7196" w:rsidRPr="00862EFB" w:rsidRDefault="008A7196" w:rsidP="008A7196">
      <w:pPr>
        <w:rPr>
          <w:rFonts w:cstheme="minorHAnsi"/>
        </w:rPr>
      </w:pPr>
    </w:p>
    <w:p w14:paraId="7A4244E1" w14:textId="77777777" w:rsidR="008A7196" w:rsidRPr="00862EFB" w:rsidRDefault="008A7196" w:rsidP="008A7196">
      <w:pPr>
        <w:rPr>
          <w:rFonts w:cstheme="minorHAnsi"/>
        </w:rPr>
      </w:pPr>
      <w:r w:rsidRPr="00862EFB">
        <w:rPr>
          <w:rFonts w:cstheme="minorHAnsi"/>
        </w:rPr>
        <w:t>Average: __________cm</w:t>
      </w:r>
    </w:p>
    <w:p w14:paraId="5B5963B2" w14:textId="77777777" w:rsidR="008A7196" w:rsidRPr="00862EFB" w:rsidRDefault="008A7196" w:rsidP="008A7196">
      <w:pPr>
        <w:rPr>
          <w:rFonts w:cstheme="minorHAnsi"/>
        </w:rPr>
      </w:pPr>
    </w:p>
    <w:p w14:paraId="0F529C87" w14:textId="77777777" w:rsidR="008A7196" w:rsidRPr="00862EFB" w:rsidRDefault="008A7196" w:rsidP="008A7196">
      <w:pPr>
        <w:rPr>
          <w:rFonts w:cstheme="minorHAnsi"/>
          <w:i/>
          <w:iCs/>
        </w:rPr>
      </w:pPr>
      <w:r w:rsidRPr="00862EFB">
        <w:rPr>
          <w:rFonts w:cstheme="minorHAnsi"/>
          <w:i/>
          <w:iCs/>
        </w:rPr>
        <w:t xml:space="preserve">Mid-Thigh: </w:t>
      </w:r>
    </w:p>
    <w:p w14:paraId="6F4B99FE" w14:textId="77777777" w:rsidR="008A7196" w:rsidRPr="00862EFB" w:rsidRDefault="008A7196">
      <w:pPr>
        <w:pStyle w:val="ListParagraph"/>
        <w:numPr>
          <w:ilvl w:val="0"/>
          <w:numId w:val="48"/>
        </w:numPr>
        <w:rPr>
          <w:rFonts w:cstheme="minorHAnsi"/>
        </w:rPr>
      </w:pPr>
      <w:r w:rsidRPr="00862EFB">
        <w:rPr>
          <w:rFonts w:cstheme="minorHAnsi"/>
        </w:rPr>
        <w:t>__________ cm</w:t>
      </w:r>
    </w:p>
    <w:p w14:paraId="425F92E5" w14:textId="77777777" w:rsidR="008A7196" w:rsidRPr="00862EFB" w:rsidRDefault="008A7196" w:rsidP="008A7196">
      <w:pPr>
        <w:ind w:left="360"/>
        <w:rPr>
          <w:rFonts w:cstheme="minorHAnsi"/>
        </w:rPr>
      </w:pPr>
    </w:p>
    <w:p w14:paraId="67932B23" w14:textId="77777777" w:rsidR="008A7196" w:rsidRPr="00862EFB" w:rsidRDefault="008A7196">
      <w:pPr>
        <w:pStyle w:val="ListParagraph"/>
        <w:numPr>
          <w:ilvl w:val="0"/>
          <w:numId w:val="48"/>
        </w:numPr>
        <w:rPr>
          <w:rFonts w:cstheme="minorHAnsi"/>
        </w:rPr>
      </w:pPr>
      <w:r w:rsidRPr="00862EFB">
        <w:rPr>
          <w:rFonts w:cstheme="minorHAnsi"/>
        </w:rPr>
        <w:t>__________cm</w:t>
      </w:r>
    </w:p>
    <w:p w14:paraId="13EAD6A7" w14:textId="77777777" w:rsidR="008A7196" w:rsidRPr="00862EFB" w:rsidRDefault="008A7196" w:rsidP="008A7196">
      <w:pPr>
        <w:rPr>
          <w:rFonts w:cstheme="minorHAnsi"/>
        </w:rPr>
      </w:pPr>
    </w:p>
    <w:p w14:paraId="33397E97" w14:textId="77777777" w:rsidR="008A7196" w:rsidRPr="00862EFB" w:rsidRDefault="008A7196" w:rsidP="008A7196">
      <w:pPr>
        <w:rPr>
          <w:rFonts w:cstheme="minorHAnsi"/>
        </w:rPr>
      </w:pPr>
      <w:r w:rsidRPr="00862EFB">
        <w:rPr>
          <w:rFonts w:cstheme="minorHAnsi"/>
        </w:rPr>
        <w:t>Average: __________cm</w:t>
      </w:r>
    </w:p>
    <w:p w14:paraId="3FBA29FE" w14:textId="77777777" w:rsidR="008A7196" w:rsidRPr="00862EFB" w:rsidRDefault="008A7196" w:rsidP="008A7196">
      <w:pPr>
        <w:rPr>
          <w:rFonts w:cstheme="minorHAnsi"/>
        </w:rPr>
      </w:pPr>
    </w:p>
    <w:p w14:paraId="63E9C585" w14:textId="77777777" w:rsidR="008A7196" w:rsidRPr="00862EFB" w:rsidRDefault="008A7196" w:rsidP="008A7196">
      <w:pPr>
        <w:rPr>
          <w:rFonts w:cstheme="minorHAnsi"/>
          <w:i/>
          <w:iCs/>
        </w:rPr>
      </w:pPr>
      <w:r w:rsidRPr="00862EFB">
        <w:rPr>
          <w:rFonts w:cstheme="minorHAnsi"/>
          <w:i/>
          <w:iCs/>
        </w:rPr>
        <w:t>Calf:</w:t>
      </w:r>
    </w:p>
    <w:p w14:paraId="1A4B6DC3" w14:textId="77777777" w:rsidR="008A7196" w:rsidRPr="00862EFB" w:rsidRDefault="008A7196">
      <w:pPr>
        <w:pStyle w:val="ListParagraph"/>
        <w:numPr>
          <w:ilvl w:val="0"/>
          <w:numId w:val="47"/>
        </w:numPr>
        <w:rPr>
          <w:rFonts w:cstheme="minorHAnsi"/>
        </w:rPr>
      </w:pPr>
      <w:r w:rsidRPr="00862EFB">
        <w:rPr>
          <w:rFonts w:cstheme="minorHAnsi"/>
        </w:rPr>
        <w:t>__________ cm</w:t>
      </w:r>
    </w:p>
    <w:p w14:paraId="5ABEA1A3" w14:textId="77777777" w:rsidR="008A7196" w:rsidRPr="00862EFB" w:rsidRDefault="008A7196" w:rsidP="008A7196">
      <w:pPr>
        <w:ind w:left="360"/>
        <w:rPr>
          <w:rFonts w:cstheme="minorHAnsi"/>
        </w:rPr>
      </w:pPr>
    </w:p>
    <w:p w14:paraId="5E4BD536" w14:textId="77777777" w:rsidR="008A7196" w:rsidRPr="00862EFB" w:rsidRDefault="008A7196">
      <w:pPr>
        <w:pStyle w:val="ListParagraph"/>
        <w:numPr>
          <w:ilvl w:val="0"/>
          <w:numId w:val="47"/>
        </w:numPr>
        <w:rPr>
          <w:rFonts w:cstheme="minorHAnsi"/>
        </w:rPr>
      </w:pPr>
      <w:r w:rsidRPr="00862EFB">
        <w:rPr>
          <w:rFonts w:cstheme="minorHAnsi"/>
        </w:rPr>
        <w:t>__________cm</w:t>
      </w:r>
    </w:p>
    <w:p w14:paraId="1E3F6125" w14:textId="77777777" w:rsidR="008A7196" w:rsidRPr="00862EFB" w:rsidRDefault="008A7196" w:rsidP="008A7196">
      <w:pPr>
        <w:rPr>
          <w:rFonts w:cstheme="minorHAnsi"/>
        </w:rPr>
      </w:pPr>
    </w:p>
    <w:p w14:paraId="007E8AD5" w14:textId="77777777" w:rsidR="008A7196" w:rsidRPr="00862EFB" w:rsidRDefault="008A7196" w:rsidP="008A7196">
      <w:pPr>
        <w:rPr>
          <w:rFonts w:cstheme="minorHAnsi"/>
        </w:rPr>
      </w:pPr>
      <w:r w:rsidRPr="00862EFB">
        <w:rPr>
          <w:rFonts w:cstheme="minorHAnsi"/>
        </w:rPr>
        <w:t>Average: __________cm</w:t>
      </w:r>
    </w:p>
    <w:p w14:paraId="11A0BE4F" w14:textId="77777777" w:rsidR="008A7196" w:rsidRPr="00862EFB" w:rsidRDefault="008A7196" w:rsidP="008A7196">
      <w:pPr>
        <w:rPr>
          <w:rFonts w:cstheme="minorHAnsi"/>
        </w:rPr>
      </w:pPr>
    </w:p>
    <w:p w14:paraId="5EB1A7A1" w14:textId="77777777" w:rsidR="008A7196" w:rsidRPr="00862EFB" w:rsidRDefault="008A7196" w:rsidP="008A7196">
      <w:pPr>
        <w:rPr>
          <w:rFonts w:cstheme="minorHAnsi"/>
        </w:rPr>
      </w:pPr>
    </w:p>
    <w:p w14:paraId="6078A30A" w14:textId="77777777" w:rsidR="008A7196" w:rsidRPr="00862EFB" w:rsidRDefault="008A7196" w:rsidP="008A7196">
      <w:pPr>
        <w:rPr>
          <w:rFonts w:cstheme="minorHAnsi"/>
        </w:rPr>
      </w:pPr>
    </w:p>
    <w:p w14:paraId="0F13AD2C" w14:textId="77777777" w:rsidR="008A7196" w:rsidRPr="00862EFB" w:rsidRDefault="008A7196" w:rsidP="008A7196">
      <w:pPr>
        <w:rPr>
          <w:rFonts w:cstheme="minorHAnsi"/>
        </w:rPr>
      </w:pPr>
    </w:p>
    <w:p w14:paraId="00E7321A" w14:textId="77777777" w:rsidR="008A7196" w:rsidRPr="00862EFB" w:rsidRDefault="008A7196" w:rsidP="008A7196">
      <w:pPr>
        <w:rPr>
          <w:rFonts w:cstheme="minorHAnsi"/>
        </w:rPr>
      </w:pPr>
    </w:p>
    <w:p w14:paraId="4079BD01" w14:textId="77777777" w:rsidR="008A7196" w:rsidRPr="00862EFB" w:rsidRDefault="008A7196" w:rsidP="008A7196">
      <w:pPr>
        <w:rPr>
          <w:rFonts w:cstheme="minorHAnsi"/>
        </w:rPr>
      </w:pPr>
      <w:r w:rsidRPr="00862EFB">
        <w:rPr>
          <w:rFonts w:cstheme="minorHAnsi"/>
          <w:b/>
          <w:bCs/>
        </w:rPr>
        <w:t>Hand grip score</w:t>
      </w:r>
      <w:r w:rsidRPr="00862EFB">
        <w:rPr>
          <w:rFonts w:cstheme="minorHAnsi"/>
        </w:rPr>
        <w:t>: (seated, arm rested on air of chair/desk)</w:t>
      </w:r>
    </w:p>
    <w:p w14:paraId="195493A0" w14:textId="77777777" w:rsidR="008A7196" w:rsidRPr="00862EFB" w:rsidRDefault="008A7196">
      <w:pPr>
        <w:pStyle w:val="ListParagraph"/>
        <w:numPr>
          <w:ilvl w:val="0"/>
          <w:numId w:val="50"/>
        </w:numPr>
        <w:rPr>
          <w:rFonts w:cstheme="minorHAnsi"/>
        </w:rPr>
      </w:pPr>
      <w:r w:rsidRPr="00862EFB">
        <w:rPr>
          <w:rFonts w:cstheme="minorHAnsi"/>
        </w:rPr>
        <w:t xml:space="preserve">__________ </w:t>
      </w:r>
    </w:p>
    <w:p w14:paraId="5CB03245" w14:textId="77777777" w:rsidR="008A7196" w:rsidRPr="00862EFB" w:rsidRDefault="008A7196" w:rsidP="008A7196">
      <w:pPr>
        <w:pStyle w:val="ListParagraph"/>
        <w:ind w:left="360"/>
        <w:rPr>
          <w:rFonts w:cstheme="minorHAnsi"/>
        </w:rPr>
      </w:pPr>
    </w:p>
    <w:p w14:paraId="6E857667" w14:textId="77777777" w:rsidR="008A7196" w:rsidRPr="00862EFB" w:rsidRDefault="008A7196">
      <w:pPr>
        <w:pStyle w:val="ListParagraph"/>
        <w:numPr>
          <w:ilvl w:val="0"/>
          <w:numId w:val="50"/>
        </w:numPr>
        <w:rPr>
          <w:rFonts w:cstheme="minorHAnsi"/>
        </w:rPr>
      </w:pPr>
      <w:r w:rsidRPr="00862EFB">
        <w:rPr>
          <w:rFonts w:cstheme="minorHAnsi"/>
        </w:rPr>
        <w:t>__________</w:t>
      </w:r>
    </w:p>
    <w:p w14:paraId="111C387E" w14:textId="77777777" w:rsidR="008A7196" w:rsidRPr="00862EFB" w:rsidRDefault="008A7196" w:rsidP="008A7196">
      <w:pPr>
        <w:rPr>
          <w:rFonts w:cstheme="minorHAnsi"/>
        </w:rPr>
      </w:pPr>
    </w:p>
    <w:p w14:paraId="02B002FC" w14:textId="77777777" w:rsidR="008A7196" w:rsidRPr="00862EFB" w:rsidRDefault="008A7196">
      <w:pPr>
        <w:pStyle w:val="ListParagraph"/>
        <w:numPr>
          <w:ilvl w:val="0"/>
          <w:numId w:val="50"/>
        </w:numPr>
        <w:rPr>
          <w:rFonts w:cstheme="minorHAnsi"/>
        </w:rPr>
      </w:pPr>
      <w:r w:rsidRPr="00862EFB">
        <w:rPr>
          <w:rFonts w:cstheme="minorHAnsi"/>
        </w:rPr>
        <w:t>__________</w:t>
      </w:r>
    </w:p>
    <w:p w14:paraId="356F1C6B" w14:textId="77777777" w:rsidR="008A7196" w:rsidRPr="00862EFB" w:rsidRDefault="008A7196" w:rsidP="008A7196">
      <w:pPr>
        <w:rPr>
          <w:rFonts w:cstheme="minorHAnsi"/>
        </w:rPr>
      </w:pPr>
    </w:p>
    <w:p w14:paraId="02A2086C" w14:textId="77777777" w:rsidR="008A7196" w:rsidRPr="00862EFB" w:rsidRDefault="008A7196" w:rsidP="008A7196">
      <w:pPr>
        <w:rPr>
          <w:rFonts w:cstheme="minorHAnsi"/>
        </w:rPr>
      </w:pPr>
      <w:r w:rsidRPr="00862EFB">
        <w:rPr>
          <w:rFonts w:cstheme="minorHAnsi"/>
        </w:rPr>
        <w:t>Average: __________</w:t>
      </w:r>
    </w:p>
    <w:p w14:paraId="1D29CFA8" w14:textId="77777777" w:rsidR="008A7196" w:rsidRPr="00862EFB" w:rsidRDefault="008A7196" w:rsidP="008A7196">
      <w:pPr>
        <w:rPr>
          <w:rFonts w:cstheme="minorHAnsi"/>
        </w:rPr>
      </w:pPr>
    </w:p>
    <w:p w14:paraId="68103141" w14:textId="77777777" w:rsidR="008A7196" w:rsidRPr="00862EFB" w:rsidRDefault="008A7196" w:rsidP="008A7196">
      <w:pPr>
        <w:rPr>
          <w:rFonts w:cstheme="minorHAnsi"/>
          <w:b/>
          <w:bCs/>
        </w:rPr>
      </w:pPr>
    </w:p>
    <w:p w14:paraId="503E778F" w14:textId="77777777" w:rsidR="008A7196" w:rsidRPr="00862EFB" w:rsidRDefault="008A7196" w:rsidP="008A7196">
      <w:pPr>
        <w:rPr>
          <w:rFonts w:cstheme="minorHAnsi"/>
          <w:b/>
          <w:bCs/>
        </w:rPr>
      </w:pPr>
      <w:r w:rsidRPr="00862EFB">
        <w:rPr>
          <w:rFonts w:cstheme="minorHAnsi"/>
          <w:b/>
          <w:bCs/>
        </w:rPr>
        <w:t>Standing vertical jump score</w:t>
      </w:r>
    </w:p>
    <w:p w14:paraId="077D86D7" w14:textId="77777777" w:rsidR="008A7196" w:rsidRPr="00862EFB" w:rsidRDefault="008A7196" w:rsidP="008A7196">
      <w:pPr>
        <w:rPr>
          <w:rFonts w:cstheme="minorHAnsi"/>
          <w:b/>
          <w:bCs/>
        </w:rPr>
      </w:pPr>
    </w:p>
    <w:p w14:paraId="75AA8A11" w14:textId="77777777" w:rsidR="008A7196" w:rsidRPr="00862EFB" w:rsidRDefault="008A7196">
      <w:pPr>
        <w:pStyle w:val="ListParagraph"/>
        <w:numPr>
          <w:ilvl w:val="0"/>
          <w:numId w:val="51"/>
        </w:numPr>
        <w:rPr>
          <w:rFonts w:cstheme="minorHAnsi"/>
        </w:rPr>
      </w:pPr>
      <w:r w:rsidRPr="00862EFB">
        <w:rPr>
          <w:rFonts w:cstheme="minorHAnsi"/>
        </w:rPr>
        <w:t xml:space="preserve">__________ </w:t>
      </w:r>
    </w:p>
    <w:p w14:paraId="2A7FB593" w14:textId="77777777" w:rsidR="008A7196" w:rsidRPr="00862EFB" w:rsidRDefault="008A7196" w:rsidP="008A7196">
      <w:pPr>
        <w:pStyle w:val="ListParagraph"/>
        <w:ind w:left="360"/>
        <w:rPr>
          <w:rFonts w:cstheme="minorHAnsi"/>
        </w:rPr>
      </w:pPr>
    </w:p>
    <w:p w14:paraId="00658493" w14:textId="77777777" w:rsidR="008A7196" w:rsidRPr="00862EFB" w:rsidRDefault="008A7196">
      <w:pPr>
        <w:pStyle w:val="ListParagraph"/>
        <w:numPr>
          <w:ilvl w:val="0"/>
          <w:numId w:val="51"/>
        </w:numPr>
        <w:rPr>
          <w:rFonts w:cstheme="minorHAnsi"/>
        </w:rPr>
      </w:pPr>
      <w:r w:rsidRPr="00862EFB">
        <w:rPr>
          <w:rFonts w:cstheme="minorHAnsi"/>
        </w:rPr>
        <w:t>__________</w:t>
      </w:r>
    </w:p>
    <w:p w14:paraId="519BA968" w14:textId="77777777" w:rsidR="008A7196" w:rsidRPr="00862EFB" w:rsidRDefault="008A7196" w:rsidP="008A7196">
      <w:pPr>
        <w:rPr>
          <w:rFonts w:cstheme="minorHAnsi"/>
        </w:rPr>
      </w:pPr>
    </w:p>
    <w:p w14:paraId="5BBEE8DA" w14:textId="77777777" w:rsidR="008A7196" w:rsidRPr="00862EFB" w:rsidRDefault="008A7196">
      <w:pPr>
        <w:pStyle w:val="ListParagraph"/>
        <w:numPr>
          <w:ilvl w:val="0"/>
          <w:numId w:val="51"/>
        </w:numPr>
        <w:rPr>
          <w:rFonts w:cstheme="minorHAnsi"/>
        </w:rPr>
      </w:pPr>
      <w:r w:rsidRPr="00862EFB">
        <w:rPr>
          <w:rFonts w:cstheme="minorHAnsi"/>
        </w:rPr>
        <w:t>__________</w:t>
      </w:r>
    </w:p>
    <w:p w14:paraId="45F7D4E7" w14:textId="77777777" w:rsidR="008A7196" w:rsidRPr="00862EFB" w:rsidRDefault="008A7196" w:rsidP="008A7196">
      <w:pPr>
        <w:rPr>
          <w:rFonts w:cstheme="minorHAnsi"/>
        </w:rPr>
      </w:pPr>
    </w:p>
    <w:p w14:paraId="4FAF765D" w14:textId="77777777" w:rsidR="008A7196" w:rsidRPr="00862EFB" w:rsidRDefault="008A7196" w:rsidP="008A7196">
      <w:pPr>
        <w:rPr>
          <w:rFonts w:cstheme="minorHAnsi"/>
        </w:rPr>
      </w:pPr>
      <w:r w:rsidRPr="00862EFB">
        <w:rPr>
          <w:rFonts w:cstheme="minorHAnsi"/>
        </w:rPr>
        <w:t>Average: __________</w:t>
      </w:r>
    </w:p>
    <w:p w14:paraId="195C9C76" w14:textId="77777777" w:rsidR="008A7196" w:rsidRPr="00862EFB" w:rsidRDefault="008A7196" w:rsidP="008A7196">
      <w:pPr>
        <w:rPr>
          <w:rFonts w:cstheme="minorHAnsi"/>
        </w:rPr>
      </w:pPr>
    </w:p>
    <w:p w14:paraId="10EB2A12" w14:textId="77777777" w:rsidR="008A7196" w:rsidRPr="00862EFB" w:rsidRDefault="008A7196" w:rsidP="008A7196">
      <w:pPr>
        <w:rPr>
          <w:rFonts w:cstheme="minorHAnsi"/>
          <w:b/>
          <w:bCs/>
        </w:rPr>
      </w:pPr>
      <w:r w:rsidRPr="00862EFB">
        <w:rPr>
          <w:rFonts w:cstheme="minorHAnsi"/>
          <w:b/>
          <w:bCs/>
        </w:rPr>
        <w:t>Sit to stand</w:t>
      </w:r>
    </w:p>
    <w:p w14:paraId="28B9A7CB" w14:textId="77777777" w:rsidR="008A7196" w:rsidRPr="00862EFB" w:rsidRDefault="008A7196" w:rsidP="008A7196">
      <w:pPr>
        <w:rPr>
          <w:rFonts w:cstheme="minorHAnsi"/>
        </w:rPr>
      </w:pPr>
    </w:p>
    <w:p w14:paraId="7566D383" w14:textId="77777777" w:rsidR="008A7196" w:rsidRPr="00862EFB" w:rsidRDefault="008A7196" w:rsidP="008A7196">
      <w:pPr>
        <w:rPr>
          <w:rFonts w:cstheme="minorHAnsi"/>
        </w:rPr>
      </w:pPr>
    </w:p>
    <w:p w14:paraId="04CD2E59" w14:textId="77777777" w:rsidR="008A7196" w:rsidRPr="00862EFB" w:rsidRDefault="008A7196" w:rsidP="008A7196">
      <w:pPr>
        <w:rPr>
          <w:rFonts w:cstheme="minorHAnsi"/>
        </w:rPr>
      </w:pPr>
      <w:r w:rsidRPr="00862EFB">
        <w:rPr>
          <w:rFonts w:cstheme="minorHAnsi"/>
        </w:rPr>
        <w:t>Time to do X5 sit to rise: _________ (seconds)* Lap stop watch</w:t>
      </w:r>
    </w:p>
    <w:p w14:paraId="4E77B338" w14:textId="77777777" w:rsidR="008A7196" w:rsidRPr="00862EFB" w:rsidRDefault="008A7196" w:rsidP="008A7196">
      <w:pPr>
        <w:rPr>
          <w:rFonts w:cstheme="minorHAnsi"/>
        </w:rPr>
      </w:pPr>
    </w:p>
    <w:p w14:paraId="61234F99" w14:textId="77777777" w:rsidR="008A7196" w:rsidRPr="00862EFB" w:rsidRDefault="008A7196" w:rsidP="008A7196">
      <w:pPr>
        <w:rPr>
          <w:rFonts w:cstheme="minorHAnsi"/>
        </w:rPr>
      </w:pPr>
    </w:p>
    <w:p w14:paraId="22B17BC6" w14:textId="77777777" w:rsidR="008A7196" w:rsidRPr="00862EFB" w:rsidRDefault="008A7196" w:rsidP="008A7196">
      <w:pPr>
        <w:rPr>
          <w:rFonts w:cstheme="minorHAnsi"/>
        </w:rPr>
      </w:pPr>
      <w:r w:rsidRPr="00862EFB">
        <w:rPr>
          <w:rFonts w:cstheme="minorHAnsi"/>
        </w:rPr>
        <w:t xml:space="preserve">Sit to stand - 1-minute rise test:_________ </w:t>
      </w:r>
    </w:p>
    <w:p w14:paraId="0DE61095" w14:textId="77777777" w:rsidR="008A7196" w:rsidRPr="00862EFB" w:rsidRDefault="008A7196" w:rsidP="008A7196">
      <w:pPr>
        <w:rPr>
          <w:rFonts w:cstheme="minorHAnsi"/>
        </w:rPr>
      </w:pPr>
    </w:p>
    <w:p w14:paraId="4E16D9B4" w14:textId="77777777" w:rsidR="008A7196" w:rsidRPr="00862EFB" w:rsidRDefault="008A7196" w:rsidP="008A7196">
      <w:pPr>
        <w:rPr>
          <w:rFonts w:cstheme="minorHAnsi"/>
        </w:rPr>
      </w:pPr>
    </w:p>
    <w:p w14:paraId="5DAAA35C" w14:textId="77777777" w:rsidR="008A7196" w:rsidRPr="00862EFB" w:rsidRDefault="008A7196" w:rsidP="008A7196">
      <w:pPr>
        <w:rPr>
          <w:rFonts w:cstheme="minorHAnsi"/>
        </w:rPr>
      </w:pPr>
      <w:r w:rsidRPr="00862EFB">
        <w:rPr>
          <w:rFonts w:cstheme="minorHAnsi"/>
          <w:b/>
          <w:bCs/>
        </w:rPr>
        <w:t>Balance test</w:t>
      </w:r>
      <w:r w:rsidRPr="00862EFB">
        <w:rPr>
          <w:rFonts w:cstheme="minorHAnsi"/>
        </w:rPr>
        <w:t>: _____________seconds</w:t>
      </w:r>
    </w:p>
    <w:p w14:paraId="7649D982" w14:textId="77777777" w:rsidR="008A7196" w:rsidRPr="00862EFB" w:rsidRDefault="008A7196" w:rsidP="008A7196">
      <w:pPr>
        <w:rPr>
          <w:rFonts w:cstheme="minorHAnsi"/>
        </w:rPr>
      </w:pPr>
    </w:p>
    <w:p w14:paraId="0A2A4F4F" w14:textId="77777777" w:rsidR="008A7196" w:rsidRPr="00862EFB" w:rsidRDefault="008A7196" w:rsidP="008A7196">
      <w:pPr>
        <w:rPr>
          <w:rFonts w:cstheme="minorHAnsi"/>
        </w:rPr>
      </w:pPr>
    </w:p>
    <w:p w14:paraId="14313F93" w14:textId="77777777" w:rsidR="008A7196" w:rsidRPr="00862EFB" w:rsidRDefault="008A7196" w:rsidP="008A7196">
      <w:pPr>
        <w:rPr>
          <w:rFonts w:cstheme="minorHAnsi"/>
          <w:b/>
          <w:bCs/>
        </w:rPr>
      </w:pPr>
      <w:r w:rsidRPr="00862EFB">
        <w:rPr>
          <w:rFonts w:cstheme="minorHAnsi"/>
          <w:b/>
          <w:bCs/>
        </w:rPr>
        <w:t>Sit and reach test:</w:t>
      </w:r>
    </w:p>
    <w:p w14:paraId="4060B4E2" w14:textId="77777777" w:rsidR="008A7196" w:rsidRPr="00862EFB" w:rsidRDefault="008A7196">
      <w:pPr>
        <w:pStyle w:val="ListParagraph"/>
        <w:numPr>
          <w:ilvl w:val="0"/>
          <w:numId w:val="52"/>
        </w:numPr>
        <w:rPr>
          <w:rFonts w:cstheme="minorHAnsi"/>
        </w:rPr>
      </w:pPr>
      <w:r w:rsidRPr="00862EFB">
        <w:rPr>
          <w:rFonts w:cstheme="minorHAnsi"/>
        </w:rPr>
        <w:t xml:space="preserve">__________ </w:t>
      </w:r>
    </w:p>
    <w:p w14:paraId="59080AB5" w14:textId="77777777" w:rsidR="008A7196" w:rsidRPr="00862EFB" w:rsidRDefault="008A7196" w:rsidP="008A7196">
      <w:pPr>
        <w:pStyle w:val="ListParagraph"/>
        <w:ind w:left="360"/>
        <w:rPr>
          <w:rFonts w:cstheme="minorHAnsi"/>
        </w:rPr>
      </w:pPr>
    </w:p>
    <w:p w14:paraId="248F9BF8" w14:textId="77777777" w:rsidR="008A7196" w:rsidRPr="00862EFB" w:rsidRDefault="008A7196">
      <w:pPr>
        <w:pStyle w:val="ListParagraph"/>
        <w:numPr>
          <w:ilvl w:val="0"/>
          <w:numId w:val="52"/>
        </w:numPr>
        <w:rPr>
          <w:rFonts w:cstheme="minorHAnsi"/>
        </w:rPr>
      </w:pPr>
      <w:r w:rsidRPr="00862EFB">
        <w:rPr>
          <w:rFonts w:cstheme="minorHAnsi"/>
        </w:rPr>
        <w:t>__________</w:t>
      </w:r>
    </w:p>
    <w:p w14:paraId="345F473F" w14:textId="77777777" w:rsidR="008A7196" w:rsidRPr="00862EFB" w:rsidRDefault="008A7196" w:rsidP="008A7196">
      <w:pPr>
        <w:rPr>
          <w:rFonts w:cstheme="minorHAnsi"/>
        </w:rPr>
      </w:pPr>
    </w:p>
    <w:p w14:paraId="463D00AC" w14:textId="77777777" w:rsidR="008A7196" w:rsidRPr="00862EFB" w:rsidRDefault="008A7196">
      <w:pPr>
        <w:pStyle w:val="ListParagraph"/>
        <w:numPr>
          <w:ilvl w:val="0"/>
          <w:numId w:val="52"/>
        </w:numPr>
        <w:rPr>
          <w:rFonts w:cstheme="minorHAnsi"/>
        </w:rPr>
      </w:pPr>
      <w:r w:rsidRPr="00862EFB">
        <w:rPr>
          <w:rFonts w:cstheme="minorHAnsi"/>
        </w:rPr>
        <w:t>__________</w:t>
      </w:r>
    </w:p>
    <w:p w14:paraId="2D4F9696" w14:textId="77777777" w:rsidR="008A7196" w:rsidRPr="00862EFB" w:rsidRDefault="008A7196" w:rsidP="008A7196">
      <w:pPr>
        <w:rPr>
          <w:rFonts w:cstheme="minorHAnsi"/>
        </w:rPr>
      </w:pPr>
    </w:p>
    <w:p w14:paraId="6150B2A3" w14:textId="77777777" w:rsidR="008A7196" w:rsidRPr="00862EFB" w:rsidRDefault="008A7196" w:rsidP="008A7196">
      <w:pPr>
        <w:rPr>
          <w:rFonts w:cstheme="minorHAnsi"/>
        </w:rPr>
      </w:pPr>
      <w:r w:rsidRPr="00862EFB">
        <w:rPr>
          <w:rFonts w:cstheme="minorHAnsi"/>
        </w:rPr>
        <w:t>Average: __________</w:t>
      </w:r>
    </w:p>
    <w:p w14:paraId="6FE1EF41" w14:textId="77777777" w:rsidR="008A7196" w:rsidRPr="00862EFB" w:rsidRDefault="008A7196" w:rsidP="008A7196">
      <w:pPr>
        <w:rPr>
          <w:rFonts w:cstheme="minorHAnsi"/>
        </w:rPr>
      </w:pPr>
    </w:p>
    <w:p w14:paraId="49A47ADD" w14:textId="77777777" w:rsidR="008A7196" w:rsidRPr="00862EFB" w:rsidRDefault="008A7196" w:rsidP="008A7196">
      <w:pPr>
        <w:rPr>
          <w:rFonts w:cstheme="minorHAnsi"/>
        </w:rPr>
      </w:pPr>
    </w:p>
    <w:p w14:paraId="460A39A4" w14:textId="77777777" w:rsidR="008A7196" w:rsidRPr="00862EFB" w:rsidRDefault="008A7196" w:rsidP="008A7196">
      <w:pPr>
        <w:rPr>
          <w:rFonts w:cstheme="minorHAnsi"/>
        </w:rPr>
      </w:pPr>
    </w:p>
    <w:p w14:paraId="11521BC0" w14:textId="77777777" w:rsidR="008A7196" w:rsidRPr="00862EFB" w:rsidRDefault="008A7196" w:rsidP="008A7196">
      <w:pPr>
        <w:rPr>
          <w:rFonts w:cstheme="minorHAnsi"/>
        </w:rPr>
      </w:pPr>
    </w:p>
    <w:p w14:paraId="15FF600E" w14:textId="77777777" w:rsidR="008A7196" w:rsidRPr="00862EFB" w:rsidRDefault="008A7196" w:rsidP="008A7196">
      <w:pPr>
        <w:rPr>
          <w:rFonts w:cstheme="minorHAnsi"/>
        </w:rPr>
      </w:pPr>
      <w:r w:rsidRPr="00862EFB">
        <w:rPr>
          <w:rFonts w:cstheme="minorHAnsi"/>
        </w:rPr>
        <w:t>Appendix 20: RAPA Questionnaire</w:t>
      </w:r>
    </w:p>
    <w:p w14:paraId="0114C19F" w14:textId="77777777" w:rsidR="008A7196" w:rsidRPr="00862EFB" w:rsidRDefault="008A7196" w:rsidP="008A7196">
      <w:pPr>
        <w:rPr>
          <w:rFonts w:cstheme="minorHAnsi"/>
        </w:rPr>
      </w:pPr>
      <w:r w:rsidRPr="00862EFB">
        <w:rPr>
          <w:rFonts w:cstheme="minorHAnsi"/>
          <w:noProof/>
        </w:rPr>
        <w:drawing>
          <wp:inline distT="0" distB="0" distL="0" distR="0" wp14:anchorId="16D083BA" wp14:editId="585A4638">
            <wp:extent cx="6368778" cy="8241947"/>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0">
                      <a:extLst>
                        <a:ext uri="{28A0092B-C50C-407E-A947-70E740481C1C}">
                          <a14:useLocalDpi xmlns:a14="http://schemas.microsoft.com/office/drawing/2010/main" val="0"/>
                        </a:ext>
                      </a:extLst>
                    </a:blip>
                    <a:stretch>
                      <a:fillRect/>
                    </a:stretch>
                  </pic:blipFill>
                  <pic:spPr>
                    <a:xfrm>
                      <a:off x="0" y="0"/>
                      <a:ext cx="6389673" cy="8268988"/>
                    </a:xfrm>
                    <a:prstGeom prst="rect">
                      <a:avLst/>
                    </a:prstGeom>
                  </pic:spPr>
                </pic:pic>
              </a:graphicData>
            </a:graphic>
          </wp:inline>
        </w:drawing>
      </w:r>
    </w:p>
    <w:p w14:paraId="14549DA6"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1A44AF68" wp14:editId="5809F32F">
            <wp:extent cx="5727700" cy="74123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1">
                      <a:extLst>
                        <a:ext uri="{28A0092B-C50C-407E-A947-70E740481C1C}">
                          <a14:useLocalDpi xmlns:a14="http://schemas.microsoft.com/office/drawing/2010/main" val="0"/>
                        </a:ext>
                      </a:extLst>
                    </a:blip>
                    <a:stretch>
                      <a:fillRect/>
                    </a:stretch>
                  </pic:blipFill>
                  <pic:spPr>
                    <a:xfrm>
                      <a:off x="0" y="0"/>
                      <a:ext cx="5727700" cy="7412355"/>
                    </a:xfrm>
                    <a:prstGeom prst="rect">
                      <a:avLst/>
                    </a:prstGeom>
                  </pic:spPr>
                </pic:pic>
              </a:graphicData>
            </a:graphic>
          </wp:inline>
        </w:drawing>
      </w:r>
    </w:p>
    <w:p w14:paraId="0D309538"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10C33A14" wp14:editId="2C97C93D">
            <wp:extent cx="5727700" cy="741235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2">
                      <a:extLst>
                        <a:ext uri="{28A0092B-C50C-407E-A947-70E740481C1C}">
                          <a14:useLocalDpi xmlns:a14="http://schemas.microsoft.com/office/drawing/2010/main" val="0"/>
                        </a:ext>
                      </a:extLst>
                    </a:blip>
                    <a:stretch>
                      <a:fillRect/>
                    </a:stretch>
                  </pic:blipFill>
                  <pic:spPr>
                    <a:xfrm>
                      <a:off x="0" y="0"/>
                      <a:ext cx="5727700" cy="7412355"/>
                    </a:xfrm>
                    <a:prstGeom prst="rect">
                      <a:avLst/>
                    </a:prstGeom>
                  </pic:spPr>
                </pic:pic>
              </a:graphicData>
            </a:graphic>
          </wp:inline>
        </w:drawing>
      </w:r>
    </w:p>
    <w:p w14:paraId="1BD92EE5"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560FF6EF" wp14:editId="3D811D7E">
            <wp:extent cx="6174105" cy="79900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3">
                      <a:extLst>
                        <a:ext uri="{28A0092B-C50C-407E-A947-70E740481C1C}">
                          <a14:useLocalDpi xmlns:a14="http://schemas.microsoft.com/office/drawing/2010/main" val="0"/>
                        </a:ext>
                      </a:extLst>
                    </a:blip>
                    <a:stretch>
                      <a:fillRect/>
                    </a:stretch>
                  </pic:blipFill>
                  <pic:spPr>
                    <a:xfrm>
                      <a:off x="0" y="0"/>
                      <a:ext cx="6181176" cy="7999209"/>
                    </a:xfrm>
                    <a:prstGeom prst="rect">
                      <a:avLst/>
                    </a:prstGeom>
                  </pic:spPr>
                </pic:pic>
              </a:graphicData>
            </a:graphic>
          </wp:inline>
        </w:drawing>
      </w:r>
    </w:p>
    <w:p w14:paraId="75E8C318" w14:textId="77777777" w:rsidR="008A7196" w:rsidRPr="00862EFB" w:rsidRDefault="008A7196" w:rsidP="008A7196">
      <w:pPr>
        <w:rPr>
          <w:rFonts w:cstheme="minorHAnsi"/>
        </w:rPr>
      </w:pPr>
    </w:p>
    <w:p w14:paraId="7D91653E" w14:textId="77777777" w:rsidR="008A7196" w:rsidRPr="00862EFB" w:rsidRDefault="008A7196" w:rsidP="008A7196">
      <w:pPr>
        <w:rPr>
          <w:rFonts w:cstheme="minorHAnsi"/>
        </w:rPr>
      </w:pPr>
    </w:p>
    <w:p w14:paraId="4DE5E4F2" w14:textId="77777777" w:rsidR="008A7196" w:rsidRPr="00862EFB" w:rsidRDefault="008A7196" w:rsidP="008A7196">
      <w:pPr>
        <w:rPr>
          <w:rFonts w:cstheme="minorHAnsi"/>
        </w:rPr>
      </w:pPr>
    </w:p>
    <w:p w14:paraId="078D07A3" w14:textId="77777777" w:rsidR="008A7196" w:rsidRPr="00862EFB" w:rsidRDefault="008A7196" w:rsidP="008A7196">
      <w:pPr>
        <w:rPr>
          <w:rFonts w:cstheme="minorHAnsi"/>
          <w:highlight w:val="green"/>
        </w:rPr>
        <w:sectPr w:rsidR="008A7196" w:rsidRPr="00862EFB" w:rsidSect="00E06A7F">
          <w:pgSz w:w="11900" w:h="16840"/>
          <w:pgMar w:top="1440" w:right="1440" w:bottom="1440" w:left="1440" w:header="708" w:footer="708" w:gutter="0"/>
          <w:cols w:space="708"/>
          <w:docGrid w:linePitch="360"/>
        </w:sectPr>
      </w:pPr>
    </w:p>
    <w:p w14:paraId="486AA506" w14:textId="77777777" w:rsidR="008A7196" w:rsidRPr="00862EFB" w:rsidRDefault="008A7196" w:rsidP="008A7196">
      <w:pPr>
        <w:rPr>
          <w:rFonts w:cstheme="minorHAnsi"/>
        </w:rPr>
      </w:pPr>
      <w:r w:rsidRPr="00862EFB">
        <w:rPr>
          <w:rFonts w:cstheme="minorHAnsi"/>
        </w:rPr>
        <w:lastRenderedPageBreak/>
        <w:t>Appendix 21: Familiarisation notes</w:t>
      </w:r>
    </w:p>
    <w:p w14:paraId="3E49A27C" w14:textId="77777777" w:rsidR="008A7196" w:rsidRPr="00862EFB" w:rsidRDefault="008A7196" w:rsidP="008A7196">
      <w:pPr>
        <w:rPr>
          <w:rFonts w:cstheme="minorHAnsi"/>
        </w:rPr>
      </w:pPr>
      <w:r w:rsidRPr="00862EFB">
        <w:rPr>
          <w:rFonts w:cstheme="minorHAnsi"/>
          <w:noProof/>
        </w:rPr>
        <w:drawing>
          <wp:inline distT="0" distB="0" distL="0" distR="0" wp14:anchorId="1D554F7B" wp14:editId="6CD6D9F4">
            <wp:extent cx="4052570" cy="5727700"/>
            <wp:effectExtent l="635" t="0" r="0" b="0"/>
            <wp:docPr id="86" name="Picture 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Diagram&#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29EB3794" w14:textId="77777777" w:rsidR="008A7196" w:rsidRPr="00862EFB" w:rsidRDefault="008A7196" w:rsidP="008A7196">
      <w:pPr>
        <w:rPr>
          <w:rFonts w:cstheme="minorHAnsi"/>
        </w:rPr>
      </w:pPr>
    </w:p>
    <w:p w14:paraId="3FBFFC03" w14:textId="77777777" w:rsidR="008A7196" w:rsidRPr="00862EFB" w:rsidRDefault="008A7196" w:rsidP="008A7196">
      <w:pPr>
        <w:rPr>
          <w:rFonts w:cstheme="minorHAnsi"/>
        </w:rPr>
      </w:pPr>
    </w:p>
    <w:p w14:paraId="4333D15C" w14:textId="77777777" w:rsidR="008A7196" w:rsidRPr="00862EFB" w:rsidRDefault="008A7196" w:rsidP="008A7196">
      <w:pPr>
        <w:rPr>
          <w:rFonts w:cstheme="minorHAnsi"/>
        </w:rPr>
      </w:pPr>
    </w:p>
    <w:p w14:paraId="35F3A132" w14:textId="77777777" w:rsidR="008A7196" w:rsidRPr="00862EFB" w:rsidRDefault="008A7196" w:rsidP="008A7196">
      <w:pPr>
        <w:rPr>
          <w:rFonts w:cstheme="minorHAnsi"/>
        </w:rPr>
      </w:pPr>
    </w:p>
    <w:p w14:paraId="5E7BCEC8" w14:textId="77777777" w:rsidR="008A7196" w:rsidRPr="00862EFB" w:rsidRDefault="008A7196" w:rsidP="008A7196">
      <w:pPr>
        <w:rPr>
          <w:rFonts w:cstheme="minorHAnsi"/>
        </w:rPr>
      </w:pPr>
    </w:p>
    <w:p w14:paraId="4EB8C3C5" w14:textId="77777777" w:rsidR="008A7196" w:rsidRPr="00862EFB" w:rsidRDefault="008A7196" w:rsidP="008A7196">
      <w:pPr>
        <w:rPr>
          <w:rFonts w:cstheme="minorHAnsi"/>
        </w:rPr>
      </w:pPr>
    </w:p>
    <w:p w14:paraId="213B32BC" w14:textId="77777777" w:rsidR="008A7196" w:rsidRPr="00862EFB" w:rsidRDefault="008A7196" w:rsidP="008A7196">
      <w:pPr>
        <w:rPr>
          <w:rFonts w:cstheme="minorHAnsi"/>
        </w:rPr>
      </w:pPr>
    </w:p>
    <w:p w14:paraId="77162BC9" w14:textId="77777777" w:rsidR="008A7196" w:rsidRPr="00862EFB" w:rsidRDefault="008A7196" w:rsidP="008A7196">
      <w:pPr>
        <w:rPr>
          <w:rFonts w:cstheme="minorHAnsi"/>
        </w:rPr>
      </w:pPr>
    </w:p>
    <w:p w14:paraId="289AC7E4"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09744F4B" wp14:editId="4E12A838">
            <wp:extent cx="5680369" cy="8028350"/>
            <wp:effectExtent l="0" t="5715" r="3810" b="3810"/>
            <wp:docPr id="88" name="Picture 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Diagram&#10;&#10;Description automatically generated"/>
                    <pic:cNvPicPr/>
                  </pic:nvPicPr>
                  <pic:blipFill>
                    <a:blip r:embed="rId165" cstate="print">
                      <a:extLst>
                        <a:ext uri="{28A0092B-C50C-407E-A947-70E740481C1C}">
                          <a14:useLocalDpi xmlns:a14="http://schemas.microsoft.com/office/drawing/2010/main" val="0"/>
                        </a:ext>
                      </a:extLst>
                    </a:blip>
                    <a:stretch>
                      <a:fillRect/>
                    </a:stretch>
                  </pic:blipFill>
                  <pic:spPr>
                    <a:xfrm rot="5400000">
                      <a:off x="0" y="0"/>
                      <a:ext cx="5682235" cy="8030987"/>
                    </a:xfrm>
                    <a:prstGeom prst="rect">
                      <a:avLst/>
                    </a:prstGeom>
                  </pic:spPr>
                </pic:pic>
              </a:graphicData>
            </a:graphic>
          </wp:inline>
        </w:drawing>
      </w:r>
    </w:p>
    <w:p w14:paraId="54F331B2" w14:textId="77777777" w:rsidR="008A7196" w:rsidRPr="00862EFB" w:rsidRDefault="008A7196" w:rsidP="008A7196">
      <w:pPr>
        <w:rPr>
          <w:rFonts w:cstheme="minorHAnsi"/>
        </w:rPr>
      </w:pPr>
    </w:p>
    <w:p w14:paraId="10C65887" w14:textId="77777777" w:rsidR="008A7196" w:rsidRPr="00862EFB" w:rsidRDefault="008A7196" w:rsidP="008A7196">
      <w:pPr>
        <w:rPr>
          <w:rFonts w:cstheme="minorHAnsi"/>
        </w:rPr>
      </w:pPr>
      <w:r w:rsidRPr="00862EFB">
        <w:rPr>
          <w:rFonts w:cstheme="minorHAnsi"/>
          <w:noProof/>
        </w:rPr>
        <w:drawing>
          <wp:inline distT="0" distB="0" distL="0" distR="0" wp14:anchorId="3CCC3A1F" wp14:editId="01DE7F92">
            <wp:extent cx="4052570" cy="5727700"/>
            <wp:effectExtent l="635" t="0" r="0" b="0"/>
            <wp:docPr id="85" name="Picture 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diagram&#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243EE4DF" w14:textId="77777777" w:rsidR="008A7196" w:rsidRPr="00862EFB" w:rsidRDefault="008A7196" w:rsidP="008A7196">
      <w:pPr>
        <w:rPr>
          <w:rFonts w:cstheme="minorHAnsi"/>
        </w:rPr>
      </w:pPr>
      <w:r w:rsidRPr="00862EFB">
        <w:rPr>
          <w:rFonts w:cstheme="minorHAnsi"/>
          <w:noProof/>
        </w:rPr>
        <w:lastRenderedPageBreak/>
        <w:drawing>
          <wp:inline distT="0" distB="0" distL="0" distR="0" wp14:anchorId="4FD0C261" wp14:editId="16BDE1E1">
            <wp:extent cx="4052570" cy="5727700"/>
            <wp:effectExtent l="635" t="0" r="0" b="0"/>
            <wp:docPr id="84" name="Picture 84"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whiteboard&#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1BDF10D6" w14:textId="77777777" w:rsidR="008A7196" w:rsidRPr="00862EFB" w:rsidRDefault="008A7196" w:rsidP="008A7196">
      <w:pPr>
        <w:rPr>
          <w:rFonts w:cstheme="minorHAnsi"/>
          <w:highlight w:val="green"/>
        </w:rPr>
      </w:pPr>
      <w:r w:rsidRPr="00862EFB">
        <w:rPr>
          <w:rFonts w:cstheme="minorHAnsi"/>
          <w:noProof/>
        </w:rPr>
        <w:lastRenderedPageBreak/>
        <w:drawing>
          <wp:inline distT="0" distB="0" distL="0" distR="0" wp14:anchorId="0D8F28AB" wp14:editId="4817D6E0">
            <wp:extent cx="5667306" cy="8009887"/>
            <wp:effectExtent l="0" t="2858" r="0" b="0"/>
            <wp:docPr id="83" name="Picture 8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whiteboard&#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rot="5400000">
                      <a:off x="0" y="0"/>
                      <a:ext cx="5681460" cy="8029892"/>
                    </a:xfrm>
                    <a:prstGeom prst="rect">
                      <a:avLst/>
                    </a:prstGeom>
                  </pic:spPr>
                </pic:pic>
              </a:graphicData>
            </a:graphic>
          </wp:inline>
        </w:drawing>
      </w:r>
    </w:p>
    <w:p w14:paraId="5795A2B4" w14:textId="77777777" w:rsidR="008A7196" w:rsidRPr="00862EFB" w:rsidRDefault="008A7196" w:rsidP="008A7196">
      <w:pPr>
        <w:rPr>
          <w:rFonts w:cstheme="minorHAnsi"/>
          <w:highlight w:val="green"/>
        </w:rPr>
      </w:pPr>
      <w:r w:rsidRPr="00862EFB">
        <w:rPr>
          <w:rFonts w:cstheme="minorHAnsi"/>
          <w:noProof/>
        </w:rPr>
        <w:lastRenderedPageBreak/>
        <w:drawing>
          <wp:inline distT="0" distB="0" distL="0" distR="0" wp14:anchorId="559B3667" wp14:editId="3E82DDE4">
            <wp:extent cx="5399632" cy="7631570"/>
            <wp:effectExtent l="1588" t="0" r="0" b="0"/>
            <wp:docPr id="87" name="Picture 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Diagram&#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rot="5400000">
                      <a:off x="0" y="0"/>
                      <a:ext cx="5404935" cy="7639065"/>
                    </a:xfrm>
                    <a:prstGeom prst="rect">
                      <a:avLst/>
                    </a:prstGeom>
                  </pic:spPr>
                </pic:pic>
              </a:graphicData>
            </a:graphic>
          </wp:inline>
        </w:drawing>
      </w:r>
    </w:p>
    <w:p w14:paraId="228FBFBD" w14:textId="77777777" w:rsidR="008A7196" w:rsidRPr="00862EFB" w:rsidRDefault="008A7196" w:rsidP="008A7196">
      <w:pPr>
        <w:rPr>
          <w:rFonts w:cstheme="minorHAnsi"/>
          <w:highlight w:val="green"/>
        </w:rPr>
      </w:pPr>
      <w:r w:rsidRPr="00862EFB">
        <w:rPr>
          <w:rFonts w:cstheme="minorHAnsi"/>
          <w:noProof/>
        </w:rPr>
        <w:lastRenderedPageBreak/>
        <w:drawing>
          <wp:inline distT="0" distB="0" distL="0" distR="0" wp14:anchorId="3D8750D1" wp14:editId="0B34255D">
            <wp:extent cx="5550974" cy="7845470"/>
            <wp:effectExtent l="0" t="4445" r="0" b="0"/>
            <wp:docPr id="81" name="Picture 8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 whiteboard&#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rot="5400000">
                      <a:off x="0" y="0"/>
                      <a:ext cx="5565016" cy="7865316"/>
                    </a:xfrm>
                    <a:prstGeom prst="rect">
                      <a:avLst/>
                    </a:prstGeom>
                  </pic:spPr>
                </pic:pic>
              </a:graphicData>
            </a:graphic>
          </wp:inline>
        </w:drawing>
      </w:r>
    </w:p>
    <w:p w14:paraId="7FBB8229" w14:textId="77777777" w:rsidR="008A7196" w:rsidRPr="00862EFB" w:rsidRDefault="008A7196" w:rsidP="008A7196">
      <w:pPr>
        <w:rPr>
          <w:rFonts w:cstheme="minorHAnsi"/>
          <w:highlight w:val="green"/>
        </w:rPr>
      </w:pPr>
    </w:p>
    <w:p w14:paraId="577D4A31" w14:textId="77777777" w:rsidR="008A7196" w:rsidRPr="00862EFB" w:rsidRDefault="008A7196" w:rsidP="008A7196">
      <w:pPr>
        <w:rPr>
          <w:rFonts w:cstheme="minorHAnsi"/>
          <w:highlight w:val="green"/>
        </w:rPr>
      </w:pPr>
      <w:r w:rsidRPr="00862EFB">
        <w:rPr>
          <w:rFonts w:cstheme="minorHAnsi"/>
          <w:noProof/>
        </w:rPr>
        <w:drawing>
          <wp:inline distT="0" distB="0" distL="0" distR="0" wp14:anchorId="6A8A268B" wp14:editId="50F58075">
            <wp:extent cx="4052570" cy="5727700"/>
            <wp:effectExtent l="635" t="0" r="0" b="0"/>
            <wp:docPr id="89" name="Picture 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7C9417D5" w14:textId="77777777" w:rsidR="008A7196" w:rsidRPr="00862EFB" w:rsidRDefault="008A7196" w:rsidP="008A7196">
      <w:pPr>
        <w:rPr>
          <w:rFonts w:cstheme="minorHAnsi"/>
          <w:highlight w:val="green"/>
        </w:rPr>
      </w:pPr>
    </w:p>
    <w:p w14:paraId="58634502" w14:textId="77777777" w:rsidR="008A7196" w:rsidRPr="00862EFB" w:rsidRDefault="008A7196" w:rsidP="008A7196">
      <w:pPr>
        <w:rPr>
          <w:rFonts w:cstheme="minorHAnsi"/>
          <w:highlight w:val="green"/>
        </w:rPr>
      </w:pPr>
      <w:r w:rsidRPr="00862EFB">
        <w:rPr>
          <w:rFonts w:cstheme="minorHAnsi"/>
          <w:noProof/>
        </w:rPr>
        <w:lastRenderedPageBreak/>
        <w:drawing>
          <wp:inline distT="0" distB="0" distL="0" distR="0" wp14:anchorId="754DD9CC" wp14:editId="46A96A62">
            <wp:extent cx="4052570" cy="5727700"/>
            <wp:effectExtent l="635" t="0" r="0" b="0"/>
            <wp:docPr id="90" name="Picture 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Diagram&#10;&#10;Description automatically generated"/>
                    <pic:cNvPicPr/>
                  </pic:nvPicPr>
                  <pic:blipFill>
                    <a:blip r:embed="rId172"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735B36AA" w14:textId="77777777" w:rsidR="008A7196" w:rsidRPr="00862EFB" w:rsidRDefault="008A7196" w:rsidP="008A7196">
      <w:pPr>
        <w:rPr>
          <w:rFonts w:cstheme="minorHAnsi"/>
          <w:highlight w:val="green"/>
        </w:rPr>
      </w:pPr>
    </w:p>
    <w:p w14:paraId="0D4D08E7" w14:textId="77777777" w:rsidR="008A7196" w:rsidRPr="00862EFB" w:rsidRDefault="008A7196" w:rsidP="008A7196">
      <w:pPr>
        <w:rPr>
          <w:rFonts w:cstheme="minorHAnsi"/>
          <w:highlight w:val="green"/>
        </w:rPr>
      </w:pPr>
      <w:r w:rsidRPr="00862EFB">
        <w:rPr>
          <w:rFonts w:cstheme="minorHAnsi"/>
          <w:noProof/>
        </w:rPr>
        <w:lastRenderedPageBreak/>
        <w:drawing>
          <wp:inline distT="0" distB="0" distL="0" distR="0" wp14:anchorId="6C63146E" wp14:editId="3013B034">
            <wp:extent cx="4052570" cy="5727700"/>
            <wp:effectExtent l="635" t="0" r="0" b="0"/>
            <wp:docPr id="91" name="Picture 9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ext&#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5F5B442F" w14:textId="77777777" w:rsidR="008A7196" w:rsidRPr="00862EFB" w:rsidRDefault="008A7196" w:rsidP="008A7196">
      <w:pPr>
        <w:rPr>
          <w:rFonts w:cstheme="minorHAnsi"/>
          <w:highlight w:val="green"/>
        </w:rPr>
      </w:pPr>
    </w:p>
    <w:p w14:paraId="4B5396BD" w14:textId="77777777" w:rsidR="008A7196" w:rsidRPr="00862EFB" w:rsidRDefault="008A7196" w:rsidP="008A7196">
      <w:pPr>
        <w:rPr>
          <w:rFonts w:cstheme="minorHAnsi"/>
        </w:rPr>
      </w:pPr>
      <w:r w:rsidRPr="00862EFB">
        <w:rPr>
          <w:rFonts w:cstheme="minorHAnsi"/>
        </w:rPr>
        <w:fldChar w:fldCharType="begin"/>
      </w:r>
      <w:r w:rsidRPr="00862EFB">
        <w:rPr>
          <w:rFonts w:cstheme="minorHAnsi"/>
        </w:rPr>
        <w:instrText xml:space="preserve"> INCLUDEPICTURE "cid:75BB32DC-4B55-4B33-AFAB-E757A8652098" \* MERGEFORMATINET </w:instrText>
      </w:r>
      <w:r w:rsidRPr="00862EFB">
        <w:rPr>
          <w:rFonts w:cstheme="minorHAnsi"/>
        </w:rPr>
        <w:fldChar w:fldCharType="separate"/>
      </w:r>
      <w:r w:rsidRPr="00862EFB">
        <w:rPr>
          <w:rFonts w:cstheme="minorHAnsi"/>
          <w:noProof/>
        </w:rPr>
        <mc:AlternateContent>
          <mc:Choice Requires="wps">
            <w:drawing>
              <wp:inline distT="0" distB="0" distL="0" distR="0" wp14:anchorId="7E5B989F" wp14:editId="1AFB14E2">
                <wp:extent cx="300355" cy="300355"/>
                <wp:effectExtent l="0" t="0" r="0" b="0"/>
                <wp:docPr id="92" name="Rectangle 92" descr="scan_mdp19ert_2022-12-14-14-29-05.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w14:anchorId="1DDBE319" id="Rectangle 92" o:spid="_x0000_s1026" alt="scan_mdp19ert_2022-12-14-14-29-05.jpeg"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" filled="f" stroked="f">
                <o:lock v:ext="edit" aspectratio="t"/>
                <w10:anchorlock/>
              </v:rect>
            </w:pict>
          </mc:Fallback>
        </mc:AlternateContent>
      </w:r>
      <w:r w:rsidRPr="00862EFB">
        <w:rPr>
          <w:rFonts w:cstheme="minorHAnsi"/>
        </w:rPr>
        <w:fldChar w:fldCharType="end"/>
      </w:r>
      <w:r w:rsidRPr="00862EFB">
        <w:rPr>
          <w:rFonts w:cstheme="minorHAnsi"/>
        </w:rPr>
        <w:t xml:space="preserve"> </w:t>
      </w:r>
      <w:r w:rsidRPr="00862EFB">
        <w:rPr>
          <w:rFonts w:cstheme="minorHAnsi"/>
        </w:rPr>
        <w:fldChar w:fldCharType="begin"/>
      </w:r>
      <w:r w:rsidRPr="00862EFB">
        <w:rPr>
          <w:rFonts w:cstheme="minorHAnsi"/>
        </w:rPr>
        <w:instrText xml:space="preserve"> INCLUDEPICTURE "cid:75BB32DC-4B55-4B33-AFAB-E757A8652098" \* MERGEFORMATINET </w:instrText>
      </w:r>
      <w:r w:rsidRPr="00862EFB">
        <w:rPr>
          <w:rFonts w:cstheme="minorHAnsi"/>
        </w:rPr>
        <w:fldChar w:fldCharType="separate"/>
      </w:r>
      <w:r w:rsidRPr="00862EFB">
        <w:rPr>
          <w:rFonts w:cstheme="minorHAnsi"/>
          <w:noProof/>
        </w:rPr>
        <mc:AlternateContent>
          <mc:Choice Requires="wps">
            <w:drawing>
              <wp:inline distT="0" distB="0" distL="0" distR="0" wp14:anchorId="2D5CE52A" wp14:editId="5FD04589">
                <wp:extent cx="300355" cy="300355"/>
                <wp:effectExtent l="0" t="0" r="0" b="0"/>
                <wp:docPr id="93" name="Rectangle 93" descr="scan_mdp19ert_2022-12-14-14-29-05.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rect w14:anchorId="5C4395DE" id="Rectangle 93" o:spid="_x0000_s1026" alt="scan_mdp19ert_2022-12-14-14-29-05.jpeg"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" filled="f" stroked="f">
                <o:lock v:ext="edit" aspectratio="t"/>
                <w10:anchorlock/>
              </v:rect>
            </w:pict>
          </mc:Fallback>
        </mc:AlternateContent>
      </w:r>
      <w:r w:rsidRPr="00862EFB">
        <w:rPr>
          <w:rFonts w:cstheme="minorHAnsi"/>
        </w:rPr>
        <w:fldChar w:fldCharType="end"/>
      </w:r>
    </w:p>
    <w:p w14:paraId="60CABE6E" w14:textId="77777777" w:rsidR="008A7196" w:rsidRPr="00862EFB" w:rsidRDefault="008A7196" w:rsidP="008A7196">
      <w:pPr>
        <w:rPr>
          <w:rFonts w:cstheme="minorHAnsi"/>
        </w:rPr>
      </w:pPr>
    </w:p>
    <w:p w14:paraId="5CF85FC5" w14:textId="77777777" w:rsidR="008A7196" w:rsidRPr="00862EFB" w:rsidRDefault="008A7196" w:rsidP="008A7196">
      <w:pPr>
        <w:rPr>
          <w:rFonts w:cstheme="minorHAnsi"/>
        </w:rPr>
      </w:pPr>
    </w:p>
    <w:p w14:paraId="3F7EF24A" w14:textId="77777777" w:rsidR="008A7196" w:rsidRPr="00862EFB" w:rsidRDefault="008A7196" w:rsidP="008A7196">
      <w:pPr>
        <w:rPr>
          <w:rFonts w:cstheme="minorHAnsi"/>
        </w:rPr>
      </w:pPr>
    </w:p>
    <w:p w14:paraId="0421E60A" w14:textId="77777777" w:rsidR="008A7196" w:rsidRPr="00862EFB" w:rsidRDefault="008A7196" w:rsidP="008A7196">
      <w:pPr>
        <w:rPr>
          <w:rFonts w:cstheme="minorHAnsi"/>
        </w:rPr>
      </w:pPr>
    </w:p>
    <w:p w14:paraId="2382C95A" w14:textId="77777777" w:rsidR="008A7196" w:rsidRPr="00862EFB" w:rsidRDefault="008A7196" w:rsidP="008A7196">
      <w:pPr>
        <w:rPr>
          <w:rFonts w:cstheme="minorHAnsi"/>
          <w:highlight w:val="green"/>
        </w:rPr>
        <w:sectPr w:rsidR="008A7196" w:rsidRPr="00862EFB" w:rsidSect="000021A5">
          <w:pgSz w:w="16840" w:h="11900" w:orient="landscape"/>
          <w:pgMar w:top="1440" w:right="1440" w:bottom="1440" w:left="1440" w:header="708" w:footer="708" w:gutter="0"/>
          <w:cols w:space="708"/>
          <w:docGrid w:linePitch="360"/>
        </w:sectPr>
      </w:pPr>
      <w:r w:rsidRPr="00862EFB">
        <w:rPr>
          <w:rFonts w:cstheme="minorHAnsi"/>
          <w:noProof/>
        </w:rPr>
        <w:lastRenderedPageBreak/>
        <w:drawing>
          <wp:inline distT="0" distB="0" distL="0" distR="0" wp14:anchorId="54088B56" wp14:editId="66D631AA">
            <wp:extent cx="4052570" cy="5727700"/>
            <wp:effectExtent l="635" t="0" r="0" b="0"/>
            <wp:docPr id="94" name="Picture 9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ext, letter&#10;&#10;Description automatically generated"/>
                    <pic:cNvPicPr/>
                  </pic:nvPicPr>
                  <pic:blipFill>
                    <a:blip r:embed="rId174" cstate="print">
                      <a:extLst>
                        <a:ext uri="{28A0092B-C50C-407E-A947-70E740481C1C}">
                          <a14:useLocalDpi xmlns:a14="http://schemas.microsoft.com/office/drawing/2010/main" val="0"/>
                        </a:ext>
                      </a:extLst>
                    </a:blip>
                    <a:stretch>
                      <a:fillRect/>
                    </a:stretch>
                  </pic:blipFill>
                  <pic:spPr>
                    <a:xfrm rot="5400000">
                      <a:off x="0" y="0"/>
                      <a:ext cx="4052570" cy="5727700"/>
                    </a:xfrm>
                    <a:prstGeom prst="rect">
                      <a:avLst/>
                    </a:prstGeom>
                  </pic:spPr>
                </pic:pic>
              </a:graphicData>
            </a:graphic>
          </wp:inline>
        </w:drawing>
      </w:r>
    </w:p>
    <w:p w14:paraId="6B73529E" w14:textId="77777777" w:rsidR="008A7196" w:rsidRPr="00862EFB" w:rsidRDefault="008A7196" w:rsidP="008A7196">
      <w:pPr>
        <w:rPr>
          <w:rFonts w:cstheme="minorHAnsi"/>
        </w:rPr>
      </w:pPr>
      <w:r w:rsidRPr="00DB5156">
        <w:rPr>
          <w:rFonts w:cstheme="minorHAnsi"/>
        </w:rPr>
        <w:lastRenderedPageBreak/>
        <w:t>Appendix 22: Quirkos</w:t>
      </w:r>
    </w:p>
    <w:p w14:paraId="423557D5" w14:textId="77777777" w:rsidR="008A7196" w:rsidRPr="00862EFB" w:rsidRDefault="008A7196" w:rsidP="008A7196">
      <w:pPr>
        <w:rPr>
          <w:rFonts w:cstheme="minorHAnsi"/>
        </w:rPr>
      </w:pPr>
      <w:r w:rsidRPr="00862EFB">
        <w:rPr>
          <w:rFonts w:cstheme="minorHAnsi"/>
          <w:noProof/>
        </w:rPr>
        <w:drawing>
          <wp:inline distT="0" distB="0" distL="0" distR="0" wp14:anchorId="423C3547" wp14:editId="1AD4BB90">
            <wp:extent cx="5727700" cy="4500245"/>
            <wp:effectExtent l="0" t="0" r="0" b="0"/>
            <wp:docPr id="95" name="Picture 9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diagram&#10;&#10;Description automatically generated"/>
                    <pic:cNvPicPr/>
                  </pic:nvPicPr>
                  <pic:blipFill>
                    <a:blip r:embed="rId175"/>
                    <a:stretch>
                      <a:fillRect/>
                    </a:stretch>
                  </pic:blipFill>
                  <pic:spPr>
                    <a:xfrm>
                      <a:off x="0" y="0"/>
                      <a:ext cx="5727700" cy="4500245"/>
                    </a:xfrm>
                    <a:prstGeom prst="rect">
                      <a:avLst/>
                    </a:prstGeom>
                  </pic:spPr>
                </pic:pic>
              </a:graphicData>
            </a:graphic>
          </wp:inline>
        </w:drawing>
      </w:r>
    </w:p>
    <w:p w14:paraId="13775787" w14:textId="77777777" w:rsidR="008A7196" w:rsidRPr="00862EFB" w:rsidRDefault="008A7196" w:rsidP="008A7196">
      <w:pPr>
        <w:rPr>
          <w:rFonts w:cstheme="minorHAnsi"/>
        </w:rPr>
      </w:pPr>
    </w:p>
    <w:p w14:paraId="6465A504" w14:textId="77777777" w:rsidR="008A7196" w:rsidRPr="00862EFB" w:rsidRDefault="008A7196" w:rsidP="008A7196">
      <w:pPr>
        <w:rPr>
          <w:rFonts w:cstheme="minorHAnsi"/>
        </w:rPr>
      </w:pPr>
    </w:p>
    <w:p w14:paraId="13EB6A85" w14:textId="77777777" w:rsidR="00DB5156" w:rsidRDefault="00DB5156">
      <w:pPr>
        <w:rPr>
          <w:rFonts w:cstheme="minorHAnsi"/>
        </w:rPr>
      </w:pPr>
      <w:r>
        <w:rPr>
          <w:rFonts w:cstheme="minorHAnsi"/>
        </w:rPr>
        <w:br w:type="page"/>
      </w:r>
    </w:p>
    <w:p w14:paraId="2A787587" w14:textId="04A39DDA" w:rsidR="008A7196" w:rsidRPr="00862EFB" w:rsidRDefault="008A7196" w:rsidP="008A7196">
      <w:pPr>
        <w:rPr>
          <w:rFonts w:cstheme="minorHAnsi"/>
        </w:rPr>
      </w:pPr>
      <w:r w:rsidRPr="00862EFB">
        <w:rPr>
          <w:rFonts w:cstheme="minorHAnsi"/>
        </w:rPr>
        <w:lastRenderedPageBreak/>
        <w:t>Appendix 23: REMEND trial study recruitment Facebook post engagement data.</w:t>
      </w:r>
    </w:p>
    <w:p w14:paraId="6A41852C" w14:textId="77777777" w:rsidR="008A7196" w:rsidRPr="00862EFB" w:rsidRDefault="008A7196" w:rsidP="008A7196">
      <w:pPr>
        <w:rPr>
          <w:rFonts w:cstheme="minorHAnsi"/>
        </w:rPr>
      </w:pPr>
    </w:p>
    <w:p w14:paraId="5D42D7B3" w14:textId="77777777" w:rsidR="008A7196" w:rsidRPr="00862EFB" w:rsidRDefault="008A7196" w:rsidP="008A7196">
      <w:pPr>
        <w:spacing w:line="360" w:lineRule="auto"/>
        <w:rPr>
          <w:rFonts w:cstheme="minorHAnsi"/>
        </w:rPr>
      </w:pPr>
      <w:r w:rsidRPr="00862EFB">
        <w:rPr>
          <w:rFonts w:cstheme="minorHAnsi"/>
          <w:noProof/>
        </w:rPr>
        <w:drawing>
          <wp:inline distT="0" distB="0" distL="0" distR="0" wp14:anchorId="6E2C43D3" wp14:editId="3332DE8E">
            <wp:extent cx="5334000" cy="3584188"/>
            <wp:effectExtent l="0" t="0" r="0" b="0"/>
            <wp:docPr id="203" name="Picture 20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pic:nvPicPr>
                  <pic:blipFill>
                    <a:blip r:embed="rId176">
                      <a:extLst>
                        <a:ext uri="{28A0092B-C50C-407E-A947-70E740481C1C}">
                          <a14:useLocalDpi xmlns:a14="http://schemas.microsoft.com/office/drawing/2010/main" val="0"/>
                        </a:ext>
                      </a:extLst>
                    </a:blip>
                    <a:stretch>
                      <a:fillRect/>
                    </a:stretch>
                  </pic:blipFill>
                  <pic:spPr>
                    <a:xfrm>
                      <a:off x="0" y="0"/>
                      <a:ext cx="5342760" cy="3590074"/>
                    </a:xfrm>
                    <a:prstGeom prst="rect">
                      <a:avLst/>
                    </a:prstGeom>
                  </pic:spPr>
                </pic:pic>
              </a:graphicData>
            </a:graphic>
          </wp:inline>
        </w:drawing>
      </w:r>
    </w:p>
    <w:p w14:paraId="6859DBF2" w14:textId="063CA5A7" w:rsidR="008A7196" w:rsidRPr="00862EFB" w:rsidRDefault="008A7196" w:rsidP="008A7196">
      <w:pPr>
        <w:pStyle w:val="MDPI52figure"/>
        <w:spacing w:line="360" w:lineRule="auto"/>
        <w:jc w:val="left"/>
        <w:rPr>
          <w:rFonts w:asciiTheme="minorHAnsi" w:hAnsiTheme="minorHAnsi" w:cstheme="minorHAnsi"/>
          <w:i/>
          <w:iCs/>
          <w:sz w:val="24"/>
          <w:szCs w:val="24"/>
        </w:rPr>
      </w:pPr>
      <w:r w:rsidRPr="00DB5156">
        <w:rPr>
          <w:rFonts w:asciiTheme="minorHAnsi" w:hAnsiTheme="minorHAnsi" w:cstheme="minorHAnsi"/>
          <w:i/>
          <w:iCs/>
          <w:sz w:val="24"/>
          <w:szCs w:val="24"/>
        </w:rPr>
        <w:t>Data provided by Facebook to provide feedback about engagement with the recruitment campaign post.</w:t>
      </w:r>
    </w:p>
    <w:p w14:paraId="5A57BEA9" w14:textId="5FAB9E2E" w:rsidR="008A7196" w:rsidRDefault="008A7196" w:rsidP="008A7196">
      <w:pPr>
        <w:rPr>
          <w:rFonts w:cstheme="minorHAnsi"/>
        </w:rPr>
      </w:pPr>
    </w:p>
    <w:p w14:paraId="55E0327C" w14:textId="14FDAED8" w:rsidR="00DB5156" w:rsidRDefault="00DB5156" w:rsidP="008A7196">
      <w:pPr>
        <w:rPr>
          <w:rFonts w:cstheme="minorHAnsi"/>
        </w:rPr>
      </w:pPr>
    </w:p>
    <w:p w14:paraId="6329483E" w14:textId="7BAA7585" w:rsidR="00DB5156" w:rsidRDefault="00DB5156" w:rsidP="008A7196">
      <w:pPr>
        <w:rPr>
          <w:rFonts w:cstheme="minorHAnsi"/>
        </w:rPr>
      </w:pPr>
    </w:p>
    <w:p w14:paraId="556B56A4" w14:textId="11E7BE01" w:rsidR="009A7681" w:rsidRDefault="009A7681" w:rsidP="008A7196">
      <w:pPr>
        <w:rPr>
          <w:rFonts w:cstheme="minorHAnsi"/>
        </w:rPr>
      </w:pPr>
    </w:p>
    <w:p w14:paraId="0270D979" w14:textId="3E53B7C5" w:rsidR="009A7681" w:rsidRDefault="009A7681" w:rsidP="008A7196">
      <w:pPr>
        <w:rPr>
          <w:rFonts w:cstheme="minorHAnsi"/>
        </w:rPr>
      </w:pPr>
    </w:p>
    <w:p w14:paraId="2CBDDEFB" w14:textId="0B200892" w:rsidR="009A7681" w:rsidRDefault="009A7681" w:rsidP="008A7196">
      <w:pPr>
        <w:rPr>
          <w:rFonts w:cstheme="minorHAnsi"/>
        </w:rPr>
      </w:pPr>
    </w:p>
    <w:p w14:paraId="66F58428" w14:textId="73DBD86E" w:rsidR="009A7681" w:rsidRDefault="009A7681" w:rsidP="008A7196">
      <w:pPr>
        <w:rPr>
          <w:rFonts w:cstheme="minorHAnsi"/>
        </w:rPr>
      </w:pPr>
    </w:p>
    <w:p w14:paraId="540AF55C" w14:textId="4373BEEF" w:rsidR="009A7681" w:rsidRDefault="009A7681" w:rsidP="008A7196">
      <w:pPr>
        <w:rPr>
          <w:rFonts w:cstheme="minorHAnsi"/>
        </w:rPr>
      </w:pPr>
    </w:p>
    <w:p w14:paraId="4A70C1F9" w14:textId="62CE3D8E" w:rsidR="009A7681" w:rsidRDefault="009A7681" w:rsidP="008A7196">
      <w:pPr>
        <w:rPr>
          <w:rFonts w:cstheme="minorHAnsi"/>
        </w:rPr>
      </w:pPr>
    </w:p>
    <w:p w14:paraId="1D1C5119" w14:textId="625FDDC2" w:rsidR="009A7681" w:rsidRDefault="009A7681" w:rsidP="008A7196">
      <w:pPr>
        <w:rPr>
          <w:rFonts w:cstheme="minorHAnsi"/>
        </w:rPr>
      </w:pPr>
    </w:p>
    <w:p w14:paraId="12CB45BA" w14:textId="1B3EB9C7" w:rsidR="009A7681" w:rsidRDefault="009A7681" w:rsidP="008A7196">
      <w:pPr>
        <w:rPr>
          <w:rFonts w:cstheme="minorHAnsi"/>
        </w:rPr>
      </w:pPr>
    </w:p>
    <w:p w14:paraId="5069CC87" w14:textId="05D82A98" w:rsidR="009A7681" w:rsidRDefault="009A7681" w:rsidP="008A7196">
      <w:pPr>
        <w:rPr>
          <w:rFonts w:cstheme="minorHAnsi"/>
        </w:rPr>
      </w:pPr>
    </w:p>
    <w:p w14:paraId="50E6AAA3" w14:textId="3C2D0981" w:rsidR="009A7681" w:rsidRDefault="009A7681" w:rsidP="008A7196">
      <w:pPr>
        <w:rPr>
          <w:rFonts w:cstheme="minorHAnsi"/>
        </w:rPr>
      </w:pPr>
    </w:p>
    <w:p w14:paraId="26D26EFC" w14:textId="71F87A35" w:rsidR="009A7681" w:rsidRDefault="009A7681" w:rsidP="008A7196">
      <w:pPr>
        <w:rPr>
          <w:rFonts w:cstheme="minorHAnsi"/>
        </w:rPr>
      </w:pPr>
    </w:p>
    <w:p w14:paraId="64753A17" w14:textId="0042617F" w:rsidR="009A7681" w:rsidRDefault="009A7681" w:rsidP="008A7196">
      <w:pPr>
        <w:rPr>
          <w:rFonts w:cstheme="minorHAnsi"/>
        </w:rPr>
      </w:pPr>
    </w:p>
    <w:p w14:paraId="0DA2F026" w14:textId="3EE39F53" w:rsidR="009A7681" w:rsidRDefault="009A7681" w:rsidP="008A7196">
      <w:pPr>
        <w:rPr>
          <w:rFonts w:cstheme="minorHAnsi"/>
        </w:rPr>
      </w:pPr>
    </w:p>
    <w:p w14:paraId="3D63F9DE" w14:textId="3F7586FA" w:rsidR="009A7681" w:rsidRDefault="009A7681" w:rsidP="008A7196">
      <w:pPr>
        <w:rPr>
          <w:rFonts w:cstheme="minorHAnsi"/>
        </w:rPr>
      </w:pPr>
    </w:p>
    <w:p w14:paraId="1AC7E9AF" w14:textId="025C8F48" w:rsidR="009A7681" w:rsidRDefault="009A7681" w:rsidP="008A7196">
      <w:pPr>
        <w:rPr>
          <w:rFonts w:cstheme="minorHAnsi"/>
        </w:rPr>
      </w:pPr>
    </w:p>
    <w:p w14:paraId="33F1732E" w14:textId="77777777" w:rsidR="009A7681" w:rsidRDefault="009A7681" w:rsidP="008A7196">
      <w:pPr>
        <w:rPr>
          <w:rFonts w:cstheme="minorHAnsi"/>
        </w:rPr>
      </w:pPr>
    </w:p>
    <w:p w14:paraId="4C035B72" w14:textId="37D7F423" w:rsidR="00DB5156" w:rsidRDefault="00DB5156" w:rsidP="008A7196">
      <w:pPr>
        <w:rPr>
          <w:rFonts w:cstheme="minorHAnsi"/>
        </w:rPr>
      </w:pPr>
    </w:p>
    <w:p w14:paraId="72BDC6BE" w14:textId="77777777" w:rsidR="00DB5156" w:rsidRPr="00862EFB" w:rsidRDefault="00DB5156" w:rsidP="008A7196">
      <w:pPr>
        <w:rPr>
          <w:rFonts w:cstheme="minorHAnsi"/>
        </w:rPr>
      </w:pPr>
    </w:p>
    <w:p w14:paraId="1C2C43D5" w14:textId="23262266" w:rsidR="008A7196" w:rsidRDefault="008A7196" w:rsidP="008A7196">
      <w:pPr>
        <w:rPr>
          <w:rFonts w:cstheme="minorHAnsi"/>
        </w:rPr>
      </w:pPr>
      <w:r w:rsidRPr="00862EFB">
        <w:rPr>
          <w:rFonts w:cstheme="minorHAnsi"/>
        </w:rPr>
        <w:lastRenderedPageBreak/>
        <w:t>Appendix 24:</w:t>
      </w:r>
      <w:r w:rsidR="00DB5156">
        <w:rPr>
          <w:rFonts w:cstheme="minorHAnsi"/>
        </w:rPr>
        <w:t xml:space="preserve"> Further band colour details reported by participants</w:t>
      </w:r>
      <w:r w:rsidR="009A7681">
        <w:rPr>
          <w:rFonts w:cstheme="minorHAnsi"/>
        </w:rPr>
        <w:t>.</w:t>
      </w:r>
    </w:p>
    <w:p w14:paraId="09026F8F" w14:textId="39E30D23" w:rsidR="009A7681" w:rsidRPr="00862EFB" w:rsidRDefault="009A7681" w:rsidP="008A7196">
      <w:pPr>
        <w:rPr>
          <w:rFonts w:cstheme="minorHAnsi"/>
        </w:rPr>
      </w:pPr>
      <w:r>
        <w:rPr>
          <w:rFonts w:cstheme="minorHAnsi"/>
        </w:rPr>
        <w:t>1</w:t>
      </w:r>
      <w:r w:rsidRPr="00862EFB">
        <w:rPr>
          <w:rFonts w:cstheme="minorHAnsi"/>
        </w:rPr>
        <w:t>=yellow, 2=blue (20lbs), 3=green (30lbs), 4= black (40lbs), 5= red (50lbs)</w:t>
      </w:r>
    </w:p>
    <w:p w14:paraId="49BF2C89" w14:textId="66E6A8F9" w:rsidR="008A7196" w:rsidRPr="00862EFB" w:rsidRDefault="008A7196" w:rsidP="009A7681">
      <w:pPr>
        <w:rPr>
          <w:rFonts w:cstheme="minorHAnsi"/>
        </w:rPr>
      </w:pPr>
    </w:p>
    <w:tbl>
      <w:tblPr>
        <w:tblStyle w:val="TableGridLight"/>
        <w:tblpPr w:leftFromText="180" w:rightFromText="180" w:vertAnchor="text" w:horzAnchor="margin" w:tblpXSpec="center" w:tblpY="-262"/>
        <w:tblW w:w="10803" w:type="dxa"/>
        <w:tblLook w:val="04A0" w:firstRow="1" w:lastRow="0" w:firstColumn="1" w:lastColumn="0" w:noHBand="0" w:noVBand="1"/>
      </w:tblPr>
      <w:tblGrid>
        <w:gridCol w:w="1448"/>
        <w:gridCol w:w="1448"/>
        <w:gridCol w:w="1464"/>
        <w:gridCol w:w="1135"/>
        <w:gridCol w:w="1682"/>
        <w:gridCol w:w="1813"/>
        <w:gridCol w:w="1813"/>
      </w:tblGrid>
      <w:tr w:rsidR="008A7196" w:rsidRPr="00862EFB" w14:paraId="5860FFD3" w14:textId="77777777" w:rsidTr="009A7681">
        <w:trPr>
          <w:trHeight w:val="320"/>
        </w:trPr>
        <w:tc>
          <w:tcPr>
            <w:tcW w:w="1448" w:type="dxa"/>
          </w:tcPr>
          <w:p w14:paraId="461C7177"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Participant ID</w:t>
            </w:r>
          </w:p>
        </w:tc>
        <w:tc>
          <w:tcPr>
            <w:tcW w:w="1448" w:type="dxa"/>
            <w:noWrap/>
            <w:hideMark/>
          </w:tcPr>
          <w:p w14:paraId="4C39B912"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1, session 1</w:t>
            </w:r>
          </w:p>
        </w:tc>
        <w:tc>
          <w:tcPr>
            <w:tcW w:w="1464" w:type="dxa"/>
            <w:noWrap/>
            <w:hideMark/>
          </w:tcPr>
          <w:p w14:paraId="5D7DD562"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1, session 2</w:t>
            </w:r>
          </w:p>
        </w:tc>
        <w:tc>
          <w:tcPr>
            <w:tcW w:w="1135" w:type="dxa"/>
            <w:noWrap/>
            <w:hideMark/>
          </w:tcPr>
          <w:p w14:paraId="3F6FF561"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1, session 3</w:t>
            </w:r>
          </w:p>
        </w:tc>
        <w:tc>
          <w:tcPr>
            <w:tcW w:w="1682" w:type="dxa"/>
            <w:noWrap/>
            <w:hideMark/>
          </w:tcPr>
          <w:p w14:paraId="45256FD7"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5, session 1</w:t>
            </w:r>
          </w:p>
        </w:tc>
        <w:tc>
          <w:tcPr>
            <w:tcW w:w="1813" w:type="dxa"/>
            <w:noWrap/>
            <w:hideMark/>
          </w:tcPr>
          <w:p w14:paraId="484070A2"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5, session 2</w:t>
            </w:r>
          </w:p>
        </w:tc>
        <w:tc>
          <w:tcPr>
            <w:tcW w:w="1813" w:type="dxa"/>
            <w:noWrap/>
            <w:hideMark/>
          </w:tcPr>
          <w:p w14:paraId="6B2DD569"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5, session 3</w:t>
            </w:r>
          </w:p>
        </w:tc>
      </w:tr>
      <w:tr w:rsidR="008A7196" w:rsidRPr="00862EFB" w14:paraId="3ADABBFD" w14:textId="77777777" w:rsidTr="009A7681">
        <w:trPr>
          <w:trHeight w:val="320"/>
        </w:trPr>
        <w:tc>
          <w:tcPr>
            <w:tcW w:w="1448" w:type="dxa"/>
          </w:tcPr>
          <w:p w14:paraId="1C432409"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r w:rsidRPr="009A7681">
              <w:rPr>
                <w:rFonts w:eastAsia="Times New Roman" w:cstheme="minorHAnsi"/>
                <w:color w:val="000000" w:themeColor="text1"/>
                <w:sz w:val="20"/>
                <w:szCs w:val="20"/>
                <w:lang w:eastAsia="en-GB"/>
              </w:rPr>
              <w:t>EN101</w:t>
            </w:r>
          </w:p>
        </w:tc>
        <w:tc>
          <w:tcPr>
            <w:tcW w:w="1448" w:type="dxa"/>
            <w:noWrap/>
            <w:hideMark/>
          </w:tcPr>
          <w:p w14:paraId="56CA33B3" w14:textId="77777777" w:rsidR="008A7196" w:rsidRPr="009A7681" w:rsidRDefault="008A7196" w:rsidP="009A7681">
            <w:pPr>
              <w:spacing w:line="360" w:lineRule="auto"/>
              <w:rPr>
                <w:rFonts w:eastAsia="Times New Roman" w:cstheme="minorHAnsi"/>
                <w:b/>
                <w:bCs/>
                <w:color w:val="000000" w:themeColor="text1"/>
                <w:sz w:val="20"/>
                <w:szCs w:val="20"/>
                <w:lang w:eastAsia="en-GB"/>
              </w:rPr>
            </w:pPr>
          </w:p>
        </w:tc>
        <w:tc>
          <w:tcPr>
            <w:tcW w:w="1464" w:type="dxa"/>
            <w:noWrap/>
            <w:hideMark/>
          </w:tcPr>
          <w:p w14:paraId="262E5057"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w:t>
            </w:r>
          </w:p>
        </w:tc>
        <w:tc>
          <w:tcPr>
            <w:tcW w:w="1135" w:type="dxa"/>
            <w:noWrap/>
            <w:hideMark/>
          </w:tcPr>
          <w:p w14:paraId="59CCEC2D"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5308" w:type="dxa"/>
            <w:gridSpan w:val="3"/>
            <w:noWrap/>
            <w:hideMark/>
          </w:tcPr>
          <w:p w14:paraId="258D5AA2"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Rather than reporting a colour, participant stated: “When you mentioned that we could change bands if too easy, I changed”</w:t>
            </w:r>
          </w:p>
        </w:tc>
      </w:tr>
      <w:tr w:rsidR="008A7196" w:rsidRPr="00862EFB" w14:paraId="0368C739" w14:textId="77777777" w:rsidTr="009A7681">
        <w:trPr>
          <w:trHeight w:val="320"/>
        </w:trPr>
        <w:tc>
          <w:tcPr>
            <w:tcW w:w="1448" w:type="dxa"/>
          </w:tcPr>
          <w:p w14:paraId="746AA928"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EN103</w:t>
            </w:r>
          </w:p>
        </w:tc>
        <w:tc>
          <w:tcPr>
            <w:tcW w:w="1448" w:type="dxa"/>
            <w:noWrap/>
            <w:hideMark/>
          </w:tcPr>
          <w:p w14:paraId="3AE851FA"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464" w:type="dxa"/>
            <w:noWrap/>
            <w:hideMark/>
          </w:tcPr>
          <w:p w14:paraId="7D9DB3C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135" w:type="dxa"/>
            <w:noWrap/>
            <w:hideMark/>
          </w:tcPr>
          <w:p w14:paraId="26065F2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682" w:type="dxa"/>
            <w:noWrap/>
            <w:hideMark/>
          </w:tcPr>
          <w:p w14:paraId="5D7CA225"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11655CE1"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78A8EBBE"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3,4</w:t>
            </w:r>
          </w:p>
        </w:tc>
      </w:tr>
      <w:tr w:rsidR="008A7196" w:rsidRPr="00862EFB" w14:paraId="213603CD" w14:textId="77777777" w:rsidTr="009A7681">
        <w:trPr>
          <w:trHeight w:val="320"/>
        </w:trPr>
        <w:tc>
          <w:tcPr>
            <w:tcW w:w="1448" w:type="dxa"/>
          </w:tcPr>
          <w:p w14:paraId="65AF7819"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EN104</w:t>
            </w:r>
          </w:p>
        </w:tc>
        <w:tc>
          <w:tcPr>
            <w:tcW w:w="1448" w:type="dxa"/>
            <w:noWrap/>
            <w:hideMark/>
          </w:tcPr>
          <w:p w14:paraId="179F3F3C"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464" w:type="dxa"/>
            <w:noWrap/>
            <w:hideMark/>
          </w:tcPr>
          <w:p w14:paraId="5349A6B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w:t>
            </w:r>
          </w:p>
        </w:tc>
        <w:tc>
          <w:tcPr>
            <w:tcW w:w="1135" w:type="dxa"/>
            <w:noWrap/>
            <w:hideMark/>
          </w:tcPr>
          <w:p w14:paraId="4B8D3349"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1,2</w:t>
            </w:r>
          </w:p>
        </w:tc>
        <w:tc>
          <w:tcPr>
            <w:tcW w:w="1682" w:type="dxa"/>
            <w:noWrap/>
            <w:hideMark/>
          </w:tcPr>
          <w:p w14:paraId="02F566F1"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4,5</w:t>
            </w:r>
          </w:p>
        </w:tc>
        <w:tc>
          <w:tcPr>
            <w:tcW w:w="1813" w:type="dxa"/>
            <w:noWrap/>
            <w:hideMark/>
          </w:tcPr>
          <w:p w14:paraId="1B7AE2DA"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3,4,5</w:t>
            </w:r>
          </w:p>
        </w:tc>
        <w:tc>
          <w:tcPr>
            <w:tcW w:w="1813" w:type="dxa"/>
            <w:noWrap/>
            <w:hideMark/>
          </w:tcPr>
          <w:p w14:paraId="545D7A9F"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r w:rsidR="008A7196" w:rsidRPr="00862EFB" w14:paraId="378998D3" w14:textId="77777777" w:rsidTr="009A7681">
        <w:trPr>
          <w:trHeight w:val="320"/>
        </w:trPr>
        <w:tc>
          <w:tcPr>
            <w:tcW w:w="1448" w:type="dxa"/>
          </w:tcPr>
          <w:p w14:paraId="303C8160"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EN105</w:t>
            </w:r>
          </w:p>
        </w:tc>
        <w:tc>
          <w:tcPr>
            <w:tcW w:w="1448" w:type="dxa"/>
            <w:noWrap/>
            <w:hideMark/>
          </w:tcPr>
          <w:p w14:paraId="1C3C18AB"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5</w:t>
            </w:r>
          </w:p>
        </w:tc>
        <w:tc>
          <w:tcPr>
            <w:tcW w:w="1464" w:type="dxa"/>
            <w:noWrap/>
            <w:hideMark/>
          </w:tcPr>
          <w:p w14:paraId="488B14F6"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Mixed</w:t>
            </w:r>
          </w:p>
        </w:tc>
        <w:tc>
          <w:tcPr>
            <w:tcW w:w="1135" w:type="dxa"/>
            <w:noWrap/>
            <w:hideMark/>
          </w:tcPr>
          <w:p w14:paraId="1AB00E17"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682" w:type="dxa"/>
            <w:noWrap/>
            <w:hideMark/>
          </w:tcPr>
          <w:p w14:paraId="6F195155"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395226EF"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1FAC7ECF"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r w:rsidR="008A7196" w:rsidRPr="00862EFB" w14:paraId="12356E69" w14:textId="77777777" w:rsidTr="009A7681">
        <w:trPr>
          <w:trHeight w:val="320"/>
        </w:trPr>
        <w:tc>
          <w:tcPr>
            <w:tcW w:w="1448" w:type="dxa"/>
          </w:tcPr>
          <w:p w14:paraId="34B8B763"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EN106</w:t>
            </w:r>
          </w:p>
        </w:tc>
        <w:tc>
          <w:tcPr>
            <w:tcW w:w="1448" w:type="dxa"/>
            <w:noWrap/>
            <w:hideMark/>
          </w:tcPr>
          <w:p w14:paraId="2D60178C"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464" w:type="dxa"/>
            <w:noWrap/>
            <w:hideMark/>
          </w:tcPr>
          <w:p w14:paraId="5A7433BE"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2,1</w:t>
            </w:r>
          </w:p>
        </w:tc>
        <w:tc>
          <w:tcPr>
            <w:tcW w:w="1135" w:type="dxa"/>
            <w:noWrap/>
            <w:hideMark/>
          </w:tcPr>
          <w:p w14:paraId="36F1F0B7"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2,3</w:t>
            </w:r>
          </w:p>
        </w:tc>
        <w:tc>
          <w:tcPr>
            <w:tcW w:w="1682" w:type="dxa"/>
            <w:noWrap/>
            <w:hideMark/>
          </w:tcPr>
          <w:p w14:paraId="7AAC7D82"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4,5</w:t>
            </w:r>
          </w:p>
        </w:tc>
        <w:tc>
          <w:tcPr>
            <w:tcW w:w="1813" w:type="dxa"/>
            <w:noWrap/>
            <w:hideMark/>
          </w:tcPr>
          <w:p w14:paraId="4657ED0C"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4,5</w:t>
            </w:r>
          </w:p>
        </w:tc>
        <w:tc>
          <w:tcPr>
            <w:tcW w:w="1813" w:type="dxa"/>
            <w:noWrap/>
            <w:hideMark/>
          </w:tcPr>
          <w:p w14:paraId="362DB2E9"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w:t>
            </w:r>
          </w:p>
        </w:tc>
      </w:tr>
      <w:tr w:rsidR="008A7196" w:rsidRPr="00862EFB" w14:paraId="4438E9A2" w14:textId="77777777" w:rsidTr="009A7681">
        <w:trPr>
          <w:trHeight w:val="320"/>
        </w:trPr>
        <w:tc>
          <w:tcPr>
            <w:tcW w:w="1448" w:type="dxa"/>
          </w:tcPr>
          <w:p w14:paraId="26D97CDA"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EN107</w:t>
            </w:r>
          </w:p>
        </w:tc>
        <w:tc>
          <w:tcPr>
            <w:tcW w:w="1448" w:type="dxa"/>
            <w:noWrap/>
            <w:hideMark/>
          </w:tcPr>
          <w:p w14:paraId="00976E59"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464" w:type="dxa"/>
            <w:noWrap/>
            <w:hideMark/>
          </w:tcPr>
          <w:p w14:paraId="4C70F3D2"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135" w:type="dxa"/>
            <w:noWrap/>
            <w:hideMark/>
          </w:tcPr>
          <w:p w14:paraId="24468E91"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682" w:type="dxa"/>
            <w:noWrap/>
            <w:hideMark/>
          </w:tcPr>
          <w:p w14:paraId="41D8165C"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19DE9E6B"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0C701DEE"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r w:rsidR="008A7196" w:rsidRPr="00862EFB" w14:paraId="7BBBA5DD" w14:textId="77777777" w:rsidTr="009A7681">
        <w:trPr>
          <w:trHeight w:val="320"/>
        </w:trPr>
        <w:tc>
          <w:tcPr>
            <w:tcW w:w="1448" w:type="dxa"/>
          </w:tcPr>
          <w:p w14:paraId="5667D23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EN108</w:t>
            </w:r>
          </w:p>
        </w:tc>
        <w:tc>
          <w:tcPr>
            <w:tcW w:w="1448" w:type="dxa"/>
            <w:noWrap/>
            <w:hideMark/>
          </w:tcPr>
          <w:p w14:paraId="67F7F360"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w:t>
            </w:r>
          </w:p>
        </w:tc>
        <w:tc>
          <w:tcPr>
            <w:tcW w:w="1464" w:type="dxa"/>
            <w:noWrap/>
            <w:hideMark/>
          </w:tcPr>
          <w:p w14:paraId="2E408597"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w:t>
            </w:r>
          </w:p>
        </w:tc>
        <w:tc>
          <w:tcPr>
            <w:tcW w:w="1135" w:type="dxa"/>
            <w:noWrap/>
            <w:hideMark/>
          </w:tcPr>
          <w:p w14:paraId="7C51B1EA"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w:t>
            </w:r>
          </w:p>
        </w:tc>
        <w:tc>
          <w:tcPr>
            <w:tcW w:w="1682" w:type="dxa"/>
            <w:noWrap/>
            <w:hideMark/>
          </w:tcPr>
          <w:p w14:paraId="652369D2"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1,3,4,5</w:t>
            </w:r>
          </w:p>
        </w:tc>
        <w:tc>
          <w:tcPr>
            <w:tcW w:w="1813" w:type="dxa"/>
            <w:noWrap/>
            <w:hideMark/>
          </w:tcPr>
          <w:p w14:paraId="1A9F9B65"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2,3,5</w:t>
            </w:r>
          </w:p>
        </w:tc>
        <w:tc>
          <w:tcPr>
            <w:tcW w:w="1813" w:type="dxa"/>
            <w:noWrap/>
            <w:hideMark/>
          </w:tcPr>
          <w:p w14:paraId="78194010"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1,3,5</w:t>
            </w:r>
          </w:p>
        </w:tc>
      </w:tr>
      <w:tr w:rsidR="008A7196" w:rsidRPr="00862EFB" w14:paraId="5BF02E6C" w14:textId="77777777" w:rsidTr="009A7681">
        <w:trPr>
          <w:trHeight w:val="320"/>
        </w:trPr>
        <w:tc>
          <w:tcPr>
            <w:tcW w:w="1448" w:type="dxa"/>
          </w:tcPr>
          <w:p w14:paraId="68D6F975"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EN109</w:t>
            </w:r>
          </w:p>
        </w:tc>
        <w:tc>
          <w:tcPr>
            <w:tcW w:w="1448" w:type="dxa"/>
            <w:noWrap/>
            <w:hideMark/>
          </w:tcPr>
          <w:p w14:paraId="1A2CE62E"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464" w:type="dxa"/>
            <w:noWrap/>
            <w:hideMark/>
          </w:tcPr>
          <w:p w14:paraId="47874309"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135" w:type="dxa"/>
            <w:noWrap/>
            <w:hideMark/>
          </w:tcPr>
          <w:p w14:paraId="2B237F52"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682" w:type="dxa"/>
            <w:noWrap/>
            <w:hideMark/>
          </w:tcPr>
          <w:p w14:paraId="0BD83878"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00FB189B"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3BEBB0F3"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r w:rsidR="008A7196" w:rsidRPr="00862EFB" w14:paraId="4D4CFBE4" w14:textId="77777777" w:rsidTr="009A7681">
        <w:trPr>
          <w:trHeight w:val="320"/>
        </w:trPr>
        <w:tc>
          <w:tcPr>
            <w:tcW w:w="1448" w:type="dxa"/>
          </w:tcPr>
          <w:p w14:paraId="2831C9DD"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EN110</w:t>
            </w:r>
          </w:p>
        </w:tc>
        <w:tc>
          <w:tcPr>
            <w:tcW w:w="1448" w:type="dxa"/>
            <w:noWrap/>
            <w:hideMark/>
          </w:tcPr>
          <w:p w14:paraId="1919FAF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2,3</w:t>
            </w:r>
          </w:p>
        </w:tc>
        <w:tc>
          <w:tcPr>
            <w:tcW w:w="1464" w:type="dxa"/>
            <w:noWrap/>
            <w:hideMark/>
          </w:tcPr>
          <w:p w14:paraId="14BD2A0D"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135" w:type="dxa"/>
            <w:noWrap/>
            <w:hideMark/>
          </w:tcPr>
          <w:p w14:paraId="3802EC2C"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682" w:type="dxa"/>
            <w:noWrap/>
            <w:hideMark/>
          </w:tcPr>
          <w:p w14:paraId="632B1758"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072B7020"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813" w:type="dxa"/>
            <w:noWrap/>
            <w:hideMark/>
          </w:tcPr>
          <w:p w14:paraId="28793758"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r w:rsidR="008A7196" w:rsidRPr="00862EFB" w14:paraId="7151A0AA" w14:textId="77777777" w:rsidTr="009A7681">
        <w:trPr>
          <w:trHeight w:val="320"/>
        </w:trPr>
        <w:tc>
          <w:tcPr>
            <w:tcW w:w="1448" w:type="dxa"/>
          </w:tcPr>
          <w:p w14:paraId="1D683A43"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EN112</w:t>
            </w:r>
          </w:p>
        </w:tc>
        <w:tc>
          <w:tcPr>
            <w:tcW w:w="1448" w:type="dxa"/>
            <w:noWrap/>
            <w:hideMark/>
          </w:tcPr>
          <w:p w14:paraId="428FED6A"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464" w:type="dxa"/>
            <w:noWrap/>
            <w:hideMark/>
          </w:tcPr>
          <w:p w14:paraId="2693C38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135" w:type="dxa"/>
            <w:noWrap/>
            <w:hideMark/>
          </w:tcPr>
          <w:p w14:paraId="0DC067C9"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682" w:type="dxa"/>
            <w:noWrap/>
            <w:hideMark/>
          </w:tcPr>
          <w:p w14:paraId="295A52C7"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09265E15"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1FF4118A"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r w:rsidR="008A7196" w:rsidRPr="00862EFB" w14:paraId="656E29F6" w14:textId="77777777" w:rsidTr="009A7681">
        <w:trPr>
          <w:trHeight w:val="320"/>
        </w:trPr>
        <w:tc>
          <w:tcPr>
            <w:tcW w:w="1448" w:type="dxa"/>
          </w:tcPr>
          <w:p w14:paraId="638D892D"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EN113</w:t>
            </w:r>
          </w:p>
        </w:tc>
        <w:tc>
          <w:tcPr>
            <w:tcW w:w="1448" w:type="dxa"/>
            <w:noWrap/>
            <w:hideMark/>
          </w:tcPr>
          <w:p w14:paraId="47D46115"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464" w:type="dxa"/>
            <w:noWrap/>
            <w:hideMark/>
          </w:tcPr>
          <w:p w14:paraId="399D4563"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135" w:type="dxa"/>
            <w:noWrap/>
            <w:hideMark/>
          </w:tcPr>
          <w:p w14:paraId="617BA9E0"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c>
          <w:tcPr>
            <w:tcW w:w="1682" w:type="dxa"/>
            <w:noWrap/>
            <w:hideMark/>
          </w:tcPr>
          <w:p w14:paraId="6030D814"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4CDE7213" w14:textId="77777777" w:rsidR="008A7196" w:rsidRPr="009A7681" w:rsidRDefault="008A7196" w:rsidP="009A7681">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813" w:type="dxa"/>
            <w:noWrap/>
            <w:hideMark/>
          </w:tcPr>
          <w:p w14:paraId="0CCB1195" w14:textId="77777777" w:rsidR="008A7196" w:rsidRPr="009A7681" w:rsidRDefault="008A7196" w:rsidP="009A7681">
            <w:pPr>
              <w:spacing w:line="360" w:lineRule="auto"/>
              <w:rPr>
                <w:rFonts w:eastAsia="Times New Roman" w:cstheme="minorHAnsi"/>
                <w:color w:val="000000" w:themeColor="text1"/>
                <w:sz w:val="20"/>
                <w:szCs w:val="20"/>
                <w:lang w:eastAsia="en-GB"/>
              </w:rPr>
            </w:pPr>
          </w:p>
        </w:tc>
      </w:tr>
    </w:tbl>
    <w:p w14:paraId="4E4CC258" w14:textId="77777777" w:rsidR="008A7196" w:rsidRPr="00862EFB" w:rsidRDefault="008A7196" w:rsidP="008A7196">
      <w:pPr>
        <w:pStyle w:val="MDPI52figure"/>
        <w:spacing w:line="360" w:lineRule="auto"/>
        <w:jc w:val="left"/>
        <w:rPr>
          <w:rFonts w:asciiTheme="minorHAnsi" w:hAnsiTheme="minorHAnsi" w:cstheme="minorHAnsi"/>
          <w:sz w:val="24"/>
          <w:szCs w:val="24"/>
        </w:rPr>
      </w:pPr>
      <w:r w:rsidRPr="00862EFB">
        <w:rPr>
          <w:rFonts w:asciiTheme="minorHAnsi" w:hAnsiTheme="minorHAnsi" w:cstheme="minorHAnsi"/>
          <w:sz w:val="24"/>
          <w:szCs w:val="24"/>
        </w:rPr>
        <w:t>Individual participant reporting of band colours used in comparison to week 1 and week 5, when the same workout was delivered again but with extra reps and less rest.</w:t>
      </w:r>
    </w:p>
    <w:tbl>
      <w:tblPr>
        <w:tblStyle w:val="TableGridLight"/>
        <w:tblpPr w:leftFromText="180" w:rightFromText="180" w:vertAnchor="text" w:horzAnchor="margin" w:tblpXSpec="center" w:tblpY="71"/>
        <w:tblW w:w="10819" w:type="dxa"/>
        <w:tblLook w:val="04A0" w:firstRow="1" w:lastRow="0" w:firstColumn="1" w:lastColumn="0" w:noHBand="0" w:noVBand="1"/>
      </w:tblPr>
      <w:tblGrid>
        <w:gridCol w:w="1449"/>
        <w:gridCol w:w="1548"/>
        <w:gridCol w:w="1515"/>
        <w:gridCol w:w="1548"/>
        <w:gridCol w:w="1581"/>
        <w:gridCol w:w="1581"/>
        <w:gridCol w:w="1597"/>
      </w:tblGrid>
      <w:tr w:rsidR="008A7196" w:rsidRPr="00862EFB" w14:paraId="49652319" w14:textId="77777777" w:rsidTr="00C169F5">
        <w:trPr>
          <w:trHeight w:val="312"/>
        </w:trPr>
        <w:tc>
          <w:tcPr>
            <w:tcW w:w="1449" w:type="dxa"/>
            <w:noWrap/>
            <w:hideMark/>
          </w:tcPr>
          <w:p w14:paraId="71C88D19"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Participant ID</w:t>
            </w:r>
          </w:p>
        </w:tc>
        <w:tc>
          <w:tcPr>
            <w:tcW w:w="1548" w:type="dxa"/>
            <w:noWrap/>
            <w:hideMark/>
          </w:tcPr>
          <w:p w14:paraId="35D9DDD6"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2, session 1</w:t>
            </w:r>
          </w:p>
        </w:tc>
        <w:tc>
          <w:tcPr>
            <w:tcW w:w="1515" w:type="dxa"/>
            <w:noWrap/>
            <w:hideMark/>
          </w:tcPr>
          <w:p w14:paraId="022027FF"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2, session 2</w:t>
            </w:r>
          </w:p>
        </w:tc>
        <w:tc>
          <w:tcPr>
            <w:tcW w:w="1548" w:type="dxa"/>
            <w:noWrap/>
            <w:hideMark/>
          </w:tcPr>
          <w:p w14:paraId="26AB1F88"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2, session 3</w:t>
            </w:r>
          </w:p>
        </w:tc>
        <w:tc>
          <w:tcPr>
            <w:tcW w:w="1581" w:type="dxa"/>
            <w:noWrap/>
            <w:hideMark/>
          </w:tcPr>
          <w:p w14:paraId="0DE5593D"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6, session 1</w:t>
            </w:r>
          </w:p>
        </w:tc>
        <w:tc>
          <w:tcPr>
            <w:tcW w:w="1581" w:type="dxa"/>
            <w:noWrap/>
            <w:hideMark/>
          </w:tcPr>
          <w:p w14:paraId="329D1F73"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6, session 2</w:t>
            </w:r>
          </w:p>
        </w:tc>
        <w:tc>
          <w:tcPr>
            <w:tcW w:w="1597" w:type="dxa"/>
            <w:noWrap/>
            <w:hideMark/>
          </w:tcPr>
          <w:p w14:paraId="50CC51A6" w14:textId="77777777" w:rsidR="008A7196" w:rsidRPr="009A7681" w:rsidRDefault="008A7196" w:rsidP="00C169F5">
            <w:pPr>
              <w:spacing w:line="360" w:lineRule="auto"/>
              <w:rPr>
                <w:rFonts w:eastAsia="Times New Roman" w:cstheme="minorHAnsi"/>
                <w:b/>
                <w:bCs/>
                <w:color w:val="000000" w:themeColor="text1"/>
                <w:sz w:val="20"/>
                <w:szCs w:val="20"/>
                <w:lang w:eastAsia="en-GB"/>
              </w:rPr>
            </w:pPr>
            <w:r w:rsidRPr="009A7681">
              <w:rPr>
                <w:rFonts w:eastAsia="Times New Roman" w:cstheme="minorHAnsi"/>
                <w:b/>
                <w:bCs/>
                <w:color w:val="000000" w:themeColor="text1"/>
                <w:sz w:val="20"/>
                <w:szCs w:val="20"/>
                <w:lang w:eastAsia="en-GB"/>
              </w:rPr>
              <w:t>Week 6, session 3</w:t>
            </w:r>
          </w:p>
        </w:tc>
      </w:tr>
      <w:tr w:rsidR="008A7196" w:rsidRPr="00862EFB" w14:paraId="62F4219C" w14:textId="77777777" w:rsidTr="00C169F5">
        <w:trPr>
          <w:trHeight w:val="312"/>
        </w:trPr>
        <w:tc>
          <w:tcPr>
            <w:tcW w:w="1449" w:type="dxa"/>
            <w:noWrap/>
            <w:hideMark/>
          </w:tcPr>
          <w:p w14:paraId="48004F19"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EN101</w:t>
            </w:r>
          </w:p>
        </w:tc>
        <w:tc>
          <w:tcPr>
            <w:tcW w:w="1548" w:type="dxa"/>
            <w:noWrap/>
            <w:hideMark/>
          </w:tcPr>
          <w:p w14:paraId="4EE743D4"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15" w:type="dxa"/>
            <w:noWrap/>
            <w:hideMark/>
          </w:tcPr>
          <w:p w14:paraId="1921FC60"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48" w:type="dxa"/>
            <w:noWrap/>
            <w:hideMark/>
          </w:tcPr>
          <w:p w14:paraId="47DBB8FB"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5354414F"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625A6284"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97" w:type="dxa"/>
            <w:noWrap/>
            <w:hideMark/>
          </w:tcPr>
          <w:p w14:paraId="40825498"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7B607028" w14:textId="77777777" w:rsidTr="00C169F5">
        <w:trPr>
          <w:trHeight w:val="312"/>
        </w:trPr>
        <w:tc>
          <w:tcPr>
            <w:tcW w:w="1449" w:type="dxa"/>
            <w:noWrap/>
            <w:hideMark/>
          </w:tcPr>
          <w:p w14:paraId="4ABA4812"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EN103</w:t>
            </w:r>
          </w:p>
        </w:tc>
        <w:tc>
          <w:tcPr>
            <w:tcW w:w="1548" w:type="dxa"/>
            <w:noWrap/>
            <w:hideMark/>
          </w:tcPr>
          <w:p w14:paraId="676BB1AE"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15" w:type="dxa"/>
            <w:noWrap/>
            <w:hideMark/>
          </w:tcPr>
          <w:p w14:paraId="298C4391"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48" w:type="dxa"/>
            <w:noWrap/>
            <w:hideMark/>
          </w:tcPr>
          <w:p w14:paraId="0508E5F9"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81" w:type="dxa"/>
            <w:noWrap/>
            <w:hideMark/>
          </w:tcPr>
          <w:p w14:paraId="416B4232"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81" w:type="dxa"/>
            <w:noWrap/>
            <w:hideMark/>
          </w:tcPr>
          <w:p w14:paraId="4AD74F9B"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97" w:type="dxa"/>
            <w:noWrap/>
            <w:hideMark/>
          </w:tcPr>
          <w:p w14:paraId="4115C62C"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72F7C00C" w14:textId="77777777" w:rsidTr="00C169F5">
        <w:trPr>
          <w:trHeight w:val="312"/>
        </w:trPr>
        <w:tc>
          <w:tcPr>
            <w:tcW w:w="1449" w:type="dxa"/>
            <w:noWrap/>
            <w:hideMark/>
          </w:tcPr>
          <w:p w14:paraId="3DBB9722"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EN104</w:t>
            </w:r>
          </w:p>
        </w:tc>
        <w:tc>
          <w:tcPr>
            <w:tcW w:w="1548" w:type="dxa"/>
            <w:noWrap/>
            <w:hideMark/>
          </w:tcPr>
          <w:p w14:paraId="60A1BCB4"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1,2</w:t>
            </w:r>
          </w:p>
        </w:tc>
        <w:tc>
          <w:tcPr>
            <w:tcW w:w="1515" w:type="dxa"/>
            <w:noWrap/>
            <w:hideMark/>
          </w:tcPr>
          <w:p w14:paraId="37D13EED"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48" w:type="dxa"/>
            <w:noWrap/>
            <w:hideMark/>
          </w:tcPr>
          <w:p w14:paraId="7167D566"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81" w:type="dxa"/>
            <w:noWrap/>
            <w:hideMark/>
          </w:tcPr>
          <w:p w14:paraId="377298F3"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w:t>
            </w:r>
          </w:p>
        </w:tc>
        <w:tc>
          <w:tcPr>
            <w:tcW w:w="1581" w:type="dxa"/>
            <w:noWrap/>
            <w:hideMark/>
          </w:tcPr>
          <w:p w14:paraId="42627586"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3,4,5,</w:t>
            </w:r>
          </w:p>
        </w:tc>
        <w:tc>
          <w:tcPr>
            <w:tcW w:w="1597" w:type="dxa"/>
            <w:noWrap/>
            <w:hideMark/>
          </w:tcPr>
          <w:p w14:paraId="564367F3"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4,5</w:t>
            </w:r>
          </w:p>
        </w:tc>
      </w:tr>
      <w:tr w:rsidR="008A7196" w:rsidRPr="00862EFB" w14:paraId="3D02149A" w14:textId="77777777" w:rsidTr="00C169F5">
        <w:trPr>
          <w:trHeight w:val="312"/>
        </w:trPr>
        <w:tc>
          <w:tcPr>
            <w:tcW w:w="1449" w:type="dxa"/>
            <w:noWrap/>
            <w:hideMark/>
          </w:tcPr>
          <w:p w14:paraId="258F8658"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EN105</w:t>
            </w:r>
          </w:p>
        </w:tc>
        <w:tc>
          <w:tcPr>
            <w:tcW w:w="1548" w:type="dxa"/>
            <w:noWrap/>
            <w:hideMark/>
          </w:tcPr>
          <w:p w14:paraId="0E21ACB9"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15" w:type="dxa"/>
            <w:noWrap/>
            <w:hideMark/>
          </w:tcPr>
          <w:p w14:paraId="3CEBE503"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48" w:type="dxa"/>
            <w:noWrap/>
            <w:hideMark/>
          </w:tcPr>
          <w:p w14:paraId="40BD7995"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3FEE2CA2"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2F332515"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97" w:type="dxa"/>
            <w:noWrap/>
            <w:hideMark/>
          </w:tcPr>
          <w:p w14:paraId="5822757D"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7365031F" w14:textId="77777777" w:rsidTr="00C169F5">
        <w:trPr>
          <w:trHeight w:val="312"/>
        </w:trPr>
        <w:tc>
          <w:tcPr>
            <w:tcW w:w="1449" w:type="dxa"/>
            <w:noWrap/>
            <w:hideMark/>
          </w:tcPr>
          <w:p w14:paraId="13DD29C5"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EN106</w:t>
            </w:r>
          </w:p>
        </w:tc>
        <w:tc>
          <w:tcPr>
            <w:tcW w:w="1548" w:type="dxa"/>
            <w:noWrap/>
            <w:hideMark/>
          </w:tcPr>
          <w:p w14:paraId="26982B88"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3,1,2</w:t>
            </w:r>
          </w:p>
        </w:tc>
        <w:tc>
          <w:tcPr>
            <w:tcW w:w="1515" w:type="dxa"/>
            <w:noWrap/>
            <w:hideMark/>
          </w:tcPr>
          <w:p w14:paraId="36CAC664"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1,2,3</w:t>
            </w:r>
          </w:p>
        </w:tc>
        <w:tc>
          <w:tcPr>
            <w:tcW w:w="1548" w:type="dxa"/>
            <w:noWrap/>
            <w:hideMark/>
          </w:tcPr>
          <w:p w14:paraId="1C29B6D5"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3,4</w:t>
            </w:r>
          </w:p>
        </w:tc>
        <w:tc>
          <w:tcPr>
            <w:tcW w:w="1581" w:type="dxa"/>
            <w:noWrap/>
            <w:hideMark/>
          </w:tcPr>
          <w:p w14:paraId="0757CE51"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5</w:t>
            </w:r>
          </w:p>
        </w:tc>
        <w:tc>
          <w:tcPr>
            <w:tcW w:w="1581" w:type="dxa"/>
            <w:noWrap/>
            <w:hideMark/>
          </w:tcPr>
          <w:p w14:paraId="4E92B119"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4,5</w:t>
            </w:r>
          </w:p>
        </w:tc>
        <w:tc>
          <w:tcPr>
            <w:tcW w:w="1597" w:type="dxa"/>
            <w:noWrap/>
            <w:hideMark/>
          </w:tcPr>
          <w:p w14:paraId="6CA0E458"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4, 5</w:t>
            </w:r>
          </w:p>
        </w:tc>
      </w:tr>
      <w:tr w:rsidR="008A7196" w:rsidRPr="00862EFB" w14:paraId="74763FDF" w14:textId="77777777" w:rsidTr="00C169F5">
        <w:trPr>
          <w:trHeight w:val="312"/>
        </w:trPr>
        <w:tc>
          <w:tcPr>
            <w:tcW w:w="1449" w:type="dxa"/>
            <w:noWrap/>
            <w:hideMark/>
          </w:tcPr>
          <w:p w14:paraId="05359F8C"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EN107</w:t>
            </w:r>
          </w:p>
        </w:tc>
        <w:tc>
          <w:tcPr>
            <w:tcW w:w="1548" w:type="dxa"/>
            <w:noWrap/>
            <w:hideMark/>
          </w:tcPr>
          <w:p w14:paraId="753664E5"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15" w:type="dxa"/>
            <w:noWrap/>
            <w:hideMark/>
          </w:tcPr>
          <w:p w14:paraId="42C99762"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48" w:type="dxa"/>
            <w:noWrap/>
            <w:hideMark/>
          </w:tcPr>
          <w:p w14:paraId="4AC15D8C"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772EA09E"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52D4C8A8"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97" w:type="dxa"/>
            <w:noWrap/>
            <w:hideMark/>
          </w:tcPr>
          <w:p w14:paraId="4822A73A"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4A9EAA22" w14:textId="77777777" w:rsidTr="00C169F5">
        <w:trPr>
          <w:trHeight w:val="312"/>
        </w:trPr>
        <w:tc>
          <w:tcPr>
            <w:tcW w:w="1449" w:type="dxa"/>
            <w:noWrap/>
            <w:hideMark/>
          </w:tcPr>
          <w:p w14:paraId="777D4C1D"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EN108</w:t>
            </w:r>
          </w:p>
        </w:tc>
        <w:tc>
          <w:tcPr>
            <w:tcW w:w="1548" w:type="dxa"/>
            <w:noWrap/>
            <w:hideMark/>
          </w:tcPr>
          <w:p w14:paraId="1CDDE95A"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1,3,4</w:t>
            </w:r>
          </w:p>
        </w:tc>
        <w:tc>
          <w:tcPr>
            <w:tcW w:w="1515" w:type="dxa"/>
            <w:noWrap/>
            <w:hideMark/>
          </w:tcPr>
          <w:p w14:paraId="084DDC11"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1,2,3,4</w:t>
            </w:r>
          </w:p>
        </w:tc>
        <w:tc>
          <w:tcPr>
            <w:tcW w:w="1548" w:type="dxa"/>
            <w:noWrap/>
            <w:hideMark/>
          </w:tcPr>
          <w:p w14:paraId="2E003EC2"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1,2,3</w:t>
            </w:r>
          </w:p>
        </w:tc>
        <w:tc>
          <w:tcPr>
            <w:tcW w:w="1581" w:type="dxa"/>
            <w:noWrap/>
            <w:hideMark/>
          </w:tcPr>
          <w:p w14:paraId="5A74765C"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81" w:type="dxa"/>
            <w:noWrap/>
            <w:hideMark/>
          </w:tcPr>
          <w:p w14:paraId="40ED981D"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2,3</w:t>
            </w:r>
          </w:p>
        </w:tc>
        <w:tc>
          <w:tcPr>
            <w:tcW w:w="1597" w:type="dxa"/>
            <w:noWrap/>
            <w:hideMark/>
          </w:tcPr>
          <w:p w14:paraId="75F17190"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2,3,5</w:t>
            </w:r>
          </w:p>
        </w:tc>
      </w:tr>
      <w:tr w:rsidR="008A7196" w:rsidRPr="00862EFB" w14:paraId="5ED44D09" w14:textId="77777777" w:rsidTr="00C169F5">
        <w:trPr>
          <w:trHeight w:val="312"/>
        </w:trPr>
        <w:tc>
          <w:tcPr>
            <w:tcW w:w="1449" w:type="dxa"/>
            <w:noWrap/>
            <w:hideMark/>
          </w:tcPr>
          <w:p w14:paraId="43F1A7E7"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EN109</w:t>
            </w:r>
          </w:p>
        </w:tc>
        <w:tc>
          <w:tcPr>
            <w:tcW w:w="1548" w:type="dxa"/>
            <w:noWrap/>
            <w:hideMark/>
          </w:tcPr>
          <w:p w14:paraId="28C322AF"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15" w:type="dxa"/>
            <w:noWrap/>
            <w:hideMark/>
          </w:tcPr>
          <w:p w14:paraId="61165E47"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w:t>
            </w:r>
          </w:p>
        </w:tc>
        <w:tc>
          <w:tcPr>
            <w:tcW w:w="1548" w:type="dxa"/>
            <w:noWrap/>
            <w:hideMark/>
          </w:tcPr>
          <w:p w14:paraId="322BA74E"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4FBE2930"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81" w:type="dxa"/>
            <w:noWrap/>
            <w:hideMark/>
          </w:tcPr>
          <w:p w14:paraId="4D3EE5B6"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97" w:type="dxa"/>
            <w:noWrap/>
            <w:hideMark/>
          </w:tcPr>
          <w:p w14:paraId="00FF57B4"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2CCE0EBA" w14:textId="77777777" w:rsidTr="00C169F5">
        <w:trPr>
          <w:trHeight w:val="312"/>
        </w:trPr>
        <w:tc>
          <w:tcPr>
            <w:tcW w:w="1449" w:type="dxa"/>
            <w:noWrap/>
            <w:hideMark/>
          </w:tcPr>
          <w:p w14:paraId="119C3867"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EN110</w:t>
            </w:r>
          </w:p>
        </w:tc>
        <w:tc>
          <w:tcPr>
            <w:tcW w:w="1548" w:type="dxa"/>
            <w:noWrap/>
            <w:hideMark/>
          </w:tcPr>
          <w:p w14:paraId="312C7619"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2,3</w:t>
            </w:r>
          </w:p>
        </w:tc>
        <w:tc>
          <w:tcPr>
            <w:tcW w:w="1515" w:type="dxa"/>
            <w:noWrap/>
            <w:hideMark/>
          </w:tcPr>
          <w:p w14:paraId="11BB7D25"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48" w:type="dxa"/>
            <w:noWrap/>
            <w:hideMark/>
          </w:tcPr>
          <w:p w14:paraId="60BCA2AC"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3FB97D19"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1,3,4</w:t>
            </w:r>
          </w:p>
        </w:tc>
        <w:tc>
          <w:tcPr>
            <w:tcW w:w="1581" w:type="dxa"/>
            <w:noWrap/>
            <w:hideMark/>
          </w:tcPr>
          <w:p w14:paraId="4A00EF0A"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97" w:type="dxa"/>
            <w:noWrap/>
            <w:hideMark/>
          </w:tcPr>
          <w:p w14:paraId="20DF2D00"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35DABDFE" w14:textId="77777777" w:rsidTr="00C169F5">
        <w:trPr>
          <w:trHeight w:val="312"/>
        </w:trPr>
        <w:tc>
          <w:tcPr>
            <w:tcW w:w="1449" w:type="dxa"/>
            <w:noWrap/>
            <w:hideMark/>
          </w:tcPr>
          <w:p w14:paraId="7817B21C"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EN112</w:t>
            </w:r>
          </w:p>
        </w:tc>
        <w:tc>
          <w:tcPr>
            <w:tcW w:w="1548" w:type="dxa"/>
            <w:noWrap/>
            <w:hideMark/>
          </w:tcPr>
          <w:p w14:paraId="4018D362"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15" w:type="dxa"/>
            <w:noWrap/>
            <w:hideMark/>
          </w:tcPr>
          <w:p w14:paraId="13723025"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2</w:t>
            </w:r>
          </w:p>
        </w:tc>
        <w:tc>
          <w:tcPr>
            <w:tcW w:w="1548" w:type="dxa"/>
            <w:noWrap/>
            <w:hideMark/>
          </w:tcPr>
          <w:p w14:paraId="1EADB13E"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08755B0A"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81" w:type="dxa"/>
            <w:noWrap/>
            <w:hideMark/>
          </w:tcPr>
          <w:p w14:paraId="19323500"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97" w:type="dxa"/>
            <w:noWrap/>
            <w:hideMark/>
          </w:tcPr>
          <w:p w14:paraId="3627F47A"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r w:rsidR="008A7196" w:rsidRPr="00862EFB" w14:paraId="4DCD8E23" w14:textId="77777777" w:rsidTr="00C169F5">
        <w:trPr>
          <w:trHeight w:val="312"/>
        </w:trPr>
        <w:tc>
          <w:tcPr>
            <w:tcW w:w="1449" w:type="dxa"/>
            <w:noWrap/>
            <w:hideMark/>
          </w:tcPr>
          <w:p w14:paraId="23B792AA"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EN113</w:t>
            </w:r>
          </w:p>
        </w:tc>
        <w:tc>
          <w:tcPr>
            <w:tcW w:w="1548" w:type="dxa"/>
            <w:noWrap/>
            <w:hideMark/>
          </w:tcPr>
          <w:p w14:paraId="548251FB"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15" w:type="dxa"/>
            <w:noWrap/>
            <w:hideMark/>
          </w:tcPr>
          <w:p w14:paraId="268FFC4D"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48" w:type="dxa"/>
            <w:noWrap/>
            <w:hideMark/>
          </w:tcPr>
          <w:p w14:paraId="7CCEE1F2"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81" w:type="dxa"/>
            <w:noWrap/>
            <w:hideMark/>
          </w:tcPr>
          <w:p w14:paraId="27BF0829" w14:textId="77777777" w:rsidR="008A7196" w:rsidRPr="009A7681" w:rsidRDefault="008A7196" w:rsidP="00C169F5">
            <w:pPr>
              <w:spacing w:line="360" w:lineRule="auto"/>
              <w:rPr>
                <w:rFonts w:eastAsia="Times New Roman" w:cstheme="minorHAnsi"/>
                <w:color w:val="000000" w:themeColor="text1"/>
                <w:sz w:val="20"/>
                <w:szCs w:val="20"/>
                <w:lang w:eastAsia="en-GB"/>
              </w:rPr>
            </w:pPr>
            <w:r w:rsidRPr="009A7681">
              <w:rPr>
                <w:rFonts w:eastAsia="Times New Roman" w:cstheme="minorHAnsi"/>
                <w:color w:val="000000" w:themeColor="text1"/>
                <w:sz w:val="20"/>
                <w:szCs w:val="20"/>
                <w:lang w:eastAsia="en-GB"/>
              </w:rPr>
              <w:t>3</w:t>
            </w:r>
          </w:p>
        </w:tc>
        <w:tc>
          <w:tcPr>
            <w:tcW w:w="1581" w:type="dxa"/>
            <w:noWrap/>
            <w:hideMark/>
          </w:tcPr>
          <w:p w14:paraId="66A8E17D"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c>
          <w:tcPr>
            <w:tcW w:w="1597" w:type="dxa"/>
            <w:noWrap/>
            <w:hideMark/>
          </w:tcPr>
          <w:p w14:paraId="77DF5505" w14:textId="77777777" w:rsidR="008A7196" w:rsidRPr="009A7681" w:rsidRDefault="008A7196" w:rsidP="00C169F5">
            <w:pPr>
              <w:spacing w:line="360" w:lineRule="auto"/>
              <w:rPr>
                <w:rFonts w:eastAsia="Times New Roman" w:cstheme="minorHAnsi"/>
                <w:color w:val="000000" w:themeColor="text1"/>
                <w:sz w:val="20"/>
                <w:szCs w:val="20"/>
                <w:lang w:eastAsia="en-GB"/>
              </w:rPr>
            </w:pPr>
          </w:p>
        </w:tc>
      </w:tr>
    </w:tbl>
    <w:p w14:paraId="61D2AF27" w14:textId="13C1B3E0" w:rsidR="008A7196" w:rsidRPr="00862EFB" w:rsidRDefault="008A7196" w:rsidP="008A7196">
      <w:pPr>
        <w:pStyle w:val="MDPI52figure"/>
        <w:spacing w:line="360" w:lineRule="auto"/>
        <w:jc w:val="left"/>
        <w:rPr>
          <w:rFonts w:asciiTheme="minorHAnsi" w:hAnsiTheme="minorHAnsi" w:cstheme="minorHAnsi"/>
          <w:i/>
          <w:iCs/>
          <w:sz w:val="24"/>
          <w:szCs w:val="24"/>
        </w:rPr>
      </w:pPr>
      <w:r w:rsidRPr="009A7681">
        <w:rPr>
          <w:rFonts w:asciiTheme="minorHAnsi" w:hAnsiTheme="minorHAnsi" w:cstheme="minorHAnsi"/>
          <w:i/>
          <w:iCs/>
          <w:sz w:val="24"/>
          <w:szCs w:val="24"/>
        </w:rPr>
        <w:t>Individual participant reporting of band colours used in comparison to week 2 and week 6, when the same workout was delivered again but with extra reps and less rest.</w:t>
      </w:r>
    </w:p>
    <w:p w14:paraId="6A964E39" w14:textId="77777777" w:rsidR="008A7196" w:rsidRPr="00862EFB" w:rsidRDefault="008A7196" w:rsidP="008A7196">
      <w:pPr>
        <w:spacing w:line="360" w:lineRule="auto"/>
        <w:rPr>
          <w:rFonts w:cstheme="minorHAnsi"/>
        </w:rPr>
      </w:pPr>
      <w:r w:rsidRPr="00862EFB">
        <w:rPr>
          <w:rFonts w:cstheme="minorHAnsi"/>
        </w:rPr>
        <w:t>.</w:t>
      </w:r>
    </w:p>
    <w:p w14:paraId="2343BF7E" w14:textId="77777777" w:rsidR="008A7196" w:rsidRPr="00862EFB" w:rsidRDefault="008A7196" w:rsidP="008A7196">
      <w:pPr>
        <w:pStyle w:val="MDPI52figure"/>
        <w:spacing w:line="360" w:lineRule="auto"/>
        <w:jc w:val="left"/>
        <w:rPr>
          <w:rFonts w:asciiTheme="minorHAnsi" w:hAnsiTheme="minorHAnsi" w:cstheme="minorHAnsi"/>
          <w:sz w:val="24"/>
          <w:szCs w:val="24"/>
        </w:rPr>
      </w:pPr>
      <w:r w:rsidRPr="00862EFB">
        <w:rPr>
          <w:rFonts w:asciiTheme="minorHAnsi" w:hAnsiTheme="minorHAnsi" w:cstheme="minorHAnsi"/>
          <w:noProof/>
          <w:sz w:val="24"/>
          <w:szCs w:val="24"/>
        </w:rPr>
        <w:lastRenderedPageBreak/>
        <w:drawing>
          <wp:anchor distT="0" distB="0" distL="114300" distR="114300" simplePos="0" relativeHeight="251723776" behindDoc="0" locked="0" layoutInCell="1" allowOverlap="1" wp14:anchorId="4190AC73" wp14:editId="6634A0D3">
            <wp:simplePos x="0" y="0"/>
            <wp:positionH relativeFrom="column">
              <wp:posOffset>162560</wp:posOffset>
            </wp:positionH>
            <wp:positionV relativeFrom="paragraph">
              <wp:posOffset>3677920</wp:posOffset>
            </wp:positionV>
            <wp:extent cx="5384800" cy="2997200"/>
            <wp:effectExtent l="0" t="0" r="12700" b="12700"/>
            <wp:wrapSquare wrapText="bothSides"/>
            <wp:docPr id="204" name="Chart 204">
              <a:extLst xmlns:a="http://schemas.openxmlformats.org/drawingml/2006/main">
                <a:ext uri="{FF2B5EF4-FFF2-40B4-BE49-F238E27FC236}">
                  <a16:creationId xmlns:a16="http://schemas.microsoft.com/office/drawing/2014/main" id="{DCF6936B-058A-7A10-F531-80D73D8953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14:sizeRelH relativeFrom="page">
              <wp14:pctWidth>0</wp14:pctWidth>
            </wp14:sizeRelH>
            <wp14:sizeRelV relativeFrom="page">
              <wp14:pctHeight>0</wp14:pctHeight>
            </wp14:sizeRelV>
          </wp:anchor>
        </w:drawing>
      </w:r>
      <w:r w:rsidRPr="00862EFB">
        <w:rPr>
          <w:rFonts w:asciiTheme="minorHAnsi" w:hAnsiTheme="minorHAnsi" w:cstheme="minorHAnsi"/>
          <w:noProof/>
          <w:sz w:val="24"/>
          <w:szCs w:val="24"/>
        </w:rPr>
        <w:drawing>
          <wp:anchor distT="0" distB="0" distL="114300" distR="114300" simplePos="0" relativeHeight="251724800" behindDoc="0" locked="0" layoutInCell="1" allowOverlap="1" wp14:anchorId="0C0AB1D2" wp14:editId="11547FBC">
            <wp:simplePos x="0" y="0"/>
            <wp:positionH relativeFrom="column">
              <wp:posOffset>162560</wp:posOffset>
            </wp:positionH>
            <wp:positionV relativeFrom="paragraph">
              <wp:posOffset>0</wp:posOffset>
            </wp:positionV>
            <wp:extent cx="5496560" cy="3180080"/>
            <wp:effectExtent l="0" t="0" r="15240" b="7620"/>
            <wp:wrapSquare wrapText="bothSides"/>
            <wp:docPr id="205" name="Chart 205">
              <a:extLst xmlns:a="http://schemas.openxmlformats.org/drawingml/2006/main">
                <a:ext uri="{FF2B5EF4-FFF2-40B4-BE49-F238E27FC236}">
                  <a16:creationId xmlns:a16="http://schemas.microsoft.com/office/drawing/2014/main" id="{B538C48F-6DF2-708E-D6CD-08591174D4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14:sizeRelH relativeFrom="page">
              <wp14:pctWidth>0</wp14:pctWidth>
            </wp14:sizeRelH>
            <wp14:sizeRelV relativeFrom="page">
              <wp14:pctHeight>0</wp14:pctHeight>
            </wp14:sizeRelV>
          </wp:anchor>
        </w:drawing>
      </w:r>
    </w:p>
    <w:p w14:paraId="791615FE" w14:textId="77777777" w:rsidR="008A7196" w:rsidRPr="00862EFB" w:rsidRDefault="008A7196" w:rsidP="008A7196">
      <w:pPr>
        <w:pStyle w:val="MDPI52figure"/>
        <w:spacing w:line="360" w:lineRule="auto"/>
        <w:jc w:val="left"/>
        <w:rPr>
          <w:rFonts w:asciiTheme="minorHAnsi" w:hAnsiTheme="minorHAnsi" w:cstheme="minorHAnsi"/>
          <w:sz w:val="24"/>
          <w:szCs w:val="24"/>
          <w:lang w:val="en-GB"/>
        </w:rPr>
      </w:pPr>
    </w:p>
    <w:p w14:paraId="5F56AD94" w14:textId="77777777" w:rsidR="008A7196" w:rsidRPr="00862EFB" w:rsidRDefault="008A7196" w:rsidP="008A7196">
      <w:pPr>
        <w:pStyle w:val="MDPI52figure"/>
        <w:spacing w:line="360" w:lineRule="auto"/>
        <w:jc w:val="left"/>
        <w:rPr>
          <w:rFonts w:asciiTheme="minorHAnsi" w:hAnsiTheme="minorHAnsi" w:cstheme="minorHAnsi"/>
          <w:i/>
          <w:iCs/>
          <w:sz w:val="24"/>
          <w:szCs w:val="24"/>
          <w:lang w:val="en-GB"/>
        </w:rPr>
      </w:pPr>
      <w:r w:rsidRPr="00862EFB">
        <w:rPr>
          <w:rFonts w:asciiTheme="minorHAnsi" w:hAnsiTheme="minorHAnsi" w:cstheme="minorHAnsi"/>
          <w:i/>
          <w:iCs/>
          <w:sz w:val="24"/>
          <w:szCs w:val="24"/>
          <w:lang w:val="en-GB"/>
        </w:rPr>
        <w:t>Band colours used by participant on week 1 vs week 5 for session 1 and 2. 1=yellow (10lbs), 2=blue (20lbs), 3=green (30lbs), 4=black (40lbs), 5=red (50lbs)</w:t>
      </w:r>
    </w:p>
    <w:p w14:paraId="1B4DEDCB" w14:textId="77777777" w:rsidR="008A7196" w:rsidRPr="00862EFB" w:rsidRDefault="008A7196" w:rsidP="008A7196">
      <w:pPr>
        <w:pStyle w:val="MDPI52figure"/>
        <w:spacing w:line="360" w:lineRule="auto"/>
        <w:jc w:val="left"/>
        <w:rPr>
          <w:rFonts w:asciiTheme="minorHAnsi" w:hAnsiTheme="minorHAnsi" w:cstheme="minorHAnsi"/>
          <w:sz w:val="24"/>
          <w:szCs w:val="24"/>
          <w:lang w:val="en-GB"/>
        </w:rPr>
      </w:pPr>
    </w:p>
    <w:p w14:paraId="17A85539" w14:textId="77777777" w:rsidR="008A7196" w:rsidRPr="00862EFB" w:rsidRDefault="008A7196" w:rsidP="008A7196">
      <w:pPr>
        <w:pStyle w:val="MDPI52figure"/>
        <w:spacing w:line="360" w:lineRule="auto"/>
        <w:jc w:val="left"/>
        <w:rPr>
          <w:rFonts w:asciiTheme="minorHAnsi" w:hAnsiTheme="minorHAnsi" w:cstheme="minorHAnsi"/>
          <w:sz w:val="24"/>
          <w:szCs w:val="24"/>
          <w:lang w:val="en-GB"/>
        </w:rPr>
      </w:pPr>
      <w:r w:rsidRPr="00862EFB">
        <w:rPr>
          <w:rFonts w:asciiTheme="minorHAnsi" w:hAnsiTheme="minorHAnsi" w:cstheme="minorHAnsi"/>
          <w:noProof/>
          <w:sz w:val="24"/>
          <w:szCs w:val="24"/>
        </w:rPr>
        <w:lastRenderedPageBreak/>
        <w:drawing>
          <wp:anchor distT="0" distB="0" distL="114300" distR="114300" simplePos="0" relativeHeight="251725824" behindDoc="0" locked="0" layoutInCell="1" allowOverlap="1" wp14:anchorId="71B51CD8" wp14:editId="4C208A99">
            <wp:simplePos x="0" y="0"/>
            <wp:positionH relativeFrom="column">
              <wp:posOffset>-121920</wp:posOffset>
            </wp:positionH>
            <wp:positionV relativeFrom="paragraph">
              <wp:posOffset>0</wp:posOffset>
            </wp:positionV>
            <wp:extent cx="5628640" cy="3150870"/>
            <wp:effectExtent l="0" t="0" r="10160" b="11430"/>
            <wp:wrapSquare wrapText="bothSides"/>
            <wp:docPr id="79" name="Chart 79">
              <a:extLst xmlns:a="http://schemas.openxmlformats.org/drawingml/2006/main">
                <a:ext uri="{FF2B5EF4-FFF2-40B4-BE49-F238E27FC236}">
                  <a16:creationId xmlns:a16="http://schemas.microsoft.com/office/drawing/2014/main" id="{07AA0367-99FB-CA28-84C3-D3855C8C1E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14:sizeRelH relativeFrom="page">
              <wp14:pctWidth>0</wp14:pctWidth>
            </wp14:sizeRelH>
            <wp14:sizeRelV relativeFrom="page">
              <wp14:pctHeight>0</wp14:pctHeight>
            </wp14:sizeRelV>
          </wp:anchor>
        </w:drawing>
      </w:r>
    </w:p>
    <w:p w14:paraId="2FDA2255" w14:textId="77777777" w:rsidR="008A7196" w:rsidRPr="00862EFB" w:rsidRDefault="008A7196" w:rsidP="008A7196">
      <w:pPr>
        <w:pStyle w:val="MDPI52figure"/>
        <w:spacing w:line="360" w:lineRule="auto"/>
        <w:jc w:val="left"/>
        <w:rPr>
          <w:rFonts w:asciiTheme="minorHAnsi" w:hAnsiTheme="minorHAnsi" w:cstheme="minorHAnsi"/>
          <w:sz w:val="24"/>
          <w:szCs w:val="24"/>
          <w:lang w:val="en-GB"/>
        </w:rPr>
      </w:pPr>
      <w:r w:rsidRPr="00862EFB">
        <w:rPr>
          <w:rFonts w:asciiTheme="minorHAnsi" w:hAnsiTheme="minorHAnsi" w:cstheme="minorHAnsi"/>
          <w:noProof/>
          <w:sz w:val="24"/>
          <w:szCs w:val="24"/>
        </w:rPr>
        <w:drawing>
          <wp:anchor distT="0" distB="0" distL="114300" distR="114300" simplePos="0" relativeHeight="251726848" behindDoc="0" locked="0" layoutInCell="1" allowOverlap="1" wp14:anchorId="1771DA70" wp14:editId="05D5BFC6">
            <wp:simplePos x="0" y="0"/>
            <wp:positionH relativeFrom="column">
              <wp:posOffset>-121920</wp:posOffset>
            </wp:positionH>
            <wp:positionV relativeFrom="paragraph">
              <wp:posOffset>440055</wp:posOffset>
            </wp:positionV>
            <wp:extent cx="5831840" cy="3291840"/>
            <wp:effectExtent l="0" t="0" r="10160" b="10160"/>
            <wp:wrapSquare wrapText="bothSides"/>
            <wp:docPr id="80" name="Chart 80">
              <a:extLst xmlns:a="http://schemas.openxmlformats.org/drawingml/2006/main">
                <a:ext uri="{FF2B5EF4-FFF2-40B4-BE49-F238E27FC236}">
                  <a16:creationId xmlns:a16="http://schemas.microsoft.com/office/drawing/2014/main" id="{1B34D62D-D548-B54A-1F09-148D193206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14:sizeRelH relativeFrom="page">
              <wp14:pctWidth>0</wp14:pctWidth>
            </wp14:sizeRelH>
            <wp14:sizeRelV relativeFrom="page">
              <wp14:pctHeight>0</wp14:pctHeight>
            </wp14:sizeRelV>
          </wp:anchor>
        </w:drawing>
      </w:r>
    </w:p>
    <w:p w14:paraId="5E63DA50" w14:textId="77777777" w:rsidR="008A7196" w:rsidRPr="00862EFB" w:rsidRDefault="008A7196" w:rsidP="008A7196">
      <w:pPr>
        <w:pStyle w:val="MDPI52figure"/>
        <w:spacing w:line="360" w:lineRule="auto"/>
        <w:jc w:val="left"/>
        <w:rPr>
          <w:rFonts w:asciiTheme="minorHAnsi" w:hAnsiTheme="minorHAnsi" w:cstheme="minorHAnsi"/>
          <w:sz w:val="24"/>
          <w:szCs w:val="24"/>
          <w:lang w:val="en-GB"/>
        </w:rPr>
      </w:pPr>
    </w:p>
    <w:p w14:paraId="37BB1B2F" w14:textId="77777777" w:rsidR="008A7196" w:rsidRPr="00862EFB" w:rsidRDefault="008A7196" w:rsidP="008A7196">
      <w:pPr>
        <w:pStyle w:val="MDPI52figure"/>
        <w:spacing w:line="360" w:lineRule="auto"/>
        <w:jc w:val="left"/>
        <w:rPr>
          <w:rFonts w:asciiTheme="minorHAnsi" w:hAnsiTheme="minorHAnsi" w:cstheme="minorHAnsi"/>
          <w:i/>
          <w:iCs/>
          <w:sz w:val="24"/>
          <w:szCs w:val="24"/>
          <w:lang w:val="en-GB"/>
        </w:rPr>
      </w:pPr>
      <w:r w:rsidRPr="00862EFB">
        <w:rPr>
          <w:rFonts w:asciiTheme="minorHAnsi" w:hAnsiTheme="minorHAnsi" w:cstheme="minorHAnsi"/>
          <w:i/>
          <w:iCs/>
          <w:sz w:val="24"/>
          <w:szCs w:val="24"/>
          <w:lang w:val="en-GB"/>
        </w:rPr>
        <w:t>Band colours used by participant on week 2 vs week 6 for session 1 and 2. 1=yellow (10lbs), 2=blue (20lbs), 3=green (30lbs), 4=black (40lbs), 5=red (50lbs)</w:t>
      </w:r>
    </w:p>
    <w:p w14:paraId="200EB809" w14:textId="77777777" w:rsidR="008A7196" w:rsidRPr="00862EFB" w:rsidRDefault="008A7196" w:rsidP="008A7196">
      <w:pPr>
        <w:rPr>
          <w:rFonts w:cstheme="minorHAnsi"/>
        </w:rPr>
        <w:sectPr w:rsidR="008A7196" w:rsidRPr="00862EFB" w:rsidSect="00E06A7F">
          <w:pgSz w:w="11900" w:h="16840"/>
          <w:pgMar w:top="1440" w:right="1440" w:bottom="1440" w:left="1440" w:header="708" w:footer="708" w:gutter="0"/>
          <w:cols w:space="708"/>
          <w:docGrid w:linePitch="360"/>
        </w:sectPr>
      </w:pPr>
    </w:p>
    <w:p w14:paraId="6FB70290" w14:textId="77777777" w:rsidR="008A7196" w:rsidRPr="00862EFB" w:rsidRDefault="008A7196" w:rsidP="008A7196">
      <w:pPr>
        <w:spacing w:line="360" w:lineRule="auto"/>
        <w:rPr>
          <w:rFonts w:cstheme="minorHAnsi"/>
        </w:rPr>
      </w:pPr>
      <w:r w:rsidRPr="00862EFB">
        <w:rPr>
          <w:rFonts w:cstheme="minorHAnsi"/>
        </w:rPr>
        <w:lastRenderedPageBreak/>
        <w:t>Appendix  25 – more in-depth, descriptive responses to the exercise intervention outcome questions.</w:t>
      </w:r>
    </w:p>
    <w:tbl>
      <w:tblPr>
        <w:tblStyle w:val="TableGrid"/>
        <w:tblW w:w="15593" w:type="dxa"/>
        <w:tblInd w:w="-714" w:type="dxa"/>
        <w:tblLook w:val="04A0" w:firstRow="1" w:lastRow="0" w:firstColumn="1" w:lastColumn="0" w:noHBand="0" w:noVBand="1"/>
      </w:tblPr>
      <w:tblGrid>
        <w:gridCol w:w="1702"/>
        <w:gridCol w:w="2268"/>
        <w:gridCol w:w="2268"/>
        <w:gridCol w:w="2268"/>
        <w:gridCol w:w="3118"/>
        <w:gridCol w:w="3969"/>
      </w:tblGrid>
      <w:tr w:rsidR="008A7196" w:rsidRPr="00862EFB" w14:paraId="7C6A5326" w14:textId="77777777" w:rsidTr="00C169F5">
        <w:trPr>
          <w:trHeight w:val="558"/>
        </w:trPr>
        <w:tc>
          <w:tcPr>
            <w:tcW w:w="1702" w:type="dxa"/>
          </w:tcPr>
          <w:p w14:paraId="5AEA5196" w14:textId="77777777" w:rsidR="008A7196" w:rsidRPr="00862EFB" w:rsidRDefault="008A7196" w:rsidP="00C169F5">
            <w:pPr>
              <w:pStyle w:val="MDPI52figure"/>
              <w:spacing w:line="360" w:lineRule="auto"/>
              <w:jc w:val="left"/>
              <w:rPr>
                <w:rFonts w:asciiTheme="minorHAnsi" w:hAnsiTheme="minorHAnsi" w:cstheme="minorHAnsi"/>
                <w:b/>
                <w:bCs/>
                <w:lang w:val="en-GB"/>
              </w:rPr>
            </w:pPr>
            <w:r w:rsidRPr="00862EFB">
              <w:rPr>
                <w:rFonts w:asciiTheme="minorHAnsi" w:hAnsiTheme="minorHAnsi" w:cstheme="minorHAnsi"/>
                <w:b/>
                <w:bCs/>
                <w:lang w:val="en-GB"/>
              </w:rPr>
              <w:t>Participant ID</w:t>
            </w:r>
          </w:p>
        </w:tc>
        <w:tc>
          <w:tcPr>
            <w:tcW w:w="2268" w:type="dxa"/>
          </w:tcPr>
          <w:p w14:paraId="6A48CA52" w14:textId="77777777" w:rsidR="008A7196" w:rsidRPr="00862EFB" w:rsidRDefault="008A7196" w:rsidP="00C169F5">
            <w:pPr>
              <w:pStyle w:val="MDPI52figure"/>
              <w:spacing w:line="360" w:lineRule="auto"/>
              <w:jc w:val="left"/>
              <w:rPr>
                <w:rFonts w:asciiTheme="minorHAnsi" w:hAnsiTheme="minorHAnsi" w:cstheme="minorHAnsi"/>
                <w:b/>
                <w:bCs/>
                <w:lang w:val="en-GB"/>
              </w:rPr>
            </w:pPr>
            <w:r w:rsidRPr="00862EFB">
              <w:rPr>
                <w:rFonts w:asciiTheme="minorHAnsi" w:hAnsiTheme="minorHAnsi" w:cstheme="minorHAnsi"/>
                <w:b/>
                <w:bCs/>
                <w:lang w:val="en-GB"/>
              </w:rPr>
              <w:t>Question 8 response – selection of words to describe overall thoughts of exercise intervention</w:t>
            </w:r>
          </w:p>
        </w:tc>
        <w:tc>
          <w:tcPr>
            <w:tcW w:w="2268" w:type="dxa"/>
          </w:tcPr>
          <w:p w14:paraId="05869C09" w14:textId="77777777" w:rsidR="008A7196" w:rsidRPr="00862EFB" w:rsidRDefault="008A7196" w:rsidP="00C169F5">
            <w:pPr>
              <w:pStyle w:val="MDPI52figure"/>
              <w:spacing w:line="360" w:lineRule="auto"/>
              <w:jc w:val="left"/>
              <w:rPr>
                <w:rFonts w:asciiTheme="minorHAnsi" w:hAnsiTheme="minorHAnsi" w:cstheme="minorHAnsi"/>
                <w:b/>
                <w:bCs/>
                <w:lang w:val="en-GB"/>
              </w:rPr>
            </w:pPr>
            <w:r w:rsidRPr="00862EFB">
              <w:rPr>
                <w:rFonts w:asciiTheme="minorHAnsi" w:hAnsiTheme="minorHAnsi" w:cstheme="minorHAnsi"/>
                <w:b/>
                <w:bCs/>
                <w:lang w:val="en-GB"/>
              </w:rPr>
              <w:t>Question 9 response – Words to describe the online platform/live workouts</w:t>
            </w:r>
          </w:p>
        </w:tc>
        <w:tc>
          <w:tcPr>
            <w:tcW w:w="2268" w:type="dxa"/>
          </w:tcPr>
          <w:p w14:paraId="181CBC7F" w14:textId="77777777" w:rsidR="008A7196" w:rsidRPr="00862EFB" w:rsidRDefault="008A7196" w:rsidP="00C169F5">
            <w:pPr>
              <w:pStyle w:val="MDPI52figure"/>
              <w:spacing w:line="360" w:lineRule="auto"/>
              <w:jc w:val="left"/>
              <w:rPr>
                <w:rFonts w:asciiTheme="minorHAnsi" w:hAnsiTheme="minorHAnsi" w:cstheme="minorHAnsi"/>
                <w:b/>
                <w:bCs/>
                <w:lang w:val="en-GB"/>
              </w:rPr>
            </w:pPr>
            <w:r w:rsidRPr="00862EFB">
              <w:rPr>
                <w:rFonts w:asciiTheme="minorHAnsi" w:hAnsiTheme="minorHAnsi" w:cstheme="minorHAnsi"/>
                <w:b/>
                <w:bCs/>
                <w:lang w:val="en-GB"/>
              </w:rPr>
              <w:t>Question 10 response – words to describe feeling one day post workout session</w:t>
            </w:r>
          </w:p>
        </w:tc>
        <w:tc>
          <w:tcPr>
            <w:tcW w:w="3118" w:type="dxa"/>
          </w:tcPr>
          <w:p w14:paraId="21780298" w14:textId="77777777" w:rsidR="008A7196" w:rsidRPr="00862EFB" w:rsidRDefault="008A7196" w:rsidP="00C169F5">
            <w:pPr>
              <w:pStyle w:val="MDPI52figure"/>
              <w:spacing w:line="360" w:lineRule="auto"/>
              <w:jc w:val="left"/>
              <w:rPr>
                <w:rFonts w:asciiTheme="minorHAnsi" w:hAnsiTheme="minorHAnsi" w:cstheme="minorHAnsi"/>
                <w:b/>
                <w:bCs/>
                <w:lang w:val="en-GB"/>
              </w:rPr>
            </w:pPr>
            <w:r w:rsidRPr="00862EFB">
              <w:rPr>
                <w:rFonts w:asciiTheme="minorHAnsi" w:hAnsiTheme="minorHAnsi" w:cstheme="minorHAnsi"/>
                <w:b/>
                <w:bCs/>
                <w:lang w:val="en-GB"/>
              </w:rPr>
              <w:t>Question 14 response - addition of any further comment about the exercise programme</w:t>
            </w:r>
          </w:p>
          <w:p w14:paraId="14084C60" w14:textId="77777777" w:rsidR="008A7196" w:rsidRPr="00862EFB" w:rsidRDefault="008A7196" w:rsidP="00C169F5">
            <w:pPr>
              <w:pStyle w:val="MDPI52figure"/>
              <w:spacing w:line="360" w:lineRule="auto"/>
              <w:jc w:val="left"/>
              <w:rPr>
                <w:rFonts w:asciiTheme="minorHAnsi" w:hAnsiTheme="minorHAnsi" w:cstheme="minorHAnsi"/>
                <w:b/>
                <w:bCs/>
                <w:lang w:val="en-GB"/>
              </w:rPr>
            </w:pPr>
          </w:p>
        </w:tc>
        <w:tc>
          <w:tcPr>
            <w:tcW w:w="3969" w:type="dxa"/>
          </w:tcPr>
          <w:p w14:paraId="1D66B979" w14:textId="77777777" w:rsidR="008A7196" w:rsidRPr="00862EFB" w:rsidRDefault="008A7196" w:rsidP="00C169F5">
            <w:pPr>
              <w:pStyle w:val="MDPI52figure"/>
              <w:spacing w:line="360" w:lineRule="auto"/>
              <w:jc w:val="left"/>
              <w:rPr>
                <w:rFonts w:asciiTheme="minorHAnsi" w:hAnsiTheme="minorHAnsi" w:cstheme="minorHAnsi"/>
                <w:b/>
                <w:bCs/>
                <w:lang w:val="en-GB"/>
              </w:rPr>
            </w:pPr>
            <w:r w:rsidRPr="00862EFB">
              <w:rPr>
                <w:rFonts w:asciiTheme="minorHAnsi" w:hAnsiTheme="minorHAnsi" w:cstheme="minorHAnsi"/>
                <w:b/>
                <w:bCs/>
                <w:lang w:val="en-GB"/>
              </w:rPr>
              <w:t>Q16 responses - Observations of any other changes during the study</w:t>
            </w:r>
          </w:p>
          <w:p w14:paraId="08E60C16" w14:textId="77777777" w:rsidR="008A7196" w:rsidRPr="00862EFB" w:rsidRDefault="008A7196" w:rsidP="00C169F5">
            <w:pPr>
              <w:pStyle w:val="MDPI52figure"/>
              <w:spacing w:line="360" w:lineRule="auto"/>
              <w:jc w:val="left"/>
              <w:rPr>
                <w:rFonts w:asciiTheme="minorHAnsi" w:hAnsiTheme="minorHAnsi" w:cstheme="minorHAnsi"/>
                <w:b/>
                <w:bCs/>
                <w:lang w:val="en-GB"/>
              </w:rPr>
            </w:pPr>
          </w:p>
        </w:tc>
      </w:tr>
      <w:tr w:rsidR="008A7196" w:rsidRPr="00862EFB" w14:paraId="7FC74873" w14:textId="77777777" w:rsidTr="00C169F5">
        <w:trPr>
          <w:trHeight w:val="1092"/>
        </w:trPr>
        <w:tc>
          <w:tcPr>
            <w:tcW w:w="1702" w:type="dxa"/>
          </w:tcPr>
          <w:p w14:paraId="1604CAA0"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EN101</w:t>
            </w:r>
          </w:p>
        </w:tc>
        <w:tc>
          <w:tcPr>
            <w:tcW w:w="2268" w:type="dxa"/>
          </w:tcPr>
          <w:p w14:paraId="50DE0C4E"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Fun, challenging, effective, strenuous, enjoyable</w:t>
            </w:r>
          </w:p>
        </w:tc>
        <w:tc>
          <w:tcPr>
            <w:tcW w:w="2268" w:type="dxa"/>
          </w:tcPr>
          <w:p w14:paraId="718ADE4E"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Complicated when others interrupted</w:t>
            </w:r>
          </w:p>
        </w:tc>
        <w:tc>
          <w:tcPr>
            <w:tcW w:w="2268" w:type="dxa"/>
          </w:tcPr>
          <w:p w14:paraId="777F4B98"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Achey, but lets me know my muscles have been working</w:t>
            </w:r>
          </w:p>
        </w:tc>
        <w:tc>
          <w:tcPr>
            <w:tcW w:w="3118" w:type="dxa"/>
          </w:tcPr>
          <w:p w14:paraId="698410C2"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Very lovely, nice</w:t>
            </w:r>
          </w:p>
        </w:tc>
        <w:tc>
          <w:tcPr>
            <w:tcW w:w="3969" w:type="dxa"/>
          </w:tcPr>
          <w:p w14:paraId="0A83DD23"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No, well, maybe I started to care more about what I eat. Increased awareness a little bit</w:t>
            </w:r>
          </w:p>
        </w:tc>
      </w:tr>
      <w:tr w:rsidR="008A7196" w:rsidRPr="00862EFB" w14:paraId="7048F9B8" w14:textId="77777777" w:rsidTr="00C169F5">
        <w:trPr>
          <w:trHeight w:val="1481"/>
        </w:trPr>
        <w:tc>
          <w:tcPr>
            <w:tcW w:w="1702" w:type="dxa"/>
          </w:tcPr>
          <w:p w14:paraId="1B336196"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EN103</w:t>
            </w:r>
          </w:p>
        </w:tc>
        <w:tc>
          <w:tcPr>
            <w:tcW w:w="2268" w:type="dxa"/>
          </w:tcPr>
          <w:p w14:paraId="1D336A12"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Fun</w:t>
            </w:r>
          </w:p>
        </w:tc>
        <w:tc>
          <w:tcPr>
            <w:tcW w:w="2268" w:type="dxa"/>
          </w:tcPr>
          <w:p w14:paraId="5878FF51"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I did not engage in live session, only pre-recorded ones</w:t>
            </w:r>
          </w:p>
        </w:tc>
        <w:tc>
          <w:tcPr>
            <w:tcW w:w="2268" w:type="dxa"/>
          </w:tcPr>
          <w:p w14:paraId="34E7AAE8" w14:textId="77777777" w:rsidR="008A7196" w:rsidRPr="00862EFB" w:rsidRDefault="008A7196" w:rsidP="00C169F5">
            <w:pPr>
              <w:pStyle w:val="MDPI52figure"/>
              <w:spacing w:line="360" w:lineRule="auto"/>
              <w:jc w:val="left"/>
              <w:rPr>
                <w:rFonts w:asciiTheme="minorHAnsi" w:hAnsiTheme="minorHAnsi" w:cstheme="minorHAnsi"/>
                <w:lang w:val="en-GB"/>
              </w:rPr>
            </w:pPr>
          </w:p>
        </w:tc>
        <w:tc>
          <w:tcPr>
            <w:tcW w:w="3118" w:type="dxa"/>
          </w:tcPr>
          <w:p w14:paraId="36945003"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Very lovely, nice</w:t>
            </w:r>
          </w:p>
        </w:tc>
        <w:tc>
          <w:tcPr>
            <w:tcW w:w="3969" w:type="dxa"/>
          </w:tcPr>
          <w:p w14:paraId="72CE52BC"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Felt more positive - it gave me a goal to aim for. After the class I felt more inclined to do things with my day.</w:t>
            </w:r>
          </w:p>
        </w:tc>
      </w:tr>
      <w:tr w:rsidR="008A7196" w:rsidRPr="00862EFB" w14:paraId="2E2FB4D1" w14:textId="77777777" w:rsidTr="00C169F5">
        <w:trPr>
          <w:trHeight w:val="2804"/>
        </w:trPr>
        <w:tc>
          <w:tcPr>
            <w:tcW w:w="1702" w:type="dxa"/>
          </w:tcPr>
          <w:p w14:paraId="3AA0F8C3"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EN104</w:t>
            </w:r>
          </w:p>
        </w:tc>
        <w:tc>
          <w:tcPr>
            <w:tcW w:w="2268" w:type="dxa"/>
          </w:tcPr>
          <w:p w14:paraId="4C74207D"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Challenging, enjoyable, convenient (if working from home) At own level (adjust bands for own strength)</w:t>
            </w:r>
          </w:p>
        </w:tc>
        <w:tc>
          <w:tcPr>
            <w:tcW w:w="2268" w:type="dxa"/>
          </w:tcPr>
          <w:p w14:paraId="1E0F3879"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Motivating, engaging, convenient</w:t>
            </w:r>
          </w:p>
        </w:tc>
        <w:tc>
          <w:tcPr>
            <w:tcW w:w="2268" w:type="dxa"/>
          </w:tcPr>
          <w:p w14:paraId="48F6445C"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Positive, achey, motivated</w:t>
            </w:r>
          </w:p>
        </w:tc>
        <w:tc>
          <w:tcPr>
            <w:tcW w:w="3118" w:type="dxa"/>
          </w:tcPr>
          <w:p w14:paraId="2AA9656D" w14:textId="77777777" w:rsidR="008A7196" w:rsidRPr="00862EFB" w:rsidRDefault="008A7196" w:rsidP="00C169F5">
            <w:pPr>
              <w:pStyle w:val="MDPI52figure"/>
              <w:spacing w:line="360" w:lineRule="auto"/>
              <w:jc w:val="left"/>
              <w:rPr>
                <w:rFonts w:asciiTheme="minorHAnsi" w:hAnsiTheme="minorHAnsi" w:cstheme="minorHAnsi"/>
              </w:rPr>
            </w:pPr>
          </w:p>
        </w:tc>
        <w:tc>
          <w:tcPr>
            <w:tcW w:w="3969" w:type="dxa"/>
          </w:tcPr>
          <w:p w14:paraId="3FA4BE92"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More thirsty. Increased motivation to do other, more aerobic exercises.</w:t>
            </w:r>
          </w:p>
        </w:tc>
      </w:tr>
      <w:tr w:rsidR="008A7196" w:rsidRPr="00862EFB" w14:paraId="01918207" w14:textId="77777777" w:rsidTr="00C169F5">
        <w:trPr>
          <w:trHeight w:val="2804"/>
        </w:trPr>
        <w:tc>
          <w:tcPr>
            <w:tcW w:w="1702" w:type="dxa"/>
          </w:tcPr>
          <w:p w14:paraId="77387E3B"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lastRenderedPageBreak/>
              <w:t>EN105</w:t>
            </w:r>
          </w:p>
        </w:tc>
        <w:tc>
          <w:tcPr>
            <w:tcW w:w="2268" w:type="dxa"/>
          </w:tcPr>
          <w:p w14:paraId="4D4F8223"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Enjoyable</w:t>
            </w:r>
          </w:p>
        </w:tc>
        <w:tc>
          <w:tcPr>
            <w:tcW w:w="2268" w:type="dxa"/>
          </w:tcPr>
          <w:p w14:paraId="7E405759"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Engaging. Some issues with connectivity e.g. message will link not satisfactory but email will link satisfactory. A single link for all sessions would be better.</w:t>
            </w:r>
          </w:p>
        </w:tc>
        <w:tc>
          <w:tcPr>
            <w:tcW w:w="2268" w:type="dxa"/>
          </w:tcPr>
          <w:p w14:paraId="0563DAFC"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Achey on a couple of occasions.</w:t>
            </w:r>
          </w:p>
        </w:tc>
        <w:tc>
          <w:tcPr>
            <w:tcW w:w="3118" w:type="dxa"/>
          </w:tcPr>
          <w:p w14:paraId="62D4AD84"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Visual - clarity and colour, audio - quality, a 10-minute pre-class warm up/chat. Prior to class.</w:t>
            </w:r>
          </w:p>
        </w:tc>
        <w:tc>
          <w:tcPr>
            <w:tcW w:w="3969" w:type="dxa"/>
          </w:tcPr>
          <w:p w14:paraId="14119518"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No to above but do feel stronger and more muscle tone</w:t>
            </w:r>
          </w:p>
        </w:tc>
      </w:tr>
      <w:tr w:rsidR="008A7196" w:rsidRPr="00862EFB" w14:paraId="6FB71095" w14:textId="77777777" w:rsidTr="00C169F5">
        <w:trPr>
          <w:trHeight w:val="1449"/>
        </w:trPr>
        <w:tc>
          <w:tcPr>
            <w:tcW w:w="1702" w:type="dxa"/>
          </w:tcPr>
          <w:p w14:paraId="463604E2"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EN106</w:t>
            </w:r>
          </w:p>
        </w:tc>
        <w:tc>
          <w:tcPr>
            <w:tcW w:w="2268" w:type="dxa"/>
          </w:tcPr>
          <w:p w14:paraId="216630BD"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Fun, challenging, effective, stenuous, enjoyable</w:t>
            </w:r>
          </w:p>
        </w:tc>
        <w:tc>
          <w:tcPr>
            <w:tcW w:w="2268" w:type="dxa"/>
          </w:tcPr>
          <w:p w14:paraId="68689168"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Motivating, lively, engaging</w:t>
            </w:r>
          </w:p>
        </w:tc>
        <w:tc>
          <w:tcPr>
            <w:tcW w:w="2268" w:type="dxa"/>
          </w:tcPr>
          <w:p w14:paraId="0E9F3F51"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Tired, positive, achey, sore, energetic, motivated</w:t>
            </w:r>
          </w:p>
        </w:tc>
        <w:tc>
          <w:tcPr>
            <w:tcW w:w="3118" w:type="dxa"/>
          </w:tcPr>
          <w:p w14:paraId="0E4CB58F"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It has been really motivating, enjoyable and makes me want to carry on</w:t>
            </w:r>
          </w:p>
        </w:tc>
        <w:tc>
          <w:tcPr>
            <w:tcW w:w="3969" w:type="dxa"/>
          </w:tcPr>
          <w:p w14:paraId="2FDDEC18"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Hunger no different particularly. Want to eat better, Improved mood.</w:t>
            </w:r>
          </w:p>
        </w:tc>
      </w:tr>
      <w:tr w:rsidR="008A7196" w:rsidRPr="00862EFB" w14:paraId="022374B6" w14:textId="77777777" w:rsidTr="00C169F5">
        <w:trPr>
          <w:trHeight w:val="138"/>
        </w:trPr>
        <w:tc>
          <w:tcPr>
            <w:tcW w:w="1702" w:type="dxa"/>
          </w:tcPr>
          <w:p w14:paraId="5D04295A"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EN107</w:t>
            </w:r>
          </w:p>
        </w:tc>
        <w:tc>
          <w:tcPr>
            <w:tcW w:w="2268" w:type="dxa"/>
          </w:tcPr>
          <w:p w14:paraId="03B33A0A"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Challenging, effective, enjoyable</w:t>
            </w:r>
          </w:p>
        </w:tc>
        <w:tc>
          <w:tcPr>
            <w:tcW w:w="2268" w:type="dxa"/>
          </w:tcPr>
          <w:p w14:paraId="0DC64B08"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Engaging</w:t>
            </w:r>
          </w:p>
        </w:tc>
        <w:tc>
          <w:tcPr>
            <w:tcW w:w="2268" w:type="dxa"/>
          </w:tcPr>
          <w:p w14:paraId="0B392AA1"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All of the above, varied depending on exercise and whether I increased band</w:t>
            </w:r>
          </w:p>
        </w:tc>
        <w:tc>
          <w:tcPr>
            <w:tcW w:w="3118" w:type="dxa"/>
          </w:tcPr>
          <w:p w14:paraId="2B252939"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Really good for ligaments and tendons</w:t>
            </w:r>
          </w:p>
        </w:tc>
        <w:tc>
          <w:tcPr>
            <w:tcW w:w="3969" w:type="dxa"/>
          </w:tcPr>
          <w:p w14:paraId="4BAB352A" w14:textId="77777777" w:rsidR="008A7196" w:rsidRPr="00862EFB" w:rsidRDefault="008A7196" w:rsidP="00C169F5">
            <w:pPr>
              <w:pStyle w:val="MDPI52figure"/>
              <w:spacing w:line="360" w:lineRule="auto"/>
              <w:jc w:val="left"/>
              <w:rPr>
                <w:rFonts w:asciiTheme="minorHAnsi" w:hAnsiTheme="minorHAnsi" w:cstheme="minorHAnsi"/>
              </w:rPr>
            </w:pPr>
          </w:p>
        </w:tc>
      </w:tr>
      <w:tr w:rsidR="008A7196" w:rsidRPr="00862EFB" w14:paraId="20AC42D2" w14:textId="77777777" w:rsidTr="00C169F5">
        <w:trPr>
          <w:trHeight w:val="1995"/>
        </w:trPr>
        <w:tc>
          <w:tcPr>
            <w:tcW w:w="1702" w:type="dxa"/>
          </w:tcPr>
          <w:p w14:paraId="2541258A"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EN108</w:t>
            </w:r>
          </w:p>
        </w:tc>
        <w:tc>
          <w:tcPr>
            <w:tcW w:w="2268" w:type="dxa"/>
          </w:tcPr>
          <w:p w14:paraId="4F49D42F"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Fun, challenging, effective, enjoyable</w:t>
            </w:r>
          </w:p>
        </w:tc>
        <w:tc>
          <w:tcPr>
            <w:tcW w:w="2268" w:type="dxa"/>
          </w:tcPr>
          <w:p w14:paraId="5E5DF0A1"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Motivating, engaging, convenient</w:t>
            </w:r>
          </w:p>
        </w:tc>
        <w:tc>
          <w:tcPr>
            <w:tcW w:w="2268" w:type="dxa"/>
          </w:tcPr>
          <w:p w14:paraId="54E53D5C"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Positive, motivated</w:t>
            </w:r>
          </w:p>
        </w:tc>
        <w:tc>
          <w:tcPr>
            <w:tcW w:w="3118" w:type="dxa"/>
          </w:tcPr>
          <w:p w14:paraId="796FC956"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Other people complicating the live classes, so better to do exercises in own time</w:t>
            </w:r>
          </w:p>
        </w:tc>
        <w:tc>
          <w:tcPr>
            <w:tcW w:w="3969" w:type="dxa"/>
          </w:tcPr>
          <w:p w14:paraId="508BDD0E"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More motivated to eat right, definitely feel stronger, want to walk more, realise everything you do adds to your health</w:t>
            </w:r>
          </w:p>
        </w:tc>
      </w:tr>
      <w:tr w:rsidR="008A7196" w:rsidRPr="00862EFB" w14:paraId="13B15FC7" w14:textId="77777777" w:rsidTr="00C169F5">
        <w:trPr>
          <w:trHeight w:val="1659"/>
        </w:trPr>
        <w:tc>
          <w:tcPr>
            <w:tcW w:w="1702" w:type="dxa"/>
          </w:tcPr>
          <w:p w14:paraId="0B8C38E0"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lastRenderedPageBreak/>
              <w:t>EN109</w:t>
            </w:r>
          </w:p>
        </w:tc>
        <w:tc>
          <w:tcPr>
            <w:tcW w:w="2268" w:type="dxa"/>
          </w:tcPr>
          <w:p w14:paraId="1D6EA0E6"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Challenging, effective, enjoyable</w:t>
            </w:r>
          </w:p>
        </w:tc>
        <w:tc>
          <w:tcPr>
            <w:tcW w:w="2268" w:type="dxa"/>
          </w:tcPr>
          <w:p w14:paraId="381F61E2"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Lively</w:t>
            </w:r>
          </w:p>
        </w:tc>
        <w:tc>
          <w:tcPr>
            <w:tcW w:w="2268" w:type="dxa"/>
          </w:tcPr>
          <w:p w14:paraId="26FAFC23"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Energetic</w:t>
            </w:r>
          </w:p>
        </w:tc>
        <w:tc>
          <w:tcPr>
            <w:tcW w:w="3118" w:type="dxa"/>
          </w:tcPr>
          <w:p w14:paraId="05A786D0" w14:textId="77777777" w:rsidR="008A7196" w:rsidRPr="00862EFB" w:rsidRDefault="008A7196" w:rsidP="00C169F5">
            <w:pPr>
              <w:pStyle w:val="MDPI52figure"/>
              <w:spacing w:line="360" w:lineRule="auto"/>
              <w:jc w:val="left"/>
              <w:rPr>
                <w:rFonts w:asciiTheme="minorHAnsi" w:hAnsiTheme="minorHAnsi" w:cstheme="minorHAnsi"/>
              </w:rPr>
            </w:pPr>
          </w:p>
        </w:tc>
        <w:tc>
          <w:tcPr>
            <w:tcW w:w="3969" w:type="dxa"/>
          </w:tcPr>
          <w:p w14:paraId="06EB809B"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Yes, but this should be incorporated in a daily log as difficult to remember. I've felt more inclined to eat sweet thing. I have had a couple of weeks of fatigue. I felt inclined to sit on floor - more flexible?</w:t>
            </w:r>
          </w:p>
        </w:tc>
      </w:tr>
      <w:tr w:rsidR="008A7196" w:rsidRPr="00862EFB" w14:paraId="796BE545" w14:textId="77777777" w:rsidTr="00C169F5">
        <w:trPr>
          <w:trHeight w:val="4226"/>
        </w:trPr>
        <w:tc>
          <w:tcPr>
            <w:tcW w:w="1702" w:type="dxa"/>
          </w:tcPr>
          <w:p w14:paraId="16B401E1"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EN110</w:t>
            </w:r>
          </w:p>
        </w:tc>
        <w:tc>
          <w:tcPr>
            <w:tcW w:w="2268" w:type="dxa"/>
          </w:tcPr>
          <w:p w14:paraId="12B8CB24"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Challenging, enjoyable.</w:t>
            </w:r>
          </w:p>
        </w:tc>
        <w:tc>
          <w:tcPr>
            <w:tcW w:w="2268" w:type="dxa"/>
          </w:tcPr>
          <w:p w14:paraId="5655D29C"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Motivating, engaging.</w:t>
            </w:r>
          </w:p>
        </w:tc>
        <w:tc>
          <w:tcPr>
            <w:tcW w:w="2268" w:type="dxa"/>
          </w:tcPr>
          <w:p w14:paraId="357D7CCB"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No different</w:t>
            </w:r>
          </w:p>
        </w:tc>
        <w:tc>
          <w:tcPr>
            <w:tcW w:w="3118" w:type="dxa"/>
          </w:tcPr>
          <w:p w14:paraId="2A295495"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Could not complete the last 2 weeks due to illness and felt like the 'effects' wore off</w:t>
            </w:r>
          </w:p>
        </w:tc>
        <w:tc>
          <w:tcPr>
            <w:tcW w:w="3969" w:type="dxa"/>
          </w:tcPr>
          <w:p w14:paraId="0E9EB3FF" w14:textId="77777777" w:rsidR="008A7196" w:rsidRPr="00862EFB" w:rsidRDefault="008A7196" w:rsidP="00C169F5">
            <w:pPr>
              <w:pStyle w:val="MDPI52figure"/>
              <w:spacing w:line="360" w:lineRule="auto"/>
              <w:jc w:val="left"/>
              <w:rPr>
                <w:rFonts w:asciiTheme="minorHAnsi" w:hAnsiTheme="minorHAnsi" w:cstheme="minorHAnsi"/>
              </w:rPr>
            </w:pPr>
            <w:r w:rsidRPr="00862EFB">
              <w:rPr>
                <w:rFonts w:asciiTheme="minorHAnsi" w:hAnsiTheme="minorHAnsi" w:cstheme="minorHAnsi"/>
              </w:rPr>
              <w:t>Difficult to tell as so many other fators in life causing stress. But when able to do the classes felt more positive. Slight decrease in hunger levels.</w:t>
            </w:r>
          </w:p>
        </w:tc>
      </w:tr>
      <w:tr w:rsidR="008A7196" w:rsidRPr="00862EFB" w14:paraId="7F0644EF" w14:textId="77777777" w:rsidTr="00C169F5">
        <w:trPr>
          <w:trHeight w:val="983"/>
        </w:trPr>
        <w:tc>
          <w:tcPr>
            <w:tcW w:w="1702" w:type="dxa"/>
          </w:tcPr>
          <w:p w14:paraId="3B478BA4"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EN112</w:t>
            </w:r>
          </w:p>
        </w:tc>
        <w:tc>
          <w:tcPr>
            <w:tcW w:w="2268" w:type="dxa"/>
          </w:tcPr>
          <w:p w14:paraId="42C4EAEB"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Fun, challenging, effective, enjoyable</w:t>
            </w:r>
          </w:p>
        </w:tc>
        <w:tc>
          <w:tcPr>
            <w:tcW w:w="2268" w:type="dxa"/>
          </w:tcPr>
          <w:p w14:paraId="17751922"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Engaging</w:t>
            </w:r>
          </w:p>
        </w:tc>
        <w:tc>
          <w:tcPr>
            <w:tcW w:w="2268" w:type="dxa"/>
          </w:tcPr>
          <w:p w14:paraId="0251E614" w14:textId="77777777" w:rsidR="008A7196" w:rsidRPr="00862EFB" w:rsidRDefault="008A7196" w:rsidP="00C169F5">
            <w:pPr>
              <w:pStyle w:val="MDPI52figure"/>
              <w:spacing w:line="360" w:lineRule="auto"/>
              <w:jc w:val="left"/>
              <w:rPr>
                <w:rFonts w:asciiTheme="minorHAnsi" w:hAnsiTheme="minorHAnsi" w:cstheme="minorHAnsi"/>
                <w:lang w:val="en-GB"/>
              </w:rPr>
            </w:pPr>
          </w:p>
        </w:tc>
        <w:tc>
          <w:tcPr>
            <w:tcW w:w="3118" w:type="dxa"/>
          </w:tcPr>
          <w:p w14:paraId="1AF42DA3"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Just I feel bad I couldn't attend more but glad we had the recordings. That really helped.</w:t>
            </w:r>
          </w:p>
        </w:tc>
        <w:tc>
          <w:tcPr>
            <w:tcW w:w="3969" w:type="dxa"/>
          </w:tcPr>
          <w:p w14:paraId="24878BAD" w14:textId="77777777" w:rsidR="008A7196" w:rsidRPr="00862EFB" w:rsidRDefault="008A7196" w:rsidP="00C169F5">
            <w:pPr>
              <w:pStyle w:val="MDPI52figure"/>
              <w:spacing w:line="360" w:lineRule="auto"/>
              <w:jc w:val="left"/>
              <w:rPr>
                <w:rFonts w:asciiTheme="minorHAnsi" w:hAnsiTheme="minorHAnsi" w:cstheme="minorHAnsi"/>
                <w:lang w:val="en-GB"/>
              </w:rPr>
            </w:pPr>
          </w:p>
        </w:tc>
      </w:tr>
      <w:tr w:rsidR="008A7196" w:rsidRPr="00862EFB" w14:paraId="4E58739D" w14:textId="77777777" w:rsidTr="00C169F5">
        <w:trPr>
          <w:trHeight w:val="416"/>
        </w:trPr>
        <w:tc>
          <w:tcPr>
            <w:tcW w:w="1702" w:type="dxa"/>
          </w:tcPr>
          <w:p w14:paraId="2E8F83E7"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EN113</w:t>
            </w:r>
          </w:p>
        </w:tc>
        <w:tc>
          <w:tcPr>
            <w:tcW w:w="2268" w:type="dxa"/>
          </w:tcPr>
          <w:p w14:paraId="52C41127"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Effective, repetitive</w:t>
            </w:r>
          </w:p>
        </w:tc>
        <w:tc>
          <w:tcPr>
            <w:tcW w:w="2268" w:type="dxa"/>
          </w:tcPr>
          <w:p w14:paraId="46D2F603" w14:textId="77777777" w:rsidR="008A7196" w:rsidRPr="00862EFB" w:rsidRDefault="008A7196" w:rsidP="00C169F5">
            <w:pPr>
              <w:pStyle w:val="MDPI52figure"/>
              <w:spacing w:line="360" w:lineRule="auto"/>
              <w:jc w:val="left"/>
              <w:rPr>
                <w:rFonts w:asciiTheme="minorHAnsi" w:hAnsiTheme="minorHAnsi" w:cstheme="minorHAnsi"/>
                <w:lang w:val="en-GB"/>
              </w:rPr>
            </w:pPr>
          </w:p>
        </w:tc>
        <w:tc>
          <w:tcPr>
            <w:tcW w:w="2268" w:type="dxa"/>
          </w:tcPr>
          <w:p w14:paraId="263499B2" w14:textId="77777777" w:rsidR="008A7196" w:rsidRPr="00862EFB" w:rsidRDefault="008A7196" w:rsidP="00C169F5">
            <w:pPr>
              <w:pStyle w:val="MDPI52figure"/>
              <w:spacing w:line="360" w:lineRule="auto"/>
              <w:jc w:val="left"/>
              <w:rPr>
                <w:rFonts w:asciiTheme="minorHAnsi" w:hAnsiTheme="minorHAnsi" w:cstheme="minorHAnsi"/>
                <w:lang w:val="en-GB"/>
              </w:rPr>
            </w:pPr>
          </w:p>
        </w:tc>
        <w:tc>
          <w:tcPr>
            <w:tcW w:w="3118" w:type="dxa"/>
          </w:tcPr>
          <w:p w14:paraId="4AF91BE1" w14:textId="77777777" w:rsidR="008A7196" w:rsidRPr="00862EFB" w:rsidRDefault="008A7196" w:rsidP="00C169F5">
            <w:pPr>
              <w:pStyle w:val="MDPI52figure"/>
              <w:spacing w:line="360" w:lineRule="auto"/>
              <w:jc w:val="left"/>
              <w:rPr>
                <w:rFonts w:asciiTheme="minorHAnsi" w:hAnsiTheme="minorHAnsi" w:cstheme="minorHAnsi"/>
              </w:rPr>
            </w:pPr>
          </w:p>
        </w:tc>
        <w:tc>
          <w:tcPr>
            <w:tcW w:w="3969" w:type="dxa"/>
          </w:tcPr>
          <w:p w14:paraId="51AF54E3" w14:textId="77777777" w:rsidR="008A7196" w:rsidRPr="00862EFB" w:rsidRDefault="008A7196" w:rsidP="00C169F5">
            <w:pPr>
              <w:pStyle w:val="MDPI52figure"/>
              <w:spacing w:line="360" w:lineRule="auto"/>
              <w:jc w:val="left"/>
              <w:rPr>
                <w:rFonts w:asciiTheme="minorHAnsi" w:hAnsiTheme="minorHAnsi" w:cstheme="minorHAnsi"/>
                <w:lang w:val="en-GB"/>
              </w:rPr>
            </w:pPr>
            <w:r w:rsidRPr="00862EFB">
              <w:rPr>
                <w:rFonts w:asciiTheme="minorHAnsi" w:hAnsiTheme="minorHAnsi" w:cstheme="minorHAnsi"/>
              </w:rPr>
              <w:t>Do feel stronger and more muscle tone.</w:t>
            </w:r>
          </w:p>
        </w:tc>
      </w:tr>
    </w:tbl>
    <w:p w14:paraId="7988DEDB" w14:textId="77777777" w:rsidR="008A7196" w:rsidRPr="00862EFB" w:rsidRDefault="008A7196" w:rsidP="008A7196">
      <w:pPr>
        <w:rPr>
          <w:rFonts w:cstheme="minorHAnsi"/>
        </w:rPr>
        <w:sectPr w:rsidR="008A7196" w:rsidRPr="00862EFB" w:rsidSect="00724452">
          <w:pgSz w:w="16840" w:h="11900" w:orient="landscape"/>
          <w:pgMar w:top="1440" w:right="1440" w:bottom="1440" w:left="1440" w:header="708" w:footer="708" w:gutter="0"/>
          <w:cols w:space="708"/>
          <w:docGrid w:linePitch="360"/>
        </w:sectPr>
      </w:pPr>
    </w:p>
    <w:p w14:paraId="12DA75F7" w14:textId="77777777" w:rsidR="008A7196" w:rsidRPr="00862EFB" w:rsidRDefault="008A7196" w:rsidP="008A7196">
      <w:pPr>
        <w:rPr>
          <w:rFonts w:cstheme="minorHAnsi"/>
        </w:rPr>
      </w:pPr>
      <w:r w:rsidRPr="00862EFB">
        <w:rPr>
          <w:rFonts w:cstheme="minorHAnsi"/>
        </w:rPr>
        <w:lastRenderedPageBreak/>
        <w:t>Appendix 26 – A summary of the comments provided by participants in response to the two-month follow up email.</w:t>
      </w:r>
    </w:p>
    <w:tbl>
      <w:tblPr>
        <w:tblStyle w:val="TableGrid"/>
        <w:tblW w:w="0" w:type="auto"/>
        <w:tblLook w:val="04A0" w:firstRow="1" w:lastRow="0" w:firstColumn="1" w:lastColumn="0" w:noHBand="0" w:noVBand="1"/>
      </w:tblPr>
      <w:tblGrid>
        <w:gridCol w:w="1279"/>
        <w:gridCol w:w="7731"/>
      </w:tblGrid>
      <w:tr w:rsidR="008A7196" w:rsidRPr="00862EFB" w14:paraId="5AD9CF6F" w14:textId="77777777" w:rsidTr="00C169F5">
        <w:tc>
          <w:tcPr>
            <w:tcW w:w="1279" w:type="dxa"/>
          </w:tcPr>
          <w:p w14:paraId="61EC48B0" w14:textId="77777777" w:rsidR="008A7196" w:rsidRPr="00862EFB" w:rsidRDefault="008A7196" w:rsidP="00C169F5">
            <w:pPr>
              <w:spacing w:line="360" w:lineRule="auto"/>
              <w:rPr>
                <w:rFonts w:cstheme="minorHAnsi"/>
                <w:sz w:val="20"/>
                <w:szCs w:val="20"/>
              </w:rPr>
            </w:pPr>
            <w:r w:rsidRPr="00862EFB">
              <w:rPr>
                <w:rFonts w:cstheme="minorHAnsi"/>
                <w:sz w:val="20"/>
                <w:szCs w:val="20"/>
              </w:rPr>
              <w:t>Participant</w:t>
            </w:r>
          </w:p>
        </w:tc>
        <w:tc>
          <w:tcPr>
            <w:tcW w:w="7731" w:type="dxa"/>
          </w:tcPr>
          <w:p w14:paraId="40AD7E79" w14:textId="77777777" w:rsidR="008A7196" w:rsidRPr="00862EFB" w:rsidRDefault="008A7196" w:rsidP="00C169F5">
            <w:pPr>
              <w:spacing w:line="360" w:lineRule="auto"/>
              <w:rPr>
                <w:rFonts w:cstheme="minorHAnsi"/>
                <w:sz w:val="20"/>
                <w:szCs w:val="20"/>
              </w:rPr>
            </w:pPr>
            <w:r w:rsidRPr="00862EFB">
              <w:rPr>
                <w:rFonts w:cstheme="minorHAnsi"/>
                <w:sz w:val="20"/>
                <w:szCs w:val="20"/>
              </w:rPr>
              <w:t>Comment summary</w:t>
            </w:r>
          </w:p>
        </w:tc>
      </w:tr>
      <w:tr w:rsidR="008A7196" w:rsidRPr="00862EFB" w14:paraId="7660CE83" w14:textId="77777777" w:rsidTr="00C169F5">
        <w:tc>
          <w:tcPr>
            <w:tcW w:w="1279" w:type="dxa"/>
          </w:tcPr>
          <w:p w14:paraId="70F7A93E" w14:textId="77777777" w:rsidR="008A7196" w:rsidRPr="00862EFB" w:rsidRDefault="008A7196" w:rsidP="00C169F5">
            <w:pPr>
              <w:spacing w:line="360" w:lineRule="auto"/>
              <w:rPr>
                <w:rFonts w:cstheme="minorHAnsi"/>
                <w:sz w:val="20"/>
                <w:szCs w:val="20"/>
              </w:rPr>
            </w:pPr>
            <w:r w:rsidRPr="00862EFB">
              <w:rPr>
                <w:rFonts w:cstheme="minorHAnsi"/>
                <w:sz w:val="20"/>
                <w:szCs w:val="20"/>
              </w:rPr>
              <w:t>EN101</w:t>
            </w:r>
          </w:p>
        </w:tc>
        <w:tc>
          <w:tcPr>
            <w:tcW w:w="7731" w:type="dxa"/>
          </w:tcPr>
          <w:p w14:paraId="68249A25" w14:textId="77777777" w:rsidR="008A7196" w:rsidRPr="00862EFB" w:rsidRDefault="008A7196">
            <w:pPr>
              <w:pStyle w:val="ListParagraph"/>
              <w:numPr>
                <w:ilvl w:val="0"/>
                <w:numId w:val="63"/>
              </w:numPr>
              <w:spacing w:line="360" w:lineRule="auto"/>
              <w:rPr>
                <w:rFonts w:cstheme="minorHAnsi"/>
                <w:sz w:val="20"/>
                <w:szCs w:val="20"/>
              </w:rPr>
            </w:pPr>
            <w:r w:rsidRPr="00862EFB">
              <w:rPr>
                <w:rFonts w:cstheme="minorHAnsi"/>
                <w:sz w:val="20"/>
                <w:szCs w:val="20"/>
              </w:rPr>
              <w:t>Does not use bands, but does more exercise</w:t>
            </w:r>
          </w:p>
          <w:p w14:paraId="5F3A6990" w14:textId="77777777" w:rsidR="008A7196" w:rsidRPr="00862EFB" w:rsidRDefault="008A7196">
            <w:pPr>
              <w:pStyle w:val="ListParagraph"/>
              <w:numPr>
                <w:ilvl w:val="0"/>
                <w:numId w:val="63"/>
              </w:numPr>
              <w:spacing w:line="360" w:lineRule="auto"/>
              <w:rPr>
                <w:rFonts w:cstheme="minorHAnsi"/>
                <w:sz w:val="20"/>
                <w:szCs w:val="20"/>
              </w:rPr>
            </w:pPr>
            <w:r w:rsidRPr="00862EFB">
              <w:rPr>
                <w:rFonts w:cstheme="minorHAnsi"/>
                <w:sz w:val="20"/>
                <w:szCs w:val="20"/>
              </w:rPr>
              <w:t>Thinks the trial made her more aware and influenced her decision to  engage in exercise.</w:t>
            </w:r>
          </w:p>
          <w:p w14:paraId="5EF09745" w14:textId="77777777" w:rsidR="008A7196" w:rsidRPr="00862EFB" w:rsidRDefault="008A7196">
            <w:pPr>
              <w:pStyle w:val="ListParagraph"/>
              <w:numPr>
                <w:ilvl w:val="0"/>
                <w:numId w:val="63"/>
              </w:numPr>
              <w:spacing w:line="360" w:lineRule="auto"/>
              <w:rPr>
                <w:rFonts w:cstheme="minorHAnsi"/>
                <w:sz w:val="20"/>
                <w:szCs w:val="20"/>
              </w:rPr>
            </w:pPr>
            <w:r w:rsidRPr="00862EFB">
              <w:rPr>
                <w:rFonts w:cstheme="minorHAnsi"/>
                <w:sz w:val="20"/>
                <w:szCs w:val="20"/>
              </w:rPr>
              <w:t>Exercise now includes sun salutations, more walking, training with children</w:t>
            </w:r>
          </w:p>
          <w:p w14:paraId="4EE829BA" w14:textId="77777777" w:rsidR="008A7196" w:rsidRPr="00862EFB" w:rsidRDefault="008A7196">
            <w:pPr>
              <w:pStyle w:val="ListParagraph"/>
              <w:numPr>
                <w:ilvl w:val="0"/>
                <w:numId w:val="63"/>
              </w:numPr>
              <w:spacing w:line="360" w:lineRule="auto"/>
              <w:rPr>
                <w:rFonts w:cstheme="minorHAnsi"/>
                <w:sz w:val="20"/>
                <w:szCs w:val="20"/>
              </w:rPr>
            </w:pPr>
            <w:r w:rsidRPr="00862EFB">
              <w:rPr>
                <w:rFonts w:cstheme="minorHAnsi"/>
                <w:sz w:val="20"/>
                <w:szCs w:val="20"/>
              </w:rPr>
              <w:t>Son enjoys using the bands</w:t>
            </w:r>
          </w:p>
          <w:p w14:paraId="3B95A17B" w14:textId="77777777" w:rsidR="008A7196" w:rsidRPr="00862EFB" w:rsidRDefault="008A7196" w:rsidP="00C169F5">
            <w:pPr>
              <w:spacing w:line="360" w:lineRule="auto"/>
              <w:rPr>
                <w:rFonts w:cstheme="minorHAnsi"/>
                <w:sz w:val="20"/>
                <w:szCs w:val="20"/>
              </w:rPr>
            </w:pPr>
            <w:r w:rsidRPr="00862EFB">
              <w:rPr>
                <w:rFonts w:cstheme="minorHAnsi"/>
                <w:sz w:val="20"/>
                <w:szCs w:val="20"/>
              </w:rPr>
              <w:t>No other feedback/expansion on what was said during follow up interview.</w:t>
            </w:r>
          </w:p>
        </w:tc>
      </w:tr>
      <w:tr w:rsidR="008A7196" w:rsidRPr="00862EFB" w14:paraId="6C9B275A" w14:textId="77777777" w:rsidTr="00C169F5">
        <w:tc>
          <w:tcPr>
            <w:tcW w:w="1279" w:type="dxa"/>
          </w:tcPr>
          <w:p w14:paraId="7ADF67D4" w14:textId="77777777" w:rsidR="008A7196" w:rsidRPr="00862EFB" w:rsidRDefault="008A7196" w:rsidP="00C169F5">
            <w:pPr>
              <w:spacing w:line="360" w:lineRule="auto"/>
              <w:rPr>
                <w:rFonts w:cstheme="minorHAnsi"/>
                <w:sz w:val="20"/>
                <w:szCs w:val="20"/>
              </w:rPr>
            </w:pPr>
            <w:r w:rsidRPr="00862EFB">
              <w:rPr>
                <w:rFonts w:cstheme="minorHAnsi"/>
                <w:sz w:val="20"/>
                <w:szCs w:val="20"/>
              </w:rPr>
              <w:t>EN104</w:t>
            </w:r>
          </w:p>
        </w:tc>
        <w:tc>
          <w:tcPr>
            <w:tcW w:w="7731" w:type="dxa"/>
          </w:tcPr>
          <w:p w14:paraId="679F341D"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Commitment to sessions wore off as other life events got in the way i.e. holidays etc</w:t>
            </w:r>
          </w:p>
          <w:p w14:paraId="619F1F5D"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Continued with balance challenges by incorporating them into daily life</w:t>
            </w:r>
          </w:p>
          <w:p w14:paraId="30832307"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 xml:space="preserve">Found the study motivated her to tackle gardening she’s been putting off due to not feeling fit enough. </w:t>
            </w:r>
          </w:p>
          <w:p w14:paraId="31E3A121"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Has put bands away but plans on retrieving them</w:t>
            </w:r>
          </w:p>
          <w:p w14:paraId="04A943D0" w14:textId="77777777" w:rsidR="008A7196" w:rsidRPr="00862EFB" w:rsidRDefault="008A7196">
            <w:pPr>
              <w:pStyle w:val="ListParagraph"/>
              <w:numPr>
                <w:ilvl w:val="0"/>
                <w:numId w:val="63"/>
              </w:numPr>
              <w:spacing w:line="360" w:lineRule="auto"/>
              <w:rPr>
                <w:rFonts w:cstheme="minorHAnsi"/>
                <w:sz w:val="20"/>
                <w:szCs w:val="20"/>
              </w:rPr>
            </w:pPr>
            <w:r w:rsidRPr="00862EFB">
              <w:rPr>
                <w:rFonts w:cstheme="minorHAnsi"/>
                <w:sz w:val="20"/>
                <w:szCs w:val="20"/>
              </w:rPr>
              <w:t>Generally staying more active.</w:t>
            </w:r>
          </w:p>
        </w:tc>
      </w:tr>
      <w:tr w:rsidR="008A7196" w:rsidRPr="00862EFB" w14:paraId="7FC3C0A5" w14:textId="77777777" w:rsidTr="00C169F5">
        <w:tc>
          <w:tcPr>
            <w:tcW w:w="1279" w:type="dxa"/>
          </w:tcPr>
          <w:p w14:paraId="174188A8" w14:textId="77777777" w:rsidR="008A7196" w:rsidRPr="00862EFB" w:rsidRDefault="008A7196" w:rsidP="00C169F5">
            <w:pPr>
              <w:spacing w:line="360" w:lineRule="auto"/>
              <w:rPr>
                <w:rFonts w:cstheme="minorHAnsi"/>
                <w:sz w:val="20"/>
                <w:szCs w:val="20"/>
              </w:rPr>
            </w:pPr>
            <w:r w:rsidRPr="00862EFB">
              <w:rPr>
                <w:rFonts w:cstheme="minorHAnsi"/>
                <w:sz w:val="20"/>
                <w:szCs w:val="20"/>
              </w:rPr>
              <w:t>EN106</w:t>
            </w:r>
          </w:p>
        </w:tc>
        <w:tc>
          <w:tcPr>
            <w:tcW w:w="7731" w:type="dxa"/>
          </w:tcPr>
          <w:p w14:paraId="48244A4E"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Kept up exercise</w:t>
            </w:r>
          </w:p>
          <w:p w14:paraId="334371CC"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Used video – redid all sessions but added reps and used highest resistance.</w:t>
            </w:r>
          </w:p>
          <w:p w14:paraId="3D716252"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Two sessions a week</w:t>
            </w:r>
          </w:p>
          <w:p w14:paraId="41D5BB01"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Plans to start from the beginning again</w:t>
            </w:r>
          </w:p>
          <w:p w14:paraId="3F73FFB0"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Trying to keep up activity</w:t>
            </w:r>
          </w:p>
          <w:p w14:paraId="6024D31C" w14:textId="77777777" w:rsidR="008A7196" w:rsidRPr="00862EFB" w:rsidRDefault="008A7196">
            <w:pPr>
              <w:pStyle w:val="ListParagraph"/>
              <w:numPr>
                <w:ilvl w:val="0"/>
                <w:numId w:val="65"/>
              </w:numPr>
              <w:spacing w:line="360" w:lineRule="auto"/>
              <w:rPr>
                <w:rFonts w:cstheme="minorHAnsi"/>
                <w:sz w:val="20"/>
                <w:szCs w:val="20"/>
              </w:rPr>
            </w:pPr>
            <w:r w:rsidRPr="00862EFB">
              <w:rPr>
                <w:rFonts w:cstheme="minorHAnsi"/>
                <w:sz w:val="20"/>
                <w:szCs w:val="20"/>
              </w:rPr>
              <w:t>Feels they are eating better, has cut down on sugar.</w:t>
            </w:r>
          </w:p>
        </w:tc>
      </w:tr>
      <w:tr w:rsidR="008A7196" w:rsidRPr="00862EFB" w14:paraId="44BC73C1" w14:textId="77777777" w:rsidTr="00C169F5">
        <w:tc>
          <w:tcPr>
            <w:tcW w:w="1279" w:type="dxa"/>
          </w:tcPr>
          <w:p w14:paraId="13C2743A" w14:textId="77777777" w:rsidR="008A7196" w:rsidRPr="00862EFB" w:rsidRDefault="008A7196" w:rsidP="00C169F5">
            <w:pPr>
              <w:spacing w:line="360" w:lineRule="auto"/>
              <w:rPr>
                <w:rFonts w:cstheme="minorHAnsi"/>
                <w:sz w:val="20"/>
                <w:szCs w:val="20"/>
              </w:rPr>
            </w:pPr>
            <w:r w:rsidRPr="00862EFB">
              <w:rPr>
                <w:rFonts w:cstheme="minorHAnsi"/>
                <w:sz w:val="20"/>
                <w:szCs w:val="20"/>
              </w:rPr>
              <w:t>EN107</w:t>
            </w:r>
          </w:p>
        </w:tc>
        <w:tc>
          <w:tcPr>
            <w:tcW w:w="7731" w:type="dxa"/>
          </w:tcPr>
          <w:p w14:paraId="25F19955" w14:textId="77777777" w:rsidR="008A7196" w:rsidRPr="00862EFB" w:rsidRDefault="008A7196">
            <w:pPr>
              <w:pStyle w:val="ListParagraph"/>
              <w:numPr>
                <w:ilvl w:val="0"/>
                <w:numId w:val="66"/>
              </w:numPr>
              <w:spacing w:line="360" w:lineRule="auto"/>
              <w:rPr>
                <w:rFonts w:cstheme="minorHAnsi"/>
                <w:sz w:val="20"/>
                <w:szCs w:val="20"/>
              </w:rPr>
            </w:pPr>
            <w:r w:rsidRPr="00862EFB">
              <w:rPr>
                <w:rFonts w:cstheme="minorHAnsi"/>
                <w:sz w:val="20"/>
                <w:szCs w:val="20"/>
              </w:rPr>
              <w:t>Used the bands in her fitness classes</w:t>
            </w:r>
          </w:p>
          <w:p w14:paraId="40941790" w14:textId="77777777" w:rsidR="008A7196" w:rsidRPr="00862EFB" w:rsidRDefault="008A7196">
            <w:pPr>
              <w:pStyle w:val="ListParagraph"/>
              <w:numPr>
                <w:ilvl w:val="0"/>
                <w:numId w:val="66"/>
              </w:numPr>
              <w:spacing w:line="360" w:lineRule="auto"/>
              <w:rPr>
                <w:rFonts w:cstheme="minorHAnsi"/>
                <w:sz w:val="20"/>
                <w:szCs w:val="20"/>
              </w:rPr>
            </w:pPr>
            <w:r w:rsidRPr="00862EFB">
              <w:rPr>
                <w:rFonts w:cstheme="minorHAnsi"/>
                <w:sz w:val="20"/>
                <w:szCs w:val="20"/>
              </w:rPr>
              <w:t>Intends to redo the video, but needs to find the time</w:t>
            </w:r>
          </w:p>
          <w:p w14:paraId="0C58C64F" w14:textId="77777777" w:rsidR="008A7196" w:rsidRPr="00862EFB" w:rsidRDefault="008A7196">
            <w:pPr>
              <w:pStyle w:val="ListParagraph"/>
              <w:numPr>
                <w:ilvl w:val="0"/>
                <w:numId w:val="64"/>
              </w:numPr>
              <w:spacing w:line="360" w:lineRule="auto"/>
              <w:rPr>
                <w:rFonts w:cstheme="minorHAnsi"/>
                <w:sz w:val="20"/>
                <w:szCs w:val="20"/>
              </w:rPr>
            </w:pPr>
            <w:r w:rsidRPr="00862EFB">
              <w:rPr>
                <w:rFonts w:cstheme="minorHAnsi"/>
                <w:sz w:val="20"/>
                <w:szCs w:val="20"/>
              </w:rPr>
              <w:t>Find the bands useful for strengthening elbows, chest flys etc (isolated strength)</w:t>
            </w:r>
          </w:p>
        </w:tc>
      </w:tr>
      <w:tr w:rsidR="008A7196" w:rsidRPr="00862EFB" w14:paraId="5F9AE3AA" w14:textId="77777777" w:rsidTr="00C169F5">
        <w:tc>
          <w:tcPr>
            <w:tcW w:w="1279" w:type="dxa"/>
          </w:tcPr>
          <w:p w14:paraId="0CB18FA7" w14:textId="77777777" w:rsidR="008A7196" w:rsidRPr="00862EFB" w:rsidRDefault="008A7196" w:rsidP="00C169F5">
            <w:pPr>
              <w:spacing w:line="360" w:lineRule="auto"/>
              <w:rPr>
                <w:rFonts w:cstheme="minorHAnsi"/>
                <w:sz w:val="20"/>
                <w:szCs w:val="20"/>
              </w:rPr>
            </w:pPr>
            <w:r w:rsidRPr="00862EFB">
              <w:rPr>
                <w:rFonts w:cstheme="minorHAnsi"/>
                <w:sz w:val="20"/>
                <w:szCs w:val="20"/>
              </w:rPr>
              <w:t>EN108</w:t>
            </w:r>
          </w:p>
        </w:tc>
        <w:tc>
          <w:tcPr>
            <w:tcW w:w="7731" w:type="dxa"/>
          </w:tcPr>
          <w:p w14:paraId="12E0B9A9" w14:textId="77777777" w:rsidR="008A7196" w:rsidRPr="00862EFB" w:rsidRDefault="008A7196">
            <w:pPr>
              <w:pStyle w:val="ListParagraph"/>
              <w:numPr>
                <w:ilvl w:val="0"/>
                <w:numId w:val="64"/>
              </w:numPr>
              <w:spacing w:line="360" w:lineRule="auto"/>
              <w:rPr>
                <w:rFonts w:cstheme="minorHAnsi"/>
                <w:sz w:val="20"/>
                <w:szCs w:val="20"/>
              </w:rPr>
            </w:pPr>
            <w:r w:rsidRPr="00862EFB">
              <w:rPr>
                <w:rFonts w:cstheme="minorHAnsi"/>
                <w:sz w:val="20"/>
                <w:szCs w:val="20"/>
              </w:rPr>
              <w:t>Has lots 6kg</w:t>
            </w:r>
          </w:p>
          <w:p w14:paraId="523F4084" w14:textId="77777777" w:rsidR="008A7196" w:rsidRPr="00862EFB" w:rsidRDefault="008A7196">
            <w:pPr>
              <w:pStyle w:val="ListParagraph"/>
              <w:numPr>
                <w:ilvl w:val="0"/>
                <w:numId w:val="66"/>
              </w:numPr>
              <w:spacing w:line="360" w:lineRule="auto"/>
              <w:rPr>
                <w:rFonts w:cstheme="minorHAnsi"/>
                <w:sz w:val="20"/>
                <w:szCs w:val="20"/>
              </w:rPr>
            </w:pPr>
            <w:r w:rsidRPr="00862EFB">
              <w:rPr>
                <w:rFonts w:cstheme="minorHAnsi"/>
                <w:sz w:val="20"/>
                <w:szCs w:val="20"/>
              </w:rPr>
              <w:t>Still uses the bands</w:t>
            </w:r>
          </w:p>
        </w:tc>
      </w:tr>
      <w:tr w:rsidR="008A7196" w:rsidRPr="00862EFB" w14:paraId="32897A79" w14:textId="77777777" w:rsidTr="00C169F5">
        <w:tc>
          <w:tcPr>
            <w:tcW w:w="1279" w:type="dxa"/>
          </w:tcPr>
          <w:p w14:paraId="541CD72F" w14:textId="77777777" w:rsidR="008A7196" w:rsidRPr="00862EFB" w:rsidRDefault="008A7196" w:rsidP="00C169F5">
            <w:pPr>
              <w:spacing w:line="360" w:lineRule="auto"/>
              <w:rPr>
                <w:rFonts w:cstheme="minorHAnsi"/>
                <w:sz w:val="20"/>
                <w:szCs w:val="20"/>
              </w:rPr>
            </w:pPr>
            <w:r w:rsidRPr="00862EFB">
              <w:rPr>
                <w:rFonts w:cstheme="minorHAnsi"/>
                <w:sz w:val="20"/>
                <w:szCs w:val="20"/>
              </w:rPr>
              <w:t>EN109</w:t>
            </w:r>
          </w:p>
        </w:tc>
        <w:tc>
          <w:tcPr>
            <w:tcW w:w="7731" w:type="dxa"/>
          </w:tcPr>
          <w:p w14:paraId="71780B86" w14:textId="77777777" w:rsidR="008A7196" w:rsidRPr="00862EFB" w:rsidRDefault="008A7196">
            <w:pPr>
              <w:pStyle w:val="ListParagraph"/>
              <w:numPr>
                <w:ilvl w:val="0"/>
                <w:numId w:val="64"/>
              </w:numPr>
              <w:spacing w:line="360" w:lineRule="auto"/>
              <w:rPr>
                <w:rFonts w:cstheme="minorHAnsi"/>
                <w:sz w:val="20"/>
                <w:szCs w:val="20"/>
              </w:rPr>
            </w:pPr>
            <w:r w:rsidRPr="00862EFB">
              <w:rPr>
                <w:rFonts w:cstheme="minorHAnsi"/>
                <w:sz w:val="20"/>
                <w:szCs w:val="20"/>
              </w:rPr>
              <w:t>Haven’t continued with resistance bands</w:t>
            </w:r>
          </w:p>
          <w:p w14:paraId="255F11A3" w14:textId="77777777" w:rsidR="008A7196" w:rsidRPr="00862EFB" w:rsidRDefault="008A7196">
            <w:pPr>
              <w:pStyle w:val="ListParagraph"/>
              <w:numPr>
                <w:ilvl w:val="0"/>
                <w:numId w:val="64"/>
              </w:numPr>
              <w:spacing w:line="360" w:lineRule="auto"/>
              <w:rPr>
                <w:rFonts w:cstheme="minorHAnsi"/>
                <w:sz w:val="20"/>
                <w:szCs w:val="20"/>
              </w:rPr>
            </w:pPr>
            <w:r w:rsidRPr="00862EFB">
              <w:rPr>
                <w:rFonts w:cstheme="minorHAnsi"/>
                <w:sz w:val="20"/>
                <w:szCs w:val="20"/>
              </w:rPr>
              <w:t>Thinks flexibility has improved since trial and is apparent in yoga practice.</w:t>
            </w:r>
          </w:p>
          <w:p w14:paraId="4B345ABA" w14:textId="77777777" w:rsidR="008A7196" w:rsidRPr="00862EFB" w:rsidRDefault="008A7196">
            <w:pPr>
              <w:pStyle w:val="ListParagraph"/>
              <w:numPr>
                <w:ilvl w:val="0"/>
                <w:numId w:val="64"/>
              </w:numPr>
              <w:spacing w:line="360" w:lineRule="auto"/>
              <w:rPr>
                <w:rFonts w:cstheme="minorHAnsi"/>
                <w:sz w:val="20"/>
                <w:szCs w:val="20"/>
              </w:rPr>
            </w:pPr>
            <w:r w:rsidRPr="00862EFB">
              <w:rPr>
                <w:rFonts w:cstheme="minorHAnsi"/>
                <w:sz w:val="20"/>
                <w:szCs w:val="20"/>
              </w:rPr>
              <w:t>Felt the trial gave her more of an urge to engage in physical activity.</w:t>
            </w:r>
          </w:p>
        </w:tc>
      </w:tr>
    </w:tbl>
    <w:p w14:paraId="5F2C32D2" w14:textId="77777777" w:rsidR="008A7196" w:rsidRPr="00862EFB" w:rsidRDefault="008A7196" w:rsidP="008A7196">
      <w:pPr>
        <w:rPr>
          <w:rFonts w:cstheme="minorHAnsi"/>
          <w:sz w:val="20"/>
          <w:szCs w:val="20"/>
        </w:rPr>
      </w:pPr>
    </w:p>
    <w:p w14:paraId="3DA68B57" w14:textId="77777777" w:rsidR="008A7196" w:rsidRPr="00862EFB" w:rsidRDefault="008A7196" w:rsidP="008A7196">
      <w:pPr>
        <w:rPr>
          <w:rFonts w:cstheme="minorHAnsi"/>
          <w:sz w:val="20"/>
          <w:szCs w:val="20"/>
        </w:rPr>
      </w:pPr>
    </w:p>
    <w:p w14:paraId="393C5568" w14:textId="77777777" w:rsidR="008A7196" w:rsidRPr="00862EFB" w:rsidRDefault="008A7196" w:rsidP="008A7196">
      <w:pPr>
        <w:rPr>
          <w:rFonts w:cstheme="minorHAnsi"/>
          <w:sz w:val="20"/>
          <w:szCs w:val="20"/>
        </w:rPr>
        <w:sectPr w:rsidR="008A7196" w:rsidRPr="00862EFB" w:rsidSect="00E06A7F">
          <w:pgSz w:w="11900" w:h="16840"/>
          <w:pgMar w:top="1440" w:right="1440" w:bottom="1440" w:left="1440" w:header="708" w:footer="708" w:gutter="0"/>
          <w:cols w:space="708"/>
          <w:docGrid w:linePitch="360"/>
        </w:sectPr>
      </w:pPr>
    </w:p>
    <w:p w14:paraId="5AA55796" w14:textId="77777777" w:rsidR="008A7196" w:rsidRPr="00862EFB" w:rsidRDefault="008A7196" w:rsidP="008A7196">
      <w:pPr>
        <w:spacing w:line="360" w:lineRule="auto"/>
        <w:rPr>
          <w:rFonts w:cstheme="minorHAnsi"/>
        </w:rPr>
      </w:pPr>
      <w:r w:rsidRPr="00862EFB">
        <w:rPr>
          <w:rFonts w:cstheme="minorHAnsi"/>
          <w:sz w:val="20"/>
          <w:szCs w:val="20"/>
        </w:rPr>
        <w:lastRenderedPageBreak/>
        <w:t>Appendix 27 -   Further breakdown of dietary data,  including the inclusion of the dietary supplement</w:t>
      </w:r>
    </w:p>
    <w:tbl>
      <w:tblPr>
        <w:tblStyle w:val="TableGrid"/>
        <w:tblpPr w:leftFromText="180" w:rightFromText="180" w:vertAnchor="text" w:horzAnchor="margin" w:tblpX="-714" w:tblpY="291"/>
        <w:tblW w:w="15397" w:type="dxa"/>
        <w:tblLook w:val="04A0" w:firstRow="1" w:lastRow="0" w:firstColumn="1" w:lastColumn="0" w:noHBand="0" w:noVBand="1"/>
      </w:tblPr>
      <w:tblGrid>
        <w:gridCol w:w="2096"/>
        <w:gridCol w:w="1301"/>
        <w:gridCol w:w="1276"/>
        <w:gridCol w:w="992"/>
        <w:gridCol w:w="1134"/>
        <w:gridCol w:w="1276"/>
        <w:gridCol w:w="1134"/>
        <w:gridCol w:w="1134"/>
        <w:gridCol w:w="992"/>
        <w:gridCol w:w="1276"/>
        <w:gridCol w:w="992"/>
        <w:gridCol w:w="893"/>
        <w:gridCol w:w="901"/>
      </w:tblGrid>
      <w:tr w:rsidR="008A7196" w:rsidRPr="00862EFB" w14:paraId="27D4AA81" w14:textId="77777777" w:rsidTr="00C169F5">
        <w:trPr>
          <w:trHeight w:val="303"/>
        </w:trPr>
        <w:tc>
          <w:tcPr>
            <w:tcW w:w="2096" w:type="dxa"/>
          </w:tcPr>
          <w:p w14:paraId="141E0969" w14:textId="77777777" w:rsidR="008A7196" w:rsidRPr="00862EFB" w:rsidRDefault="008A7196" w:rsidP="00C169F5">
            <w:pPr>
              <w:spacing w:line="360" w:lineRule="auto"/>
              <w:rPr>
                <w:rFonts w:cstheme="minorHAnsi"/>
                <w:sz w:val="20"/>
                <w:szCs w:val="20"/>
              </w:rPr>
            </w:pPr>
            <w:r w:rsidRPr="00862EFB">
              <w:rPr>
                <w:rFonts w:cstheme="minorHAnsi"/>
                <w:sz w:val="20"/>
                <w:szCs w:val="20"/>
              </w:rPr>
              <w:t>Study week</w:t>
            </w:r>
          </w:p>
        </w:tc>
        <w:tc>
          <w:tcPr>
            <w:tcW w:w="4703" w:type="dxa"/>
            <w:gridSpan w:val="4"/>
          </w:tcPr>
          <w:p w14:paraId="5F5BB48B" w14:textId="77777777" w:rsidR="008A7196" w:rsidRPr="00862EFB" w:rsidRDefault="008A7196" w:rsidP="00C169F5">
            <w:pPr>
              <w:spacing w:line="360" w:lineRule="auto"/>
              <w:rPr>
                <w:rFonts w:cstheme="minorHAnsi"/>
                <w:sz w:val="20"/>
                <w:szCs w:val="20"/>
              </w:rPr>
            </w:pPr>
            <w:r w:rsidRPr="00862EFB">
              <w:rPr>
                <w:rFonts w:cstheme="minorHAnsi"/>
                <w:sz w:val="20"/>
                <w:szCs w:val="20"/>
              </w:rPr>
              <w:t>Week 0</w:t>
            </w:r>
          </w:p>
        </w:tc>
        <w:tc>
          <w:tcPr>
            <w:tcW w:w="4536" w:type="dxa"/>
            <w:gridSpan w:val="4"/>
          </w:tcPr>
          <w:p w14:paraId="5C2A2990" w14:textId="77777777" w:rsidR="008A7196" w:rsidRPr="00862EFB" w:rsidRDefault="008A7196" w:rsidP="00C169F5">
            <w:pPr>
              <w:spacing w:line="360" w:lineRule="auto"/>
              <w:rPr>
                <w:rFonts w:cstheme="minorHAnsi"/>
                <w:sz w:val="20"/>
                <w:szCs w:val="20"/>
              </w:rPr>
            </w:pPr>
            <w:r w:rsidRPr="00862EFB">
              <w:rPr>
                <w:rFonts w:cstheme="minorHAnsi"/>
                <w:sz w:val="20"/>
                <w:szCs w:val="20"/>
              </w:rPr>
              <w:t>Week 3</w:t>
            </w:r>
          </w:p>
        </w:tc>
        <w:tc>
          <w:tcPr>
            <w:tcW w:w="4062" w:type="dxa"/>
            <w:gridSpan w:val="4"/>
          </w:tcPr>
          <w:p w14:paraId="588956D2" w14:textId="77777777" w:rsidR="008A7196" w:rsidRPr="00862EFB" w:rsidRDefault="008A7196" w:rsidP="00C169F5">
            <w:pPr>
              <w:spacing w:line="360" w:lineRule="auto"/>
              <w:rPr>
                <w:rFonts w:cstheme="minorHAnsi"/>
                <w:sz w:val="20"/>
                <w:szCs w:val="20"/>
              </w:rPr>
            </w:pPr>
            <w:r w:rsidRPr="00862EFB">
              <w:rPr>
                <w:rFonts w:cstheme="minorHAnsi"/>
                <w:sz w:val="20"/>
                <w:szCs w:val="20"/>
              </w:rPr>
              <w:t>Week 6</w:t>
            </w:r>
          </w:p>
        </w:tc>
      </w:tr>
      <w:tr w:rsidR="008A7196" w:rsidRPr="00862EFB" w14:paraId="53D992DC" w14:textId="77777777" w:rsidTr="00C169F5">
        <w:trPr>
          <w:trHeight w:val="932"/>
        </w:trPr>
        <w:tc>
          <w:tcPr>
            <w:tcW w:w="2096" w:type="dxa"/>
          </w:tcPr>
          <w:p w14:paraId="249DE624" w14:textId="77777777" w:rsidR="008A7196" w:rsidRPr="00862EFB" w:rsidRDefault="008A7196" w:rsidP="00C169F5">
            <w:pPr>
              <w:spacing w:line="360" w:lineRule="auto"/>
              <w:rPr>
                <w:rFonts w:cstheme="minorHAnsi"/>
                <w:sz w:val="20"/>
                <w:szCs w:val="20"/>
              </w:rPr>
            </w:pPr>
            <w:r w:rsidRPr="00862EFB">
              <w:rPr>
                <w:rFonts w:cstheme="minorHAnsi"/>
                <w:sz w:val="20"/>
                <w:szCs w:val="20"/>
              </w:rPr>
              <w:t>Intervention arm</w:t>
            </w:r>
          </w:p>
        </w:tc>
        <w:tc>
          <w:tcPr>
            <w:tcW w:w="1301" w:type="dxa"/>
          </w:tcPr>
          <w:p w14:paraId="5892AD4C" w14:textId="77777777" w:rsidR="008A7196" w:rsidRPr="00862EFB" w:rsidRDefault="008A7196" w:rsidP="00C169F5">
            <w:pPr>
              <w:spacing w:line="360" w:lineRule="auto"/>
              <w:rPr>
                <w:rFonts w:cstheme="minorHAnsi"/>
                <w:sz w:val="20"/>
                <w:szCs w:val="20"/>
              </w:rPr>
            </w:pPr>
            <w:r w:rsidRPr="00862EFB">
              <w:rPr>
                <w:rFonts w:cstheme="minorHAnsi"/>
                <w:sz w:val="20"/>
                <w:szCs w:val="20"/>
              </w:rPr>
              <w:t>All (n=8)</w:t>
            </w:r>
          </w:p>
        </w:tc>
        <w:tc>
          <w:tcPr>
            <w:tcW w:w="1276" w:type="dxa"/>
          </w:tcPr>
          <w:p w14:paraId="0E0F1B9F" w14:textId="77777777" w:rsidR="008A7196" w:rsidRPr="00862EFB" w:rsidRDefault="008A7196" w:rsidP="00C169F5">
            <w:pPr>
              <w:spacing w:line="360" w:lineRule="auto"/>
              <w:rPr>
                <w:rFonts w:cstheme="minorHAnsi"/>
                <w:sz w:val="20"/>
                <w:szCs w:val="20"/>
              </w:rPr>
            </w:pPr>
            <w:r w:rsidRPr="00862EFB">
              <w:rPr>
                <w:rFonts w:cstheme="minorHAnsi"/>
                <w:sz w:val="20"/>
                <w:szCs w:val="20"/>
              </w:rPr>
              <w:t>30g Pro</w:t>
            </w:r>
          </w:p>
          <w:p w14:paraId="74A36286" w14:textId="77777777" w:rsidR="008A7196" w:rsidRPr="00862EFB" w:rsidRDefault="008A7196" w:rsidP="00C169F5">
            <w:pPr>
              <w:spacing w:line="360" w:lineRule="auto"/>
              <w:rPr>
                <w:rFonts w:cstheme="minorHAnsi"/>
                <w:sz w:val="20"/>
                <w:szCs w:val="20"/>
              </w:rPr>
            </w:pPr>
            <w:r w:rsidRPr="00862EFB">
              <w:rPr>
                <w:rFonts w:cstheme="minorHAnsi"/>
                <w:sz w:val="20"/>
                <w:szCs w:val="20"/>
              </w:rPr>
              <w:t>(n=4)</w:t>
            </w:r>
          </w:p>
        </w:tc>
        <w:tc>
          <w:tcPr>
            <w:tcW w:w="992" w:type="dxa"/>
          </w:tcPr>
          <w:p w14:paraId="3B079EA0" w14:textId="77777777" w:rsidR="008A7196" w:rsidRPr="00862EFB" w:rsidRDefault="008A7196" w:rsidP="00C169F5">
            <w:pPr>
              <w:spacing w:line="360" w:lineRule="auto"/>
              <w:rPr>
                <w:rFonts w:cstheme="minorHAnsi"/>
                <w:sz w:val="20"/>
                <w:szCs w:val="20"/>
              </w:rPr>
            </w:pPr>
            <w:r w:rsidRPr="00862EFB">
              <w:rPr>
                <w:rFonts w:cstheme="minorHAnsi"/>
                <w:sz w:val="20"/>
                <w:szCs w:val="20"/>
              </w:rPr>
              <w:t>15g Pro (n=2)</w:t>
            </w:r>
          </w:p>
        </w:tc>
        <w:tc>
          <w:tcPr>
            <w:tcW w:w="1134" w:type="dxa"/>
          </w:tcPr>
          <w:p w14:paraId="2E5D21FD" w14:textId="77777777" w:rsidR="008A7196" w:rsidRPr="00862EFB" w:rsidRDefault="008A7196" w:rsidP="00C169F5">
            <w:pPr>
              <w:spacing w:line="360" w:lineRule="auto"/>
              <w:rPr>
                <w:rFonts w:cstheme="minorHAnsi"/>
                <w:sz w:val="20"/>
                <w:szCs w:val="20"/>
              </w:rPr>
            </w:pPr>
            <w:r w:rsidRPr="00862EFB">
              <w:rPr>
                <w:rFonts w:cstheme="minorHAnsi"/>
                <w:sz w:val="20"/>
                <w:szCs w:val="20"/>
              </w:rPr>
              <w:t>0g Pro</w:t>
            </w:r>
          </w:p>
          <w:p w14:paraId="45EDB3C9" w14:textId="77777777" w:rsidR="008A7196" w:rsidRPr="00862EFB" w:rsidRDefault="008A7196" w:rsidP="00C169F5">
            <w:pPr>
              <w:spacing w:line="360" w:lineRule="auto"/>
              <w:rPr>
                <w:rFonts w:cstheme="minorHAnsi"/>
                <w:sz w:val="20"/>
                <w:szCs w:val="20"/>
              </w:rPr>
            </w:pPr>
            <w:r w:rsidRPr="00862EFB">
              <w:rPr>
                <w:rFonts w:cstheme="minorHAnsi"/>
                <w:sz w:val="20"/>
                <w:szCs w:val="20"/>
              </w:rPr>
              <w:t>(n=2)</w:t>
            </w:r>
          </w:p>
        </w:tc>
        <w:tc>
          <w:tcPr>
            <w:tcW w:w="1276" w:type="dxa"/>
          </w:tcPr>
          <w:p w14:paraId="4B170DCB" w14:textId="77777777" w:rsidR="008A7196" w:rsidRPr="00862EFB" w:rsidRDefault="008A7196" w:rsidP="00C169F5">
            <w:pPr>
              <w:spacing w:line="360" w:lineRule="auto"/>
              <w:rPr>
                <w:rFonts w:cstheme="minorHAnsi"/>
                <w:sz w:val="20"/>
                <w:szCs w:val="20"/>
              </w:rPr>
            </w:pPr>
            <w:r w:rsidRPr="00862EFB">
              <w:rPr>
                <w:rFonts w:cstheme="minorHAnsi"/>
                <w:sz w:val="20"/>
                <w:szCs w:val="20"/>
              </w:rPr>
              <w:t>All (n=8)</w:t>
            </w:r>
          </w:p>
        </w:tc>
        <w:tc>
          <w:tcPr>
            <w:tcW w:w="1134" w:type="dxa"/>
          </w:tcPr>
          <w:p w14:paraId="4E79148A" w14:textId="77777777" w:rsidR="008A7196" w:rsidRPr="00862EFB" w:rsidRDefault="008A7196" w:rsidP="00C169F5">
            <w:pPr>
              <w:spacing w:line="360" w:lineRule="auto"/>
              <w:rPr>
                <w:rFonts w:cstheme="minorHAnsi"/>
                <w:sz w:val="20"/>
                <w:szCs w:val="20"/>
              </w:rPr>
            </w:pPr>
            <w:r w:rsidRPr="00862EFB">
              <w:rPr>
                <w:rFonts w:cstheme="minorHAnsi"/>
                <w:sz w:val="20"/>
                <w:szCs w:val="20"/>
              </w:rPr>
              <w:t>30g Pro</w:t>
            </w:r>
          </w:p>
          <w:p w14:paraId="1615CC46" w14:textId="77777777" w:rsidR="008A7196" w:rsidRPr="00862EFB" w:rsidRDefault="008A7196" w:rsidP="00C169F5">
            <w:pPr>
              <w:spacing w:line="360" w:lineRule="auto"/>
              <w:rPr>
                <w:rFonts w:cstheme="minorHAnsi"/>
                <w:sz w:val="20"/>
                <w:szCs w:val="20"/>
              </w:rPr>
            </w:pPr>
            <w:r w:rsidRPr="00862EFB">
              <w:rPr>
                <w:rFonts w:cstheme="minorHAnsi"/>
                <w:sz w:val="20"/>
                <w:szCs w:val="20"/>
              </w:rPr>
              <w:t>(n=4)</w:t>
            </w:r>
          </w:p>
        </w:tc>
        <w:tc>
          <w:tcPr>
            <w:tcW w:w="1134" w:type="dxa"/>
          </w:tcPr>
          <w:p w14:paraId="5D4A609C" w14:textId="77777777" w:rsidR="008A7196" w:rsidRPr="00862EFB" w:rsidRDefault="008A7196" w:rsidP="00C169F5">
            <w:pPr>
              <w:spacing w:line="360" w:lineRule="auto"/>
              <w:rPr>
                <w:rFonts w:cstheme="minorHAnsi"/>
                <w:sz w:val="20"/>
                <w:szCs w:val="20"/>
              </w:rPr>
            </w:pPr>
            <w:r w:rsidRPr="00862EFB">
              <w:rPr>
                <w:rFonts w:cstheme="minorHAnsi"/>
                <w:sz w:val="20"/>
                <w:szCs w:val="20"/>
              </w:rPr>
              <w:t>15g Pro (n=2)</w:t>
            </w:r>
          </w:p>
        </w:tc>
        <w:tc>
          <w:tcPr>
            <w:tcW w:w="992" w:type="dxa"/>
          </w:tcPr>
          <w:p w14:paraId="09692FF2" w14:textId="77777777" w:rsidR="008A7196" w:rsidRPr="00862EFB" w:rsidRDefault="008A7196" w:rsidP="00C169F5">
            <w:pPr>
              <w:spacing w:line="360" w:lineRule="auto"/>
              <w:rPr>
                <w:rFonts w:cstheme="minorHAnsi"/>
                <w:sz w:val="20"/>
                <w:szCs w:val="20"/>
              </w:rPr>
            </w:pPr>
            <w:r w:rsidRPr="00862EFB">
              <w:rPr>
                <w:rFonts w:cstheme="minorHAnsi"/>
                <w:sz w:val="20"/>
                <w:szCs w:val="20"/>
              </w:rPr>
              <w:t>0g Pro</w:t>
            </w:r>
          </w:p>
          <w:p w14:paraId="23610047" w14:textId="77777777" w:rsidR="008A7196" w:rsidRPr="00862EFB" w:rsidRDefault="008A7196" w:rsidP="00C169F5">
            <w:pPr>
              <w:spacing w:line="360" w:lineRule="auto"/>
              <w:rPr>
                <w:rFonts w:cstheme="minorHAnsi"/>
                <w:sz w:val="20"/>
                <w:szCs w:val="20"/>
              </w:rPr>
            </w:pPr>
            <w:r w:rsidRPr="00862EFB">
              <w:rPr>
                <w:rFonts w:cstheme="minorHAnsi"/>
                <w:sz w:val="20"/>
                <w:szCs w:val="20"/>
              </w:rPr>
              <w:t>(n=2)</w:t>
            </w:r>
          </w:p>
        </w:tc>
        <w:tc>
          <w:tcPr>
            <w:tcW w:w="1276" w:type="dxa"/>
          </w:tcPr>
          <w:p w14:paraId="5B546175" w14:textId="77777777" w:rsidR="008A7196" w:rsidRPr="00862EFB" w:rsidRDefault="008A7196" w:rsidP="00C169F5">
            <w:pPr>
              <w:spacing w:line="360" w:lineRule="auto"/>
              <w:rPr>
                <w:rFonts w:cstheme="minorHAnsi"/>
                <w:sz w:val="20"/>
                <w:szCs w:val="20"/>
              </w:rPr>
            </w:pPr>
            <w:r w:rsidRPr="00862EFB">
              <w:rPr>
                <w:rFonts w:cstheme="minorHAnsi"/>
                <w:sz w:val="20"/>
                <w:szCs w:val="20"/>
              </w:rPr>
              <w:t>All (n=8)</w:t>
            </w:r>
          </w:p>
        </w:tc>
        <w:tc>
          <w:tcPr>
            <w:tcW w:w="992" w:type="dxa"/>
          </w:tcPr>
          <w:p w14:paraId="4F2BB226" w14:textId="77777777" w:rsidR="008A7196" w:rsidRPr="00862EFB" w:rsidRDefault="008A7196" w:rsidP="00C169F5">
            <w:pPr>
              <w:spacing w:line="360" w:lineRule="auto"/>
              <w:rPr>
                <w:rFonts w:cstheme="minorHAnsi"/>
                <w:sz w:val="20"/>
                <w:szCs w:val="20"/>
              </w:rPr>
            </w:pPr>
            <w:r w:rsidRPr="00862EFB">
              <w:rPr>
                <w:rFonts w:cstheme="minorHAnsi"/>
                <w:sz w:val="20"/>
                <w:szCs w:val="20"/>
              </w:rPr>
              <w:t>30g Pro</w:t>
            </w:r>
          </w:p>
          <w:p w14:paraId="5A5E442E" w14:textId="77777777" w:rsidR="008A7196" w:rsidRPr="00862EFB" w:rsidRDefault="008A7196" w:rsidP="00C169F5">
            <w:pPr>
              <w:spacing w:line="360" w:lineRule="auto"/>
              <w:rPr>
                <w:rFonts w:cstheme="minorHAnsi"/>
                <w:sz w:val="20"/>
                <w:szCs w:val="20"/>
              </w:rPr>
            </w:pPr>
            <w:r w:rsidRPr="00862EFB">
              <w:rPr>
                <w:rFonts w:cstheme="minorHAnsi"/>
                <w:sz w:val="20"/>
                <w:szCs w:val="20"/>
              </w:rPr>
              <w:t>(n=4)</w:t>
            </w:r>
          </w:p>
        </w:tc>
        <w:tc>
          <w:tcPr>
            <w:tcW w:w="893" w:type="dxa"/>
          </w:tcPr>
          <w:p w14:paraId="6D6A7386" w14:textId="77777777" w:rsidR="008A7196" w:rsidRPr="00862EFB" w:rsidRDefault="008A7196" w:rsidP="00C169F5">
            <w:pPr>
              <w:spacing w:line="360" w:lineRule="auto"/>
              <w:rPr>
                <w:rFonts w:cstheme="minorHAnsi"/>
                <w:sz w:val="20"/>
                <w:szCs w:val="20"/>
              </w:rPr>
            </w:pPr>
            <w:r w:rsidRPr="00862EFB">
              <w:rPr>
                <w:rFonts w:cstheme="minorHAnsi"/>
                <w:sz w:val="20"/>
                <w:szCs w:val="20"/>
              </w:rPr>
              <w:t>15g Pro (n=2)</w:t>
            </w:r>
          </w:p>
        </w:tc>
        <w:tc>
          <w:tcPr>
            <w:tcW w:w="901" w:type="dxa"/>
          </w:tcPr>
          <w:p w14:paraId="27DEBB37" w14:textId="77777777" w:rsidR="008A7196" w:rsidRPr="00862EFB" w:rsidRDefault="008A7196" w:rsidP="00C169F5">
            <w:pPr>
              <w:spacing w:line="360" w:lineRule="auto"/>
              <w:rPr>
                <w:rFonts w:cstheme="minorHAnsi"/>
                <w:sz w:val="20"/>
                <w:szCs w:val="20"/>
              </w:rPr>
            </w:pPr>
            <w:r w:rsidRPr="00862EFB">
              <w:rPr>
                <w:rFonts w:cstheme="minorHAnsi"/>
                <w:sz w:val="20"/>
                <w:szCs w:val="20"/>
              </w:rPr>
              <w:t>0g Pro</w:t>
            </w:r>
          </w:p>
          <w:p w14:paraId="26C0F73C" w14:textId="77777777" w:rsidR="008A7196" w:rsidRPr="00862EFB" w:rsidRDefault="008A7196" w:rsidP="00C169F5">
            <w:pPr>
              <w:spacing w:line="360" w:lineRule="auto"/>
              <w:rPr>
                <w:rFonts w:cstheme="minorHAnsi"/>
                <w:sz w:val="20"/>
                <w:szCs w:val="20"/>
              </w:rPr>
            </w:pPr>
            <w:r w:rsidRPr="00862EFB">
              <w:rPr>
                <w:rFonts w:cstheme="minorHAnsi"/>
                <w:sz w:val="20"/>
                <w:szCs w:val="20"/>
              </w:rPr>
              <w:t>(n=2)</w:t>
            </w:r>
          </w:p>
        </w:tc>
      </w:tr>
      <w:tr w:rsidR="008A7196" w:rsidRPr="00862EFB" w14:paraId="7AE0318B" w14:textId="77777777" w:rsidTr="00C169F5">
        <w:trPr>
          <w:trHeight w:val="303"/>
        </w:trPr>
        <w:tc>
          <w:tcPr>
            <w:tcW w:w="2096" w:type="dxa"/>
          </w:tcPr>
          <w:p w14:paraId="5CE3E87F" w14:textId="77777777" w:rsidR="008A7196" w:rsidRPr="00862EFB" w:rsidRDefault="008A7196" w:rsidP="00C169F5">
            <w:pPr>
              <w:spacing w:line="360" w:lineRule="auto"/>
              <w:rPr>
                <w:rFonts w:cstheme="minorHAnsi"/>
                <w:sz w:val="20"/>
                <w:szCs w:val="20"/>
              </w:rPr>
            </w:pPr>
            <w:r w:rsidRPr="00862EFB">
              <w:rPr>
                <w:rFonts w:cstheme="minorHAnsi"/>
                <w:sz w:val="20"/>
                <w:szCs w:val="20"/>
              </w:rPr>
              <w:t>Energy (kJ)</w:t>
            </w:r>
          </w:p>
        </w:tc>
        <w:tc>
          <w:tcPr>
            <w:tcW w:w="1301" w:type="dxa"/>
          </w:tcPr>
          <w:p w14:paraId="2E5B4387" w14:textId="77777777" w:rsidR="008A7196" w:rsidRPr="00862EFB" w:rsidRDefault="008A7196" w:rsidP="00C169F5">
            <w:pPr>
              <w:spacing w:line="360" w:lineRule="auto"/>
              <w:rPr>
                <w:rFonts w:cstheme="minorHAnsi"/>
                <w:sz w:val="20"/>
                <w:szCs w:val="20"/>
              </w:rPr>
            </w:pPr>
            <w:r w:rsidRPr="00862EFB">
              <w:rPr>
                <w:rFonts w:cstheme="minorHAnsi"/>
                <w:sz w:val="20"/>
                <w:szCs w:val="20"/>
              </w:rPr>
              <w:t>7619 (3295)</w:t>
            </w:r>
          </w:p>
        </w:tc>
        <w:tc>
          <w:tcPr>
            <w:tcW w:w="1276" w:type="dxa"/>
          </w:tcPr>
          <w:p w14:paraId="7E3A6163"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8487</w:t>
            </w:r>
          </w:p>
        </w:tc>
        <w:tc>
          <w:tcPr>
            <w:tcW w:w="992" w:type="dxa"/>
          </w:tcPr>
          <w:p w14:paraId="20B720E2"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7276</w:t>
            </w:r>
          </w:p>
        </w:tc>
        <w:tc>
          <w:tcPr>
            <w:tcW w:w="1134" w:type="dxa"/>
          </w:tcPr>
          <w:p w14:paraId="2C7532C7"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6225.5</w:t>
            </w:r>
          </w:p>
        </w:tc>
        <w:tc>
          <w:tcPr>
            <w:tcW w:w="1276" w:type="dxa"/>
          </w:tcPr>
          <w:p w14:paraId="2729CA5F" w14:textId="77777777" w:rsidR="008A7196" w:rsidRPr="00862EFB" w:rsidRDefault="008A7196" w:rsidP="00C169F5">
            <w:pPr>
              <w:spacing w:line="360" w:lineRule="auto"/>
              <w:rPr>
                <w:rFonts w:cstheme="minorHAnsi"/>
                <w:sz w:val="20"/>
                <w:szCs w:val="20"/>
              </w:rPr>
            </w:pPr>
            <w:r w:rsidRPr="00862EFB">
              <w:rPr>
                <w:rFonts w:cstheme="minorHAnsi"/>
                <w:sz w:val="20"/>
                <w:szCs w:val="20"/>
              </w:rPr>
              <w:t>7526 (3389)</w:t>
            </w:r>
          </w:p>
        </w:tc>
        <w:tc>
          <w:tcPr>
            <w:tcW w:w="1134" w:type="dxa"/>
          </w:tcPr>
          <w:p w14:paraId="09455C55"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7569.75</w:t>
            </w:r>
          </w:p>
        </w:tc>
        <w:tc>
          <w:tcPr>
            <w:tcW w:w="1134" w:type="dxa"/>
          </w:tcPr>
          <w:p w14:paraId="44F3D6BC"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6568.5</w:t>
            </w:r>
          </w:p>
        </w:tc>
        <w:tc>
          <w:tcPr>
            <w:tcW w:w="992" w:type="dxa"/>
          </w:tcPr>
          <w:p w14:paraId="5981CA6E"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8396</w:t>
            </w:r>
          </w:p>
        </w:tc>
        <w:tc>
          <w:tcPr>
            <w:tcW w:w="1276" w:type="dxa"/>
          </w:tcPr>
          <w:p w14:paraId="633FB986" w14:textId="77777777" w:rsidR="008A7196" w:rsidRPr="00862EFB" w:rsidRDefault="008A7196" w:rsidP="00C169F5">
            <w:pPr>
              <w:spacing w:line="360" w:lineRule="auto"/>
              <w:rPr>
                <w:rFonts w:cstheme="minorHAnsi"/>
                <w:sz w:val="20"/>
                <w:szCs w:val="20"/>
              </w:rPr>
            </w:pPr>
            <w:r w:rsidRPr="00862EFB">
              <w:rPr>
                <w:rFonts w:cstheme="minorHAnsi"/>
                <w:sz w:val="20"/>
                <w:szCs w:val="20"/>
              </w:rPr>
              <w:t>7786 (3365)</w:t>
            </w:r>
          </w:p>
        </w:tc>
        <w:tc>
          <w:tcPr>
            <w:tcW w:w="992" w:type="dxa"/>
          </w:tcPr>
          <w:p w14:paraId="1EBD222C"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7671</w:t>
            </w:r>
          </w:p>
        </w:tc>
        <w:tc>
          <w:tcPr>
            <w:tcW w:w="893" w:type="dxa"/>
          </w:tcPr>
          <w:p w14:paraId="58D4B951"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5653</w:t>
            </w:r>
          </w:p>
        </w:tc>
        <w:tc>
          <w:tcPr>
            <w:tcW w:w="901" w:type="dxa"/>
          </w:tcPr>
          <w:p w14:paraId="73D62F44"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10149</w:t>
            </w:r>
          </w:p>
        </w:tc>
      </w:tr>
      <w:tr w:rsidR="008A7196" w:rsidRPr="00862EFB" w14:paraId="0853E74F" w14:textId="77777777" w:rsidTr="00C169F5">
        <w:trPr>
          <w:trHeight w:val="303"/>
        </w:trPr>
        <w:tc>
          <w:tcPr>
            <w:tcW w:w="2096" w:type="dxa"/>
          </w:tcPr>
          <w:p w14:paraId="05D9ACCB" w14:textId="77777777" w:rsidR="008A7196" w:rsidRPr="00862EFB" w:rsidRDefault="008A7196" w:rsidP="00C169F5">
            <w:pPr>
              <w:spacing w:line="360" w:lineRule="auto"/>
              <w:rPr>
                <w:rFonts w:cstheme="minorHAnsi"/>
                <w:sz w:val="20"/>
                <w:szCs w:val="20"/>
              </w:rPr>
            </w:pPr>
            <w:r w:rsidRPr="00862EFB">
              <w:rPr>
                <w:rFonts w:cstheme="minorHAnsi"/>
                <w:sz w:val="20"/>
                <w:szCs w:val="20"/>
              </w:rPr>
              <w:t>Energy (kCal)</w:t>
            </w:r>
          </w:p>
        </w:tc>
        <w:tc>
          <w:tcPr>
            <w:tcW w:w="1301" w:type="dxa"/>
          </w:tcPr>
          <w:p w14:paraId="0AC68EA3"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1811 (783)</w:t>
            </w:r>
          </w:p>
        </w:tc>
        <w:tc>
          <w:tcPr>
            <w:tcW w:w="1276" w:type="dxa"/>
          </w:tcPr>
          <w:p w14:paraId="7E5AC11A"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2019</w:t>
            </w:r>
          </w:p>
        </w:tc>
        <w:tc>
          <w:tcPr>
            <w:tcW w:w="992" w:type="dxa"/>
          </w:tcPr>
          <w:p w14:paraId="7AAF03FE"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1722.5</w:t>
            </w:r>
          </w:p>
        </w:tc>
        <w:tc>
          <w:tcPr>
            <w:tcW w:w="1134" w:type="dxa"/>
          </w:tcPr>
          <w:p w14:paraId="273929BA"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1485</w:t>
            </w:r>
          </w:p>
        </w:tc>
        <w:tc>
          <w:tcPr>
            <w:tcW w:w="1276" w:type="dxa"/>
          </w:tcPr>
          <w:p w14:paraId="5702813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1793.6 (808)</w:t>
            </w:r>
          </w:p>
        </w:tc>
        <w:tc>
          <w:tcPr>
            <w:tcW w:w="1134" w:type="dxa"/>
          </w:tcPr>
          <w:p w14:paraId="1622E642"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1802.75</w:t>
            </w:r>
          </w:p>
        </w:tc>
        <w:tc>
          <w:tcPr>
            <w:tcW w:w="1134" w:type="dxa"/>
          </w:tcPr>
          <w:p w14:paraId="53E820F5"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1563.5</w:t>
            </w:r>
          </w:p>
        </w:tc>
        <w:tc>
          <w:tcPr>
            <w:tcW w:w="992" w:type="dxa"/>
          </w:tcPr>
          <w:p w14:paraId="0B452C93"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2006</w:t>
            </w:r>
          </w:p>
        </w:tc>
        <w:tc>
          <w:tcPr>
            <w:tcW w:w="1276" w:type="dxa"/>
          </w:tcPr>
          <w:p w14:paraId="77CBC782"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1854(804)</w:t>
            </w:r>
          </w:p>
        </w:tc>
        <w:tc>
          <w:tcPr>
            <w:tcW w:w="992" w:type="dxa"/>
          </w:tcPr>
          <w:p w14:paraId="5FB1CAB3"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1825.8</w:t>
            </w:r>
          </w:p>
        </w:tc>
        <w:tc>
          <w:tcPr>
            <w:tcW w:w="893" w:type="dxa"/>
          </w:tcPr>
          <w:p w14:paraId="42BA1443"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1340</w:t>
            </w:r>
          </w:p>
        </w:tc>
        <w:tc>
          <w:tcPr>
            <w:tcW w:w="901" w:type="dxa"/>
          </w:tcPr>
          <w:p w14:paraId="77A82301"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2426</w:t>
            </w:r>
          </w:p>
        </w:tc>
      </w:tr>
      <w:tr w:rsidR="008A7196" w:rsidRPr="00862EFB" w14:paraId="1F0CB18E" w14:textId="77777777" w:rsidTr="00C169F5">
        <w:trPr>
          <w:trHeight w:val="541"/>
        </w:trPr>
        <w:tc>
          <w:tcPr>
            <w:tcW w:w="2096" w:type="dxa"/>
            <w:vAlign w:val="center"/>
          </w:tcPr>
          <w:p w14:paraId="15DD849D"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Carbohydrate (g)</w:t>
            </w:r>
          </w:p>
        </w:tc>
        <w:tc>
          <w:tcPr>
            <w:tcW w:w="1301" w:type="dxa"/>
          </w:tcPr>
          <w:p w14:paraId="6E35366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210.7 (102.2)</w:t>
            </w:r>
          </w:p>
        </w:tc>
        <w:tc>
          <w:tcPr>
            <w:tcW w:w="1276" w:type="dxa"/>
          </w:tcPr>
          <w:p w14:paraId="0A73FBB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217.2</w:t>
            </w:r>
          </w:p>
        </w:tc>
        <w:tc>
          <w:tcPr>
            <w:tcW w:w="992" w:type="dxa"/>
          </w:tcPr>
          <w:p w14:paraId="1E8B3754"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246.8</w:t>
            </w:r>
          </w:p>
        </w:tc>
        <w:tc>
          <w:tcPr>
            <w:tcW w:w="1134" w:type="dxa"/>
          </w:tcPr>
          <w:p w14:paraId="5DD64152"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161.8</w:t>
            </w:r>
          </w:p>
        </w:tc>
        <w:tc>
          <w:tcPr>
            <w:tcW w:w="1276" w:type="dxa"/>
          </w:tcPr>
          <w:p w14:paraId="7F94BC47"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192.48 (86.1)</w:t>
            </w:r>
          </w:p>
        </w:tc>
        <w:tc>
          <w:tcPr>
            <w:tcW w:w="1134" w:type="dxa"/>
          </w:tcPr>
          <w:p w14:paraId="0807F9AA"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199.55</w:t>
            </w:r>
          </w:p>
        </w:tc>
        <w:tc>
          <w:tcPr>
            <w:tcW w:w="1134" w:type="dxa"/>
          </w:tcPr>
          <w:p w14:paraId="3501AAA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173.5</w:t>
            </w:r>
          </w:p>
        </w:tc>
        <w:tc>
          <w:tcPr>
            <w:tcW w:w="992" w:type="dxa"/>
          </w:tcPr>
          <w:p w14:paraId="1BFB9AFD"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197.3</w:t>
            </w:r>
          </w:p>
        </w:tc>
        <w:tc>
          <w:tcPr>
            <w:tcW w:w="1276" w:type="dxa"/>
          </w:tcPr>
          <w:p w14:paraId="1E758DBD"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222.4 (98.9)</w:t>
            </w:r>
          </w:p>
        </w:tc>
        <w:tc>
          <w:tcPr>
            <w:tcW w:w="992" w:type="dxa"/>
          </w:tcPr>
          <w:p w14:paraId="1ECB5D7C"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216.7</w:t>
            </w:r>
          </w:p>
        </w:tc>
        <w:tc>
          <w:tcPr>
            <w:tcW w:w="893" w:type="dxa"/>
          </w:tcPr>
          <w:p w14:paraId="7ACE1F02"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195.5</w:t>
            </w:r>
          </w:p>
        </w:tc>
        <w:tc>
          <w:tcPr>
            <w:tcW w:w="901" w:type="dxa"/>
          </w:tcPr>
          <w:p w14:paraId="50887C12"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260.6</w:t>
            </w:r>
          </w:p>
        </w:tc>
      </w:tr>
      <w:tr w:rsidR="008A7196" w:rsidRPr="00862EFB" w14:paraId="1A2088A2" w14:textId="77777777" w:rsidTr="00C169F5">
        <w:trPr>
          <w:trHeight w:val="303"/>
        </w:trPr>
        <w:tc>
          <w:tcPr>
            <w:tcW w:w="2096" w:type="dxa"/>
            <w:vAlign w:val="center"/>
          </w:tcPr>
          <w:p w14:paraId="45046775"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Fat (g)</w:t>
            </w:r>
          </w:p>
        </w:tc>
        <w:tc>
          <w:tcPr>
            <w:tcW w:w="1301" w:type="dxa"/>
          </w:tcPr>
          <w:p w14:paraId="5501C94C"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71.20  (36.3)</w:t>
            </w:r>
          </w:p>
        </w:tc>
        <w:tc>
          <w:tcPr>
            <w:tcW w:w="1276" w:type="dxa"/>
          </w:tcPr>
          <w:p w14:paraId="409441A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83.88</w:t>
            </w:r>
          </w:p>
        </w:tc>
        <w:tc>
          <w:tcPr>
            <w:tcW w:w="992" w:type="dxa"/>
          </w:tcPr>
          <w:p w14:paraId="12A668E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58.4</w:t>
            </w:r>
          </w:p>
        </w:tc>
        <w:tc>
          <w:tcPr>
            <w:tcW w:w="1134" w:type="dxa"/>
          </w:tcPr>
          <w:p w14:paraId="1512135F"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58.65</w:t>
            </w:r>
          </w:p>
        </w:tc>
        <w:tc>
          <w:tcPr>
            <w:tcW w:w="1276" w:type="dxa"/>
          </w:tcPr>
          <w:p w14:paraId="717DED9D"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82.8 (40.0)</w:t>
            </w:r>
          </w:p>
        </w:tc>
        <w:tc>
          <w:tcPr>
            <w:tcW w:w="1134" w:type="dxa"/>
          </w:tcPr>
          <w:p w14:paraId="07119288"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79.08</w:t>
            </w:r>
          </w:p>
        </w:tc>
        <w:tc>
          <w:tcPr>
            <w:tcW w:w="1134" w:type="dxa"/>
          </w:tcPr>
          <w:p w14:paraId="482F0D80"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74.1</w:t>
            </w:r>
          </w:p>
        </w:tc>
        <w:tc>
          <w:tcPr>
            <w:tcW w:w="992" w:type="dxa"/>
          </w:tcPr>
          <w:p w14:paraId="5025B3C7"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98.8</w:t>
            </w:r>
          </w:p>
        </w:tc>
        <w:tc>
          <w:tcPr>
            <w:tcW w:w="1276" w:type="dxa"/>
          </w:tcPr>
          <w:p w14:paraId="516EAFAF"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79.3 (44.4)</w:t>
            </w:r>
          </w:p>
        </w:tc>
        <w:tc>
          <w:tcPr>
            <w:tcW w:w="992" w:type="dxa"/>
          </w:tcPr>
          <w:p w14:paraId="1E56B6FA"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77.1</w:t>
            </w:r>
          </w:p>
        </w:tc>
        <w:tc>
          <w:tcPr>
            <w:tcW w:w="893" w:type="dxa"/>
          </w:tcPr>
          <w:p w14:paraId="7FB64598"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43.9</w:t>
            </w:r>
          </w:p>
        </w:tc>
        <w:tc>
          <w:tcPr>
            <w:tcW w:w="901" w:type="dxa"/>
          </w:tcPr>
          <w:p w14:paraId="0E98E1F1"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119.15</w:t>
            </w:r>
          </w:p>
        </w:tc>
      </w:tr>
      <w:tr w:rsidR="008A7196" w:rsidRPr="00862EFB" w14:paraId="378CDB42" w14:textId="77777777" w:rsidTr="00C169F5">
        <w:trPr>
          <w:trHeight w:val="932"/>
        </w:trPr>
        <w:tc>
          <w:tcPr>
            <w:tcW w:w="2096" w:type="dxa"/>
            <w:vAlign w:val="center"/>
          </w:tcPr>
          <w:p w14:paraId="6D267D86" w14:textId="77777777" w:rsidR="008A7196" w:rsidRPr="00862EFB" w:rsidRDefault="008A7196" w:rsidP="00C169F5">
            <w:pPr>
              <w:spacing w:line="360" w:lineRule="auto"/>
              <w:rPr>
                <w:rFonts w:cstheme="minorHAnsi"/>
                <w:sz w:val="20"/>
                <w:szCs w:val="20"/>
              </w:rPr>
            </w:pPr>
            <w:r w:rsidRPr="00862EFB">
              <w:rPr>
                <w:rFonts w:eastAsia="Times New Roman" w:cstheme="minorHAnsi"/>
                <w:sz w:val="20"/>
                <w:szCs w:val="20"/>
                <w:lang w:eastAsia="en-GB"/>
              </w:rPr>
              <w:t>Protein (g)</w:t>
            </w:r>
          </w:p>
        </w:tc>
        <w:tc>
          <w:tcPr>
            <w:tcW w:w="1301" w:type="dxa"/>
          </w:tcPr>
          <w:p w14:paraId="78AA733D" w14:textId="77777777" w:rsidR="008A7196" w:rsidRPr="00862EFB" w:rsidRDefault="008A7196" w:rsidP="00C169F5">
            <w:pPr>
              <w:spacing w:line="360" w:lineRule="auto"/>
              <w:rPr>
                <w:rFonts w:cstheme="minorHAnsi"/>
                <w:sz w:val="20"/>
                <w:szCs w:val="20"/>
              </w:rPr>
            </w:pPr>
            <w:r w:rsidRPr="00862EFB">
              <w:rPr>
                <w:rFonts w:cstheme="minorHAnsi"/>
                <w:sz w:val="20"/>
                <w:szCs w:val="20"/>
              </w:rPr>
              <w:t>82.9 (30.2)</w:t>
            </w:r>
          </w:p>
        </w:tc>
        <w:tc>
          <w:tcPr>
            <w:tcW w:w="1276" w:type="dxa"/>
          </w:tcPr>
          <w:p w14:paraId="3E13EB37" w14:textId="77777777" w:rsidR="008A7196" w:rsidRPr="00862EFB" w:rsidRDefault="008A7196" w:rsidP="00C169F5">
            <w:pPr>
              <w:spacing w:line="360" w:lineRule="auto"/>
              <w:rPr>
                <w:rFonts w:cstheme="minorHAnsi"/>
                <w:sz w:val="20"/>
                <w:szCs w:val="20"/>
              </w:rPr>
            </w:pPr>
            <w:r w:rsidRPr="00862EFB">
              <w:rPr>
                <w:rFonts w:cstheme="minorHAnsi"/>
                <w:sz w:val="20"/>
                <w:szCs w:val="20"/>
              </w:rPr>
              <w:t>100.3</w:t>
            </w:r>
          </w:p>
          <w:p w14:paraId="1D3360CB" w14:textId="77777777" w:rsidR="008A7196" w:rsidRPr="00862EFB" w:rsidRDefault="008A7196" w:rsidP="00C169F5">
            <w:pPr>
              <w:spacing w:line="360" w:lineRule="auto"/>
              <w:rPr>
                <w:rFonts w:cstheme="minorHAnsi"/>
                <w:sz w:val="20"/>
                <w:szCs w:val="20"/>
              </w:rPr>
            </w:pPr>
            <w:r w:rsidRPr="00862EFB">
              <w:rPr>
                <w:rFonts w:cstheme="minorHAnsi"/>
                <w:sz w:val="20"/>
                <w:szCs w:val="20"/>
              </w:rPr>
              <w:t>(29.8)</w:t>
            </w:r>
          </w:p>
        </w:tc>
        <w:tc>
          <w:tcPr>
            <w:tcW w:w="992" w:type="dxa"/>
          </w:tcPr>
          <w:p w14:paraId="57150DFB" w14:textId="77777777" w:rsidR="008A7196" w:rsidRPr="00862EFB" w:rsidRDefault="008A7196" w:rsidP="00C169F5">
            <w:pPr>
              <w:spacing w:line="360" w:lineRule="auto"/>
              <w:rPr>
                <w:rFonts w:cstheme="minorHAnsi"/>
                <w:sz w:val="20"/>
                <w:szCs w:val="20"/>
              </w:rPr>
            </w:pPr>
            <w:r w:rsidRPr="00862EFB">
              <w:rPr>
                <w:rFonts w:cstheme="minorHAnsi"/>
                <w:sz w:val="20"/>
                <w:szCs w:val="20"/>
              </w:rPr>
              <w:t>70.2 (44.2)</w:t>
            </w:r>
          </w:p>
        </w:tc>
        <w:tc>
          <w:tcPr>
            <w:tcW w:w="1134" w:type="dxa"/>
          </w:tcPr>
          <w:p w14:paraId="5DC645E6" w14:textId="77777777" w:rsidR="008A7196" w:rsidRPr="00862EFB" w:rsidRDefault="008A7196" w:rsidP="00C169F5">
            <w:pPr>
              <w:spacing w:line="360" w:lineRule="auto"/>
              <w:rPr>
                <w:rFonts w:cstheme="minorHAnsi"/>
                <w:sz w:val="20"/>
                <w:szCs w:val="20"/>
              </w:rPr>
            </w:pPr>
            <w:r w:rsidRPr="00862EFB">
              <w:rPr>
                <w:rFonts w:cstheme="minorHAnsi"/>
                <w:sz w:val="20"/>
                <w:szCs w:val="20"/>
              </w:rPr>
              <w:t>69.6 (2.8)</w:t>
            </w:r>
          </w:p>
        </w:tc>
        <w:tc>
          <w:tcPr>
            <w:tcW w:w="1276" w:type="dxa"/>
          </w:tcPr>
          <w:p w14:paraId="1A748217" w14:textId="77777777" w:rsidR="008A7196" w:rsidRPr="00862EFB" w:rsidRDefault="008A7196" w:rsidP="00C169F5">
            <w:pPr>
              <w:spacing w:line="360" w:lineRule="auto"/>
              <w:rPr>
                <w:rFonts w:cstheme="minorHAnsi"/>
                <w:sz w:val="20"/>
                <w:szCs w:val="20"/>
              </w:rPr>
            </w:pPr>
            <w:r w:rsidRPr="00862EFB">
              <w:rPr>
                <w:rFonts w:cstheme="minorHAnsi"/>
                <w:sz w:val="20"/>
                <w:szCs w:val="20"/>
              </w:rPr>
              <w:t>81.84 (38.5)</w:t>
            </w:r>
          </w:p>
        </w:tc>
        <w:tc>
          <w:tcPr>
            <w:tcW w:w="1134" w:type="dxa"/>
          </w:tcPr>
          <w:p w14:paraId="02AF77AA" w14:textId="77777777" w:rsidR="008A7196" w:rsidRPr="00862EFB" w:rsidRDefault="008A7196" w:rsidP="00C169F5">
            <w:pPr>
              <w:spacing w:line="360" w:lineRule="auto"/>
              <w:rPr>
                <w:rFonts w:cstheme="minorHAnsi"/>
                <w:sz w:val="20"/>
                <w:szCs w:val="20"/>
              </w:rPr>
            </w:pPr>
            <w:r w:rsidRPr="00862EFB">
              <w:rPr>
                <w:rFonts w:cstheme="minorHAnsi"/>
                <w:sz w:val="20"/>
                <w:szCs w:val="20"/>
              </w:rPr>
              <w:t>93.8 (27.1)</w:t>
            </w:r>
          </w:p>
        </w:tc>
        <w:tc>
          <w:tcPr>
            <w:tcW w:w="1134" w:type="dxa"/>
          </w:tcPr>
          <w:p w14:paraId="208E56ED" w14:textId="77777777" w:rsidR="008A7196" w:rsidRPr="00862EFB" w:rsidRDefault="008A7196" w:rsidP="00C169F5">
            <w:pPr>
              <w:spacing w:line="360" w:lineRule="auto"/>
              <w:rPr>
                <w:rFonts w:cstheme="minorHAnsi"/>
                <w:sz w:val="20"/>
                <w:szCs w:val="20"/>
              </w:rPr>
            </w:pPr>
            <w:r w:rsidRPr="00862EFB">
              <w:rPr>
                <w:rFonts w:cstheme="minorHAnsi"/>
                <w:sz w:val="20"/>
                <w:szCs w:val="20"/>
              </w:rPr>
              <w:t>62.6 (14.6)</w:t>
            </w:r>
          </w:p>
        </w:tc>
        <w:tc>
          <w:tcPr>
            <w:tcW w:w="992" w:type="dxa"/>
          </w:tcPr>
          <w:p w14:paraId="0FA99559" w14:textId="77777777" w:rsidR="008A7196" w:rsidRPr="00862EFB" w:rsidRDefault="008A7196" w:rsidP="00C169F5">
            <w:pPr>
              <w:spacing w:line="360" w:lineRule="auto"/>
              <w:rPr>
                <w:rFonts w:cstheme="minorHAnsi"/>
                <w:sz w:val="20"/>
                <w:szCs w:val="20"/>
              </w:rPr>
            </w:pPr>
            <w:r w:rsidRPr="00862EFB">
              <w:rPr>
                <w:rFonts w:cstheme="minorHAnsi"/>
                <w:sz w:val="20"/>
                <w:szCs w:val="20"/>
              </w:rPr>
              <w:t>92.4 (27.4)</w:t>
            </w:r>
          </w:p>
        </w:tc>
        <w:tc>
          <w:tcPr>
            <w:tcW w:w="1276" w:type="dxa"/>
          </w:tcPr>
          <w:p w14:paraId="77D33A3D" w14:textId="77777777" w:rsidR="008A7196" w:rsidRPr="00862EFB" w:rsidRDefault="008A7196" w:rsidP="00C169F5">
            <w:pPr>
              <w:spacing w:line="360" w:lineRule="auto"/>
              <w:rPr>
                <w:rFonts w:cstheme="minorHAnsi"/>
                <w:sz w:val="20"/>
                <w:szCs w:val="20"/>
              </w:rPr>
            </w:pPr>
            <w:r w:rsidRPr="00862EFB">
              <w:rPr>
                <w:rFonts w:cstheme="minorHAnsi"/>
                <w:sz w:val="20"/>
                <w:szCs w:val="20"/>
              </w:rPr>
              <w:t>67.4 (15.73)</w:t>
            </w:r>
          </w:p>
        </w:tc>
        <w:tc>
          <w:tcPr>
            <w:tcW w:w="992" w:type="dxa"/>
          </w:tcPr>
          <w:p w14:paraId="7D6E3E3A" w14:textId="77777777" w:rsidR="008A7196" w:rsidRPr="00862EFB" w:rsidRDefault="008A7196" w:rsidP="00C169F5">
            <w:pPr>
              <w:spacing w:line="360" w:lineRule="auto"/>
              <w:rPr>
                <w:rFonts w:cstheme="minorHAnsi"/>
                <w:sz w:val="20"/>
                <w:szCs w:val="20"/>
              </w:rPr>
            </w:pPr>
            <w:r w:rsidRPr="00862EFB">
              <w:rPr>
                <w:rFonts w:cstheme="minorHAnsi"/>
                <w:sz w:val="20"/>
                <w:szCs w:val="20"/>
              </w:rPr>
              <w:t>73.1 (13.1)</w:t>
            </w:r>
          </w:p>
        </w:tc>
        <w:tc>
          <w:tcPr>
            <w:tcW w:w="893" w:type="dxa"/>
          </w:tcPr>
          <w:p w14:paraId="095631E2" w14:textId="77777777" w:rsidR="008A7196" w:rsidRPr="00862EFB" w:rsidRDefault="008A7196" w:rsidP="00C169F5">
            <w:pPr>
              <w:spacing w:line="360" w:lineRule="auto"/>
              <w:rPr>
                <w:rFonts w:cstheme="minorHAnsi"/>
                <w:sz w:val="20"/>
                <w:szCs w:val="20"/>
              </w:rPr>
            </w:pPr>
            <w:r w:rsidRPr="00862EFB">
              <w:rPr>
                <w:rFonts w:cstheme="minorHAnsi"/>
                <w:sz w:val="20"/>
                <w:szCs w:val="20"/>
              </w:rPr>
              <w:t>46.8 (8.9)</w:t>
            </w:r>
          </w:p>
        </w:tc>
        <w:tc>
          <w:tcPr>
            <w:tcW w:w="901" w:type="dxa"/>
          </w:tcPr>
          <w:p w14:paraId="4AC4537D" w14:textId="77777777" w:rsidR="008A7196" w:rsidRPr="00862EFB" w:rsidRDefault="008A7196" w:rsidP="00C169F5">
            <w:pPr>
              <w:spacing w:line="360" w:lineRule="auto"/>
              <w:rPr>
                <w:rFonts w:cstheme="minorHAnsi"/>
                <w:sz w:val="20"/>
                <w:szCs w:val="20"/>
              </w:rPr>
            </w:pPr>
            <w:r w:rsidRPr="00862EFB">
              <w:rPr>
                <w:rFonts w:cstheme="minorHAnsi"/>
                <w:sz w:val="20"/>
                <w:szCs w:val="20"/>
              </w:rPr>
              <w:t>76.4</w:t>
            </w:r>
          </w:p>
          <w:p w14:paraId="68C3B893" w14:textId="77777777" w:rsidR="008A7196" w:rsidRPr="00862EFB" w:rsidRDefault="008A7196" w:rsidP="00C169F5">
            <w:pPr>
              <w:spacing w:line="360" w:lineRule="auto"/>
              <w:rPr>
                <w:rFonts w:cstheme="minorHAnsi"/>
                <w:sz w:val="20"/>
                <w:szCs w:val="20"/>
              </w:rPr>
            </w:pPr>
            <w:r w:rsidRPr="00862EFB">
              <w:rPr>
                <w:rFonts w:cstheme="minorHAnsi"/>
                <w:sz w:val="20"/>
                <w:szCs w:val="20"/>
              </w:rPr>
              <w:t xml:space="preserve"> (0.07)</w:t>
            </w:r>
          </w:p>
        </w:tc>
      </w:tr>
      <w:tr w:rsidR="008A7196" w:rsidRPr="00862EFB" w14:paraId="2027E720" w14:textId="77777777" w:rsidTr="00C169F5">
        <w:trPr>
          <w:trHeight w:val="932"/>
        </w:trPr>
        <w:tc>
          <w:tcPr>
            <w:tcW w:w="2096" w:type="dxa"/>
          </w:tcPr>
          <w:p w14:paraId="31C4567C" w14:textId="77777777" w:rsidR="008A7196" w:rsidRPr="00862EFB" w:rsidRDefault="008A7196" w:rsidP="00C169F5">
            <w:pPr>
              <w:spacing w:line="360" w:lineRule="auto"/>
              <w:rPr>
                <w:rFonts w:cstheme="minorHAnsi"/>
                <w:sz w:val="20"/>
                <w:szCs w:val="20"/>
              </w:rPr>
            </w:pPr>
            <w:r w:rsidRPr="00862EFB">
              <w:rPr>
                <w:rFonts w:cstheme="minorHAnsi"/>
                <w:sz w:val="20"/>
                <w:szCs w:val="20"/>
              </w:rPr>
              <w:t>Protein intake plus supplement</w:t>
            </w:r>
          </w:p>
        </w:tc>
        <w:tc>
          <w:tcPr>
            <w:tcW w:w="1301" w:type="dxa"/>
          </w:tcPr>
          <w:p w14:paraId="54368EEA"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1276" w:type="dxa"/>
          </w:tcPr>
          <w:p w14:paraId="4C1585DE"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992" w:type="dxa"/>
          </w:tcPr>
          <w:p w14:paraId="70BD6DD6"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1134" w:type="dxa"/>
          </w:tcPr>
          <w:p w14:paraId="2E2BA2EE"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1276" w:type="dxa"/>
          </w:tcPr>
          <w:p w14:paraId="5B16456C" w14:textId="77777777" w:rsidR="008A7196" w:rsidRPr="00862EFB" w:rsidRDefault="008A7196" w:rsidP="00C169F5">
            <w:pPr>
              <w:spacing w:line="360" w:lineRule="auto"/>
              <w:rPr>
                <w:rFonts w:cstheme="minorHAnsi"/>
                <w:sz w:val="20"/>
                <w:szCs w:val="20"/>
              </w:rPr>
            </w:pPr>
            <w:r w:rsidRPr="00862EFB">
              <w:rPr>
                <w:rFonts w:cstheme="minorHAnsi"/>
                <w:sz w:val="20"/>
                <w:szCs w:val="20"/>
              </w:rPr>
              <w:t>100.6 (31.7)</w:t>
            </w:r>
          </w:p>
        </w:tc>
        <w:tc>
          <w:tcPr>
            <w:tcW w:w="1134" w:type="dxa"/>
          </w:tcPr>
          <w:p w14:paraId="00722C96" w14:textId="77777777" w:rsidR="008A7196" w:rsidRPr="00862EFB" w:rsidRDefault="008A7196" w:rsidP="00C169F5">
            <w:pPr>
              <w:spacing w:line="360" w:lineRule="auto"/>
              <w:rPr>
                <w:rFonts w:cstheme="minorHAnsi"/>
                <w:sz w:val="20"/>
                <w:szCs w:val="20"/>
              </w:rPr>
            </w:pPr>
            <w:r w:rsidRPr="00862EFB">
              <w:rPr>
                <w:rFonts w:cstheme="minorHAnsi"/>
                <w:sz w:val="20"/>
                <w:szCs w:val="20"/>
              </w:rPr>
              <w:t>116.2 (36.1)</w:t>
            </w:r>
          </w:p>
        </w:tc>
        <w:tc>
          <w:tcPr>
            <w:tcW w:w="1134" w:type="dxa"/>
          </w:tcPr>
          <w:p w14:paraId="37251CA2" w14:textId="77777777" w:rsidR="008A7196" w:rsidRPr="00862EFB" w:rsidRDefault="008A7196" w:rsidP="00C169F5">
            <w:pPr>
              <w:spacing w:line="360" w:lineRule="auto"/>
              <w:rPr>
                <w:rFonts w:cstheme="minorHAnsi"/>
                <w:sz w:val="20"/>
                <w:szCs w:val="20"/>
              </w:rPr>
            </w:pPr>
            <w:r w:rsidRPr="00862EFB">
              <w:rPr>
                <w:rFonts w:cstheme="minorHAnsi"/>
                <w:sz w:val="20"/>
                <w:szCs w:val="20"/>
              </w:rPr>
              <w:t>77.6 (14.6)</w:t>
            </w:r>
          </w:p>
        </w:tc>
        <w:tc>
          <w:tcPr>
            <w:tcW w:w="992" w:type="dxa"/>
          </w:tcPr>
          <w:p w14:paraId="25C837CA" w14:textId="77777777" w:rsidR="008A7196" w:rsidRPr="00862EFB" w:rsidRDefault="008A7196" w:rsidP="00C169F5">
            <w:pPr>
              <w:spacing w:line="360" w:lineRule="auto"/>
              <w:rPr>
                <w:rFonts w:cstheme="minorHAnsi"/>
                <w:sz w:val="20"/>
                <w:szCs w:val="20"/>
              </w:rPr>
            </w:pPr>
            <w:r w:rsidRPr="00862EFB">
              <w:rPr>
                <w:rFonts w:cstheme="minorHAnsi"/>
                <w:sz w:val="20"/>
                <w:szCs w:val="20"/>
              </w:rPr>
              <w:t>92.4 (27.4)</w:t>
            </w:r>
          </w:p>
        </w:tc>
        <w:tc>
          <w:tcPr>
            <w:tcW w:w="1276" w:type="dxa"/>
          </w:tcPr>
          <w:p w14:paraId="0D110386" w14:textId="77777777" w:rsidR="008A7196" w:rsidRPr="00862EFB" w:rsidRDefault="008A7196" w:rsidP="00C169F5">
            <w:pPr>
              <w:spacing w:line="360" w:lineRule="auto"/>
              <w:rPr>
                <w:rFonts w:cstheme="minorHAnsi"/>
                <w:sz w:val="20"/>
                <w:szCs w:val="20"/>
              </w:rPr>
            </w:pPr>
            <w:r w:rsidRPr="00862EFB">
              <w:rPr>
                <w:rFonts w:cstheme="minorHAnsi"/>
                <w:sz w:val="20"/>
                <w:szCs w:val="20"/>
              </w:rPr>
              <w:t>86.1 (21.11)</w:t>
            </w:r>
          </w:p>
        </w:tc>
        <w:tc>
          <w:tcPr>
            <w:tcW w:w="992" w:type="dxa"/>
          </w:tcPr>
          <w:p w14:paraId="60C0D590" w14:textId="77777777" w:rsidR="008A7196" w:rsidRPr="00862EFB" w:rsidRDefault="008A7196" w:rsidP="00C169F5">
            <w:pPr>
              <w:spacing w:line="360" w:lineRule="auto"/>
              <w:rPr>
                <w:rFonts w:cstheme="minorHAnsi"/>
                <w:sz w:val="20"/>
                <w:szCs w:val="20"/>
              </w:rPr>
            </w:pPr>
            <w:r w:rsidRPr="00862EFB">
              <w:rPr>
                <w:rFonts w:cstheme="minorHAnsi"/>
                <w:sz w:val="20"/>
                <w:szCs w:val="20"/>
              </w:rPr>
              <w:t>103.1 (13.1)</w:t>
            </w:r>
          </w:p>
        </w:tc>
        <w:tc>
          <w:tcPr>
            <w:tcW w:w="893" w:type="dxa"/>
          </w:tcPr>
          <w:p w14:paraId="60CDE3C1" w14:textId="77777777" w:rsidR="008A7196" w:rsidRPr="00862EFB" w:rsidRDefault="008A7196" w:rsidP="00C169F5">
            <w:pPr>
              <w:spacing w:line="360" w:lineRule="auto"/>
              <w:rPr>
                <w:rFonts w:cstheme="minorHAnsi"/>
                <w:sz w:val="20"/>
                <w:szCs w:val="20"/>
              </w:rPr>
            </w:pPr>
            <w:r w:rsidRPr="00862EFB">
              <w:rPr>
                <w:rFonts w:cstheme="minorHAnsi"/>
                <w:sz w:val="20"/>
                <w:szCs w:val="20"/>
              </w:rPr>
              <w:t>61.8 (8.9)</w:t>
            </w:r>
          </w:p>
        </w:tc>
        <w:tc>
          <w:tcPr>
            <w:tcW w:w="901" w:type="dxa"/>
          </w:tcPr>
          <w:p w14:paraId="55A75946" w14:textId="77777777" w:rsidR="008A7196" w:rsidRPr="00862EFB" w:rsidRDefault="008A7196" w:rsidP="00C169F5">
            <w:pPr>
              <w:spacing w:line="360" w:lineRule="auto"/>
              <w:rPr>
                <w:rFonts w:cstheme="minorHAnsi"/>
                <w:sz w:val="20"/>
                <w:szCs w:val="20"/>
              </w:rPr>
            </w:pPr>
            <w:r w:rsidRPr="00862EFB">
              <w:rPr>
                <w:rFonts w:cstheme="minorHAnsi"/>
                <w:sz w:val="20"/>
                <w:szCs w:val="20"/>
              </w:rPr>
              <w:t>76.4</w:t>
            </w:r>
          </w:p>
          <w:p w14:paraId="1018BD6E" w14:textId="77777777" w:rsidR="008A7196" w:rsidRPr="00862EFB" w:rsidRDefault="008A7196" w:rsidP="00C169F5">
            <w:pPr>
              <w:spacing w:line="360" w:lineRule="auto"/>
              <w:rPr>
                <w:rFonts w:cstheme="minorHAnsi"/>
                <w:sz w:val="20"/>
                <w:szCs w:val="20"/>
              </w:rPr>
            </w:pPr>
            <w:r w:rsidRPr="00862EFB">
              <w:rPr>
                <w:rFonts w:cstheme="minorHAnsi"/>
                <w:sz w:val="20"/>
                <w:szCs w:val="20"/>
              </w:rPr>
              <w:t xml:space="preserve"> (0.07)</w:t>
            </w:r>
          </w:p>
        </w:tc>
      </w:tr>
      <w:tr w:rsidR="008A7196" w:rsidRPr="00862EFB" w14:paraId="3F32DC8C" w14:textId="77777777" w:rsidTr="00C169F5">
        <w:trPr>
          <w:trHeight w:val="912"/>
        </w:trPr>
        <w:tc>
          <w:tcPr>
            <w:tcW w:w="2096" w:type="dxa"/>
          </w:tcPr>
          <w:p w14:paraId="35DA7903" w14:textId="77777777" w:rsidR="008A7196" w:rsidRPr="00862EFB" w:rsidRDefault="008A7196" w:rsidP="00C169F5">
            <w:pPr>
              <w:spacing w:line="360" w:lineRule="auto"/>
              <w:rPr>
                <w:rFonts w:cstheme="minorHAnsi"/>
                <w:sz w:val="20"/>
                <w:szCs w:val="20"/>
              </w:rPr>
            </w:pPr>
            <w:r w:rsidRPr="00862EFB">
              <w:rPr>
                <w:rFonts w:cstheme="minorHAnsi"/>
                <w:sz w:val="20"/>
                <w:szCs w:val="20"/>
              </w:rPr>
              <w:t>Protein adjusted for body weight</w:t>
            </w:r>
          </w:p>
        </w:tc>
        <w:tc>
          <w:tcPr>
            <w:tcW w:w="1301" w:type="dxa"/>
          </w:tcPr>
          <w:p w14:paraId="19613F62" w14:textId="77777777" w:rsidR="008A7196" w:rsidRPr="00862EFB" w:rsidRDefault="008A7196" w:rsidP="00C169F5">
            <w:pPr>
              <w:spacing w:line="360" w:lineRule="auto"/>
              <w:rPr>
                <w:rFonts w:cstheme="minorHAnsi"/>
                <w:sz w:val="20"/>
                <w:szCs w:val="20"/>
              </w:rPr>
            </w:pPr>
            <w:r w:rsidRPr="00862EFB">
              <w:rPr>
                <w:rFonts w:cstheme="minorHAnsi"/>
                <w:sz w:val="20"/>
                <w:szCs w:val="20"/>
              </w:rPr>
              <w:t>1.14 (0.33)</w:t>
            </w:r>
          </w:p>
        </w:tc>
        <w:tc>
          <w:tcPr>
            <w:tcW w:w="1276" w:type="dxa"/>
          </w:tcPr>
          <w:p w14:paraId="42C95D88" w14:textId="77777777" w:rsidR="008A7196" w:rsidRPr="00862EFB" w:rsidRDefault="008A7196" w:rsidP="00C169F5">
            <w:pPr>
              <w:spacing w:line="360" w:lineRule="auto"/>
              <w:rPr>
                <w:rFonts w:cstheme="minorHAnsi"/>
                <w:sz w:val="20"/>
                <w:szCs w:val="20"/>
              </w:rPr>
            </w:pPr>
            <w:r w:rsidRPr="00862EFB">
              <w:rPr>
                <w:rFonts w:cstheme="minorHAnsi"/>
                <w:sz w:val="20"/>
                <w:szCs w:val="20"/>
              </w:rPr>
              <w:t>1.28 (0.33)</w:t>
            </w:r>
          </w:p>
        </w:tc>
        <w:tc>
          <w:tcPr>
            <w:tcW w:w="992" w:type="dxa"/>
          </w:tcPr>
          <w:p w14:paraId="4215F675" w14:textId="77777777" w:rsidR="008A7196" w:rsidRPr="00862EFB" w:rsidRDefault="008A7196" w:rsidP="00C169F5">
            <w:pPr>
              <w:spacing w:line="360" w:lineRule="auto"/>
              <w:rPr>
                <w:rFonts w:cstheme="minorHAnsi"/>
                <w:sz w:val="20"/>
                <w:szCs w:val="20"/>
              </w:rPr>
            </w:pPr>
            <w:r w:rsidRPr="00862EFB">
              <w:rPr>
                <w:rFonts w:cstheme="minorHAnsi"/>
                <w:sz w:val="20"/>
                <w:szCs w:val="20"/>
              </w:rPr>
              <w:t>0.98 (0.54)</w:t>
            </w:r>
          </w:p>
        </w:tc>
        <w:tc>
          <w:tcPr>
            <w:tcW w:w="1134" w:type="dxa"/>
          </w:tcPr>
          <w:p w14:paraId="5F9CCE5A" w14:textId="77777777" w:rsidR="008A7196" w:rsidRPr="00862EFB" w:rsidRDefault="008A7196" w:rsidP="00C169F5">
            <w:pPr>
              <w:spacing w:line="360" w:lineRule="auto"/>
              <w:rPr>
                <w:rFonts w:cstheme="minorHAnsi"/>
                <w:sz w:val="20"/>
                <w:szCs w:val="20"/>
              </w:rPr>
            </w:pPr>
            <w:r w:rsidRPr="00862EFB">
              <w:rPr>
                <w:rFonts w:cstheme="minorHAnsi"/>
                <w:sz w:val="20"/>
                <w:szCs w:val="20"/>
              </w:rPr>
              <w:t>1.02 (0.04)</w:t>
            </w:r>
          </w:p>
        </w:tc>
        <w:tc>
          <w:tcPr>
            <w:tcW w:w="1276" w:type="dxa"/>
          </w:tcPr>
          <w:p w14:paraId="1DA54976" w14:textId="77777777" w:rsidR="008A7196" w:rsidRPr="00862EFB" w:rsidRDefault="008A7196" w:rsidP="00C169F5">
            <w:pPr>
              <w:spacing w:line="360" w:lineRule="auto"/>
              <w:rPr>
                <w:rFonts w:cstheme="minorHAnsi"/>
                <w:sz w:val="20"/>
                <w:szCs w:val="20"/>
              </w:rPr>
            </w:pPr>
            <w:r w:rsidRPr="00862EFB">
              <w:rPr>
                <w:rFonts w:cstheme="minorHAnsi"/>
                <w:sz w:val="20"/>
                <w:szCs w:val="20"/>
              </w:rPr>
              <w:t>0.94 (0.53)</w:t>
            </w:r>
          </w:p>
        </w:tc>
        <w:tc>
          <w:tcPr>
            <w:tcW w:w="1134" w:type="dxa"/>
          </w:tcPr>
          <w:p w14:paraId="68FFE385" w14:textId="77777777" w:rsidR="008A7196" w:rsidRPr="00862EFB" w:rsidRDefault="008A7196" w:rsidP="00C169F5">
            <w:pPr>
              <w:spacing w:line="360" w:lineRule="auto"/>
              <w:rPr>
                <w:rFonts w:cstheme="minorHAnsi"/>
                <w:sz w:val="20"/>
                <w:szCs w:val="20"/>
              </w:rPr>
            </w:pPr>
            <w:r w:rsidRPr="00862EFB">
              <w:rPr>
                <w:rFonts w:cstheme="minorHAnsi"/>
                <w:sz w:val="20"/>
                <w:szCs w:val="20"/>
              </w:rPr>
              <w:t>1.10 (0.44)</w:t>
            </w:r>
          </w:p>
        </w:tc>
        <w:tc>
          <w:tcPr>
            <w:tcW w:w="1134" w:type="dxa"/>
          </w:tcPr>
          <w:p w14:paraId="3BC8533D" w14:textId="77777777" w:rsidR="008A7196" w:rsidRPr="00862EFB" w:rsidRDefault="008A7196" w:rsidP="00C169F5">
            <w:pPr>
              <w:spacing w:line="360" w:lineRule="auto"/>
              <w:rPr>
                <w:rFonts w:cstheme="minorHAnsi"/>
                <w:sz w:val="20"/>
                <w:szCs w:val="20"/>
              </w:rPr>
            </w:pPr>
            <w:r w:rsidRPr="00862EFB">
              <w:rPr>
                <w:rFonts w:cstheme="minorHAnsi"/>
                <w:sz w:val="20"/>
                <w:szCs w:val="20"/>
              </w:rPr>
              <w:t>0.92 (0.30)</w:t>
            </w:r>
          </w:p>
        </w:tc>
        <w:tc>
          <w:tcPr>
            <w:tcW w:w="992" w:type="dxa"/>
          </w:tcPr>
          <w:p w14:paraId="0F2E108C" w14:textId="77777777" w:rsidR="008A7196" w:rsidRPr="00862EFB" w:rsidRDefault="008A7196" w:rsidP="00C169F5">
            <w:pPr>
              <w:spacing w:line="360" w:lineRule="auto"/>
              <w:rPr>
                <w:rFonts w:cstheme="minorHAnsi"/>
                <w:sz w:val="20"/>
                <w:szCs w:val="20"/>
              </w:rPr>
            </w:pPr>
            <w:r w:rsidRPr="00862EFB">
              <w:rPr>
                <w:rFonts w:cstheme="minorHAnsi"/>
                <w:sz w:val="20"/>
                <w:szCs w:val="20"/>
              </w:rPr>
              <w:t>1.36 (0.40)</w:t>
            </w:r>
          </w:p>
        </w:tc>
        <w:tc>
          <w:tcPr>
            <w:tcW w:w="1276" w:type="dxa"/>
          </w:tcPr>
          <w:p w14:paraId="753D85FA" w14:textId="77777777" w:rsidR="008A7196" w:rsidRPr="00862EFB" w:rsidRDefault="008A7196" w:rsidP="00C169F5">
            <w:pPr>
              <w:spacing w:line="360" w:lineRule="auto"/>
              <w:rPr>
                <w:rFonts w:cstheme="minorHAnsi"/>
                <w:sz w:val="20"/>
                <w:szCs w:val="20"/>
              </w:rPr>
            </w:pPr>
            <w:r w:rsidRPr="00862EFB">
              <w:rPr>
                <w:rFonts w:cstheme="minorHAnsi"/>
                <w:sz w:val="20"/>
                <w:szCs w:val="20"/>
              </w:rPr>
              <w:t>0.92 (0.21)</w:t>
            </w:r>
          </w:p>
        </w:tc>
        <w:tc>
          <w:tcPr>
            <w:tcW w:w="992" w:type="dxa"/>
          </w:tcPr>
          <w:p w14:paraId="5449ADB9" w14:textId="77777777" w:rsidR="008A7196" w:rsidRPr="00862EFB" w:rsidRDefault="008A7196" w:rsidP="00C169F5">
            <w:pPr>
              <w:spacing w:line="360" w:lineRule="auto"/>
              <w:rPr>
                <w:rFonts w:cstheme="minorHAnsi"/>
                <w:sz w:val="20"/>
                <w:szCs w:val="20"/>
              </w:rPr>
            </w:pPr>
            <w:r w:rsidRPr="00862EFB">
              <w:rPr>
                <w:rFonts w:cstheme="minorHAnsi"/>
                <w:sz w:val="20"/>
                <w:szCs w:val="20"/>
              </w:rPr>
              <w:t>0.94 (0.18)</w:t>
            </w:r>
          </w:p>
        </w:tc>
        <w:tc>
          <w:tcPr>
            <w:tcW w:w="893" w:type="dxa"/>
          </w:tcPr>
          <w:p w14:paraId="299A6D3F" w14:textId="77777777" w:rsidR="008A7196" w:rsidRPr="00862EFB" w:rsidRDefault="008A7196" w:rsidP="00C169F5">
            <w:pPr>
              <w:spacing w:line="360" w:lineRule="auto"/>
              <w:rPr>
                <w:rFonts w:cstheme="minorHAnsi"/>
                <w:sz w:val="20"/>
                <w:szCs w:val="20"/>
              </w:rPr>
            </w:pPr>
            <w:r w:rsidRPr="00862EFB">
              <w:rPr>
                <w:rFonts w:cstheme="minorHAnsi"/>
                <w:sz w:val="20"/>
                <w:szCs w:val="20"/>
              </w:rPr>
              <w:t>0.67 (0.06)</w:t>
            </w:r>
          </w:p>
        </w:tc>
        <w:tc>
          <w:tcPr>
            <w:tcW w:w="901" w:type="dxa"/>
          </w:tcPr>
          <w:p w14:paraId="245DD7F7" w14:textId="77777777" w:rsidR="008A7196" w:rsidRPr="00862EFB" w:rsidRDefault="008A7196" w:rsidP="00C169F5">
            <w:pPr>
              <w:spacing w:line="360" w:lineRule="auto"/>
              <w:rPr>
                <w:rFonts w:cstheme="minorHAnsi"/>
                <w:sz w:val="20"/>
                <w:szCs w:val="20"/>
              </w:rPr>
            </w:pPr>
            <w:r w:rsidRPr="00862EFB">
              <w:rPr>
                <w:rFonts w:cstheme="minorHAnsi"/>
                <w:sz w:val="20"/>
                <w:szCs w:val="20"/>
              </w:rPr>
              <w:t>1.12 (0.00)</w:t>
            </w:r>
          </w:p>
        </w:tc>
      </w:tr>
      <w:tr w:rsidR="008A7196" w:rsidRPr="00862EFB" w14:paraId="1EA30A0F" w14:textId="77777777" w:rsidTr="00C169F5">
        <w:trPr>
          <w:trHeight w:val="1044"/>
        </w:trPr>
        <w:tc>
          <w:tcPr>
            <w:tcW w:w="2096" w:type="dxa"/>
          </w:tcPr>
          <w:p w14:paraId="1D43BB15" w14:textId="77777777" w:rsidR="008A7196" w:rsidRPr="00862EFB" w:rsidRDefault="008A7196" w:rsidP="00C169F5">
            <w:pPr>
              <w:spacing w:line="360" w:lineRule="auto"/>
              <w:rPr>
                <w:rFonts w:cstheme="minorHAnsi"/>
                <w:sz w:val="20"/>
                <w:szCs w:val="20"/>
              </w:rPr>
            </w:pPr>
            <w:r w:rsidRPr="00862EFB">
              <w:rPr>
                <w:rFonts w:cstheme="minorHAnsi"/>
                <w:sz w:val="20"/>
                <w:szCs w:val="20"/>
              </w:rPr>
              <w:t>Protein adjusted for body weight plus supplement</w:t>
            </w:r>
          </w:p>
        </w:tc>
        <w:tc>
          <w:tcPr>
            <w:tcW w:w="1301" w:type="dxa"/>
          </w:tcPr>
          <w:p w14:paraId="4A6CCE66"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1276" w:type="dxa"/>
          </w:tcPr>
          <w:p w14:paraId="4B36FA9E"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992" w:type="dxa"/>
          </w:tcPr>
          <w:p w14:paraId="173957E4"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1134" w:type="dxa"/>
          </w:tcPr>
          <w:p w14:paraId="0DED8D2A" w14:textId="77777777" w:rsidR="008A7196" w:rsidRPr="00862EFB" w:rsidRDefault="008A7196" w:rsidP="00C169F5">
            <w:pPr>
              <w:spacing w:line="360" w:lineRule="auto"/>
              <w:rPr>
                <w:rFonts w:cstheme="minorHAnsi"/>
                <w:sz w:val="20"/>
                <w:szCs w:val="20"/>
              </w:rPr>
            </w:pPr>
            <w:r w:rsidRPr="00862EFB">
              <w:rPr>
                <w:rFonts w:cstheme="minorHAnsi"/>
                <w:sz w:val="20"/>
                <w:szCs w:val="20"/>
              </w:rPr>
              <w:t>-</w:t>
            </w:r>
          </w:p>
        </w:tc>
        <w:tc>
          <w:tcPr>
            <w:tcW w:w="1276" w:type="dxa"/>
          </w:tcPr>
          <w:p w14:paraId="6D4D34BC" w14:textId="77777777" w:rsidR="008A7196" w:rsidRPr="00862EFB" w:rsidRDefault="008A7196" w:rsidP="00C169F5">
            <w:pPr>
              <w:spacing w:line="360" w:lineRule="auto"/>
              <w:rPr>
                <w:rFonts w:cstheme="minorHAnsi"/>
                <w:sz w:val="20"/>
                <w:szCs w:val="20"/>
              </w:rPr>
            </w:pPr>
            <w:r w:rsidRPr="00862EFB">
              <w:rPr>
                <w:rFonts w:cstheme="minorHAnsi"/>
                <w:sz w:val="20"/>
                <w:szCs w:val="20"/>
              </w:rPr>
              <w:t>1.36 (0.37)</w:t>
            </w:r>
          </w:p>
        </w:tc>
        <w:tc>
          <w:tcPr>
            <w:tcW w:w="1134" w:type="dxa"/>
          </w:tcPr>
          <w:p w14:paraId="45ECFE24" w14:textId="77777777" w:rsidR="008A7196" w:rsidRPr="00862EFB" w:rsidRDefault="008A7196" w:rsidP="00C169F5">
            <w:pPr>
              <w:spacing w:line="360" w:lineRule="auto"/>
              <w:rPr>
                <w:rFonts w:cstheme="minorHAnsi"/>
                <w:sz w:val="20"/>
                <w:szCs w:val="20"/>
              </w:rPr>
            </w:pPr>
            <w:r w:rsidRPr="00862EFB">
              <w:rPr>
                <w:rFonts w:cstheme="minorHAnsi"/>
                <w:sz w:val="20"/>
                <w:szCs w:val="20"/>
              </w:rPr>
              <w:t>1.55 (0.53)</w:t>
            </w:r>
          </w:p>
        </w:tc>
        <w:tc>
          <w:tcPr>
            <w:tcW w:w="1134" w:type="dxa"/>
          </w:tcPr>
          <w:p w14:paraId="2FDE9002" w14:textId="77777777" w:rsidR="008A7196" w:rsidRPr="00862EFB" w:rsidRDefault="008A7196" w:rsidP="00C169F5">
            <w:pPr>
              <w:spacing w:line="360" w:lineRule="auto"/>
              <w:rPr>
                <w:rFonts w:cstheme="minorHAnsi"/>
                <w:sz w:val="20"/>
                <w:szCs w:val="20"/>
              </w:rPr>
            </w:pPr>
            <w:r w:rsidRPr="00862EFB">
              <w:rPr>
                <w:rFonts w:cstheme="minorHAnsi"/>
                <w:sz w:val="20"/>
                <w:szCs w:val="20"/>
              </w:rPr>
              <w:t>1.13 (0.32)</w:t>
            </w:r>
          </w:p>
        </w:tc>
        <w:tc>
          <w:tcPr>
            <w:tcW w:w="992" w:type="dxa"/>
          </w:tcPr>
          <w:p w14:paraId="084769E8" w14:textId="77777777" w:rsidR="008A7196" w:rsidRPr="00862EFB" w:rsidRDefault="008A7196" w:rsidP="00C169F5">
            <w:pPr>
              <w:spacing w:line="360" w:lineRule="auto"/>
              <w:rPr>
                <w:rFonts w:cstheme="minorHAnsi"/>
                <w:sz w:val="20"/>
                <w:szCs w:val="20"/>
              </w:rPr>
            </w:pPr>
            <w:r w:rsidRPr="00862EFB">
              <w:rPr>
                <w:rFonts w:cstheme="minorHAnsi"/>
                <w:sz w:val="20"/>
                <w:szCs w:val="20"/>
              </w:rPr>
              <w:t>1.36 (0.40)</w:t>
            </w:r>
          </w:p>
        </w:tc>
        <w:tc>
          <w:tcPr>
            <w:tcW w:w="1276" w:type="dxa"/>
          </w:tcPr>
          <w:p w14:paraId="36B6A034" w14:textId="77777777" w:rsidR="008A7196" w:rsidRPr="00862EFB" w:rsidRDefault="008A7196" w:rsidP="00C169F5">
            <w:pPr>
              <w:spacing w:line="360" w:lineRule="auto"/>
              <w:rPr>
                <w:rFonts w:cstheme="minorHAnsi"/>
                <w:sz w:val="20"/>
                <w:szCs w:val="20"/>
              </w:rPr>
            </w:pPr>
            <w:r w:rsidRPr="00862EFB">
              <w:rPr>
                <w:rFonts w:cstheme="minorHAnsi"/>
                <w:sz w:val="20"/>
                <w:szCs w:val="20"/>
              </w:rPr>
              <w:t>1.16 (0.23)</w:t>
            </w:r>
          </w:p>
        </w:tc>
        <w:tc>
          <w:tcPr>
            <w:tcW w:w="992" w:type="dxa"/>
          </w:tcPr>
          <w:p w14:paraId="172CCA34" w14:textId="77777777" w:rsidR="008A7196" w:rsidRPr="00862EFB" w:rsidRDefault="008A7196" w:rsidP="00C169F5">
            <w:pPr>
              <w:spacing w:line="360" w:lineRule="auto"/>
              <w:rPr>
                <w:rFonts w:cstheme="minorHAnsi"/>
                <w:sz w:val="20"/>
                <w:szCs w:val="20"/>
              </w:rPr>
            </w:pPr>
            <w:r w:rsidRPr="00862EFB">
              <w:rPr>
                <w:rFonts w:cstheme="minorHAnsi"/>
                <w:sz w:val="20"/>
                <w:szCs w:val="20"/>
              </w:rPr>
              <w:t>1.25 (0.17)</w:t>
            </w:r>
          </w:p>
        </w:tc>
        <w:tc>
          <w:tcPr>
            <w:tcW w:w="893" w:type="dxa"/>
          </w:tcPr>
          <w:p w14:paraId="2C55E22B" w14:textId="77777777" w:rsidR="008A7196" w:rsidRPr="00862EFB" w:rsidRDefault="008A7196" w:rsidP="00C169F5">
            <w:pPr>
              <w:spacing w:line="360" w:lineRule="auto"/>
              <w:rPr>
                <w:rFonts w:cstheme="minorHAnsi"/>
                <w:sz w:val="20"/>
                <w:szCs w:val="20"/>
              </w:rPr>
            </w:pPr>
            <w:r w:rsidRPr="00862EFB">
              <w:rPr>
                <w:rFonts w:cstheme="minorHAnsi"/>
                <w:sz w:val="20"/>
                <w:szCs w:val="20"/>
              </w:rPr>
              <w:t>0.89 (0.04)</w:t>
            </w:r>
          </w:p>
        </w:tc>
        <w:tc>
          <w:tcPr>
            <w:tcW w:w="901" w:type="dxa"/>
          </w:tcPr>
          <w:p w14:paraId="75D244B7" w14:textId="77777777" w:rsidR="008A7196" w:rsidRPr="00862EFB" w:rsidRDefault="008A7196" w:rsidP="00C169F5">
            <w:pPr>
              <w:spacing w:line="360" w:lineRule="auto"/>
              <w:rPr>
                <w:rFonts w:cstheme="minorHAnsi"/>
                <w:sz w:val="20"/>
                <w:szCs w:val="20"/>
              </w:rPr>
            </w:pPr>
            <w:r w:rsidRPr="00862EFB">
              <w:rPr>
                <w:rFonts w:cstheme="minorHAnsi"/>
                <w:sz w:val="20"/>
                <w:szCs w:val="20"/>
              </w:rPr>
              <w:t>1.12 (0.00)</w:t>
            </w:r>
          </w:p>
        </w:tc>
      </w:tr>
    </w:tbl>
    <w:p w14:paraId="6FC59260" w14:textId="77777777" w:rsidR="008A7196" w:rsidRPr="00862EFB" w:rsidRDefault="008A7196" w:rsidP="008A7196">
      <w:pPr>
        <w:spacing w:line="360" w:lineRule="auto"/>
        <w:rPr>
          <w:rFonts w:cstheme="minorHAnsi"/>
        </w:rPr>
      </w:pPr>
    </w:p>
    <w:p w14:paraId="098D5E2C" w14:textId="6007C907" w:rsidR="008A7196" w:rsidRPr="00862EFB" w:rsidRDefault="008A7196" w:rsidP="008A7196">
      <w:pPr>
        <w:spacing w:line="360" w:lineRule="auto"/>
        <w:rPr>
          <w:rFonts w:cstheme="minorHAnsi"/>
        </w:rPr>
        <w:sectPr w:rsidR="008A7196" w:rsidRPr="00862EFB" w:rsidSect="00724452">
          <w:pgSz w:w="16840" w:h="11900" w:orient="landscape"/>
          <w:pgMar w:top="1440" w:right="1440" w:bottom="1440" w:left="1440" w:header="708" w:footer="708" w:gutter="0"/>
          <w:cols w:space="708"/>
          <w:docGrid w:linePitch="360"/>
        </w:sectPr>
      </w:pPr>
      <w:r w:rsidRPr="00862EFB">
        <w:rPr>
          <w:rFonts w:cstheme="minorHAnsi"/>
        </w:rPr>
        <w:t>Average (mean (SD)) protein, fat, carbohydrate and energy intakes of all participants at week 0, week 3 and week 6 of the trial, split by participant assignment ar</w:t>
      </w:r>
      <w:r w:rsidR="00125156">
        <w:rPr>
          <w:rFonts w:cstheme="minorHAnsi"/>
        </w:rPr>
        <w:t>ms.</w:t>
      </w:r>
    </w:p>
    <w:p w14:paraId="711558AB" w14:textId="7C535F3C" w:rsidR="000E3308" w:rsidRPr="00CA4ABC" w:rsidRDefault="000E3308" w:rsidP="009A7681">
      <w:pPr>
        <w:widowControl w:val="0"/>
        <w:autoSpaceDE w:val="0"/>
        <w:autoSpaceDN w:val="0"/>
        <w:adjustRightInd w:val="0"/>
        <w:rPr>
          <w:rFonts w:cstheme="minorHAnsi"/>
        </w:rPr>
      </w:pPr>
    </w:p>
    <w:sectPr w:rsidR="000E3308" w:rsidRPr="00CA4ABC" w:rsidSect="009E173A">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4D4B5D" w14:textId="77777777" w:rsidR="00EB542D" w:rsidRDefault="00EB542D" w:rsidP="00C0322D">
      <w:r>
        <w:separator/>
      </w:r>
    </w:p>
  </w:endnote>
  <w:endnote w:type="continuationSeparator" w:id="0">
    <w:p w14:paraId="476809F8" w14:textId="77777777" w:rsidR="00EB542D" w:rsidRDefault="00EB542D" w:rsidP="00C032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Lato">
    <w:altName w:val="Calibri"/>
    <w:panose1 w:val="020B0604020202020204"/>
    <w:charset w:val="00"/>
    <w:family w:val="swiss"/>
    <w:pitch w:val="variable"/>
    <w:sig w:usb0="E10002FF" w:usb1="5000ECFF" w:usb2="00000021" w:usb3="00000000" w:csb0="0000019F" w:csb1="00000000"/>
  </w:font>
  <w:font w:name="Segoe UI">
    <w:altName w:val="Arial"/>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 w:name="Cambria Math">
    <w:panose1 w:val="02040503050406030204"/>
    <w:charset w:val="00"/>
    <w:family w:val="roman"/>
    <w:pitch w:val="variable"/>
    <w:sig w:usb0="E00002FF" w:usb1="420024FF" w:usb2="00000000" w:usb3="00000000" w:csb0="0000019F" w:csb1="00000000"/>
  </w:font>
  <w:font w:name="Gungsuh">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TUOS Stephenson">
    <w:altName w:val="Cambria"/>
    <w:panose1 w:val="020B0604020202020204"/>
    <w:charset w:val="00"/>
    <w:family w:val="roman"/>
    <w:pitch w:val="variable"/>
    <w:sig w:usb0="8000002F" w:usb1="4000004A" w:usb2="00000000" w:usb3="00000000" w:csb0="00000011" w:csb1="00000000"/>
  </w:font>
  <w:font w:name="TUOS Blake">
    <w:altName w:val="Arial"/>
    <w:panose1 w:val="020B0604020202020204"/>
    <w:charset w:val="00"/>
    <w:family w:val="swiss"/>
    <w:pitch w:val="variable"/>
    <w:sig w:usb0="8000002F" w:usb1="4000004A" w:usb2="00000000" w:usb3="00000000" w:csb0="00000001" w:csb1="00000000"/>
  </w:font>
  <w:font w:name="Roboto">
    <w:panose1 w:val="020B0604020202020204"/>
    <w:charset w:val="00"/>
    <w:family w:val="auto"/>
    <w:pitch w:val="variable"/>
    <w:sig w:usb0="E0000AFF" w:usb1="5000217F" w:usb2="00000021" w:usb3="00000000" w:csb0="0000019F" w:csb1="00000000"/>
  </w:font>
  <w:font w:name="Helvetica Neue">
    <w:panose1 w:val="02000503000000020004"/>
    <w:charset w:val="00"/>
    <w:family w:val="auto"/>
    <w:pitch w:val="variable"/>
    <w:sig w:usb0="E50002FF" w:usb1="500079DB" w:usb2="0000001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74159580"/>
      <w:docPartObj>
        <w:docPartGallery w:val="Page Numbers (Bottom of Page)"/>
        <w:docPartUnique/>
      </w:docPartObj>
    </w:sdtPr>
    <w:sdtEndPr>
      <w:rPr>
        <w:rStyle w:val="PageNumber"/>
      </w:rPr>
    </w:sdtEndPr>
    <w:sdtContent>
      <w:p w14:paraId="2B43E9B3" w14:textId="1137F8E2" w:rsidR="00C0322D" w:rsidRDefault="00C0322D" w:rsidP="009E17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0446CD70" w14:textId="77777777" w:rsidR="00C0322D" w:rsidRDefault="00C0322D" w:rsidP="00C0322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07864394"/>
      <w:docPartObj>
        <w:docPartGallery w:val="Page Numbers (Bottom of Page)"/>
        <w:docPartUnique/>
      </w:docPartObj>
    </w:sdtPr>
    <w:sdtEndPr>
      <w:rPr>
        <w:rStyle w:val="PageNumber"/>
      </w:rPr>
    </w:sdtEndPr>
    <w:sdtContent>
      <w:p w14:paraId="51CFC67C" w14:textId="7408F8DC" w:rsidR="00C0322D" w:rsidRDefault="00C0322D" w:rsidP="009E17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1341CA" w14:textId="77777777" w:rsidR="00C0322D" w:rsidRDefault="00C0322D" w:rsidP="00C0322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8C745B" w14:textId="77777777" w:rsidR="00EB542D" w:rsidRDefault="00EB542D" w:rsidP="00C0322D">
      <w:r>
        <w:separator/>
      </w:r>
    </w:p>
  </w:footnote>
  <w:footnote w:type="continuationSeparator" w:id="0">
    <w:p w14:paraId="5CA4F550" w14:textId="77777777" w:rsidR="00EB542D" w:rsidRDefault="00EB542D" w:rsidP="00C032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50894"/>
    <w:multiLevelType w:val="hybridMultilevel"/>
    <w:tmpl w:val="990AB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F00213"/>
    <w:multiLevelType w:val="multilevel"/>
    <w:tmpl w:val="655A8C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C63B55"/>
    <w:multiLevelType w:val="multilevel"/>
    <w:tmpl w:val="C88A0202"/>
    <w:lvl w:ilvl="0">
      <w:start w:val="1"/>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75734C2"/>
    <w:multiLevelType w:val="multilevel"/>
    <w:tmpl w:val="8A9629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A424C3"/>
    <w:multiLevelType w:val="hybridMultilevel"/>
    <w:tmpl w:val="FC562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F23F4A"/>
    <w:multiLevelType w:val="multilevel"/>
    <w:tmpl w:val="91EEDE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C007B38"/>
    <w:multiLevelType w:val="hybridMultilevel"/>
    <w:tmpl w:val="AF0CD3E4"/>
    <w:lvl w:ilvl="0" w:tplc="2CFAE74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C82051F"/>
    <w:multiLevelType w:val="hybridMultilevel"/>
    <w:tmpl w:val="533483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8A5455"/>
    <w:multiLevelType w:val="hybridMultilevel"/>
    <w:tmpl w:val="8DB4D65C"/>
    <w:lvl w:ilvl="0" w:tplc="5438514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01111A9"/>
    <w:multiLevelType w:val="hybridMultilevel"/>
    <w:tmpl w:val="F910A2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1004F61"/>
    <w:multiLevelType w:val="multilevel"/>
    <w:tmpl w:val="1742C4C8"/>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4412F1C"/>
    <w:multiLevelType w:val="multilevel"/>
    <w:tmpl w:val="E068B1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4A075CA"/>
    <w:multiLevelType w:val="hybridMultilevel"/>
    <w:tmpl w:val="0F6CF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4CD3A7F"/>
    <w:multiLevelType w:val="hybridMultilevel"/>
    <w:tmpl w:val="CBBC74C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77773C"/>
    <w:multiLevelType w:val="multilevel"/>
    <w:tmpl w:val="115E7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7EB4403"/>
    <w:multiLevelType w:val="hybridMultilevel"/>
    <w:tmpl w:val="C2BAE0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C994F67"/>
    <w:multiLevelType w:val="multilevel"/>
    <w:tmpl w:val="E6B07F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1CCB3E8C"/>
    <w:multiLevelType w:val="hybridMultilevel"/>
    <w:tmpl w:val="7FB23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D365B3B"/>
    <w:multiLevelType w:val="multilevel"/>
    <w:tmpl w:val="687CCFD0"/>
    <w:lvl w:ilvl="0">
      <w:start w:val="1"/>
      <w:numFmt w:val="decimal"/>
      <w:lvlText w:val="%1."/>
      <w:lvlJc w:val="left"/>
      <w:pPr>
        <w:ind w:left="720" w:hanging="360"/>
      </w:pPr>
    </w:lvl>
    <w:lvl w:ilvl="1">
      <w:start w:val="4"/>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1EC9372B"/>
    <w:multiLevelType w:val="hybridMultilevel"/>
    <w:tmpl w:val="8E4EE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FDE4FA9"/>
    <w:multiLevelType w:val="hybridMultilevel"/>
    <w:tmpl w:val="3D869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FFC2B3B"/>
    <w:multiLevelType w:val="multilevel"/>
    <w:tmpl w:val="66122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04D5F4A"/>
    <w:multiLevelType w:val="hybridMultilevel"/>
    <w:tmpl w:val="C2BAE0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92C2C8C"/>
    <w:multiLevelType w:val="hybridMultilevel"/>
    <w:tmpl w:val="81DAECEE"/>
    <w:lvl w:ilvl="0" w:tplc="17E03BC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A80274E"/>
    <w:multiLevelType w:val="multilevel"/>
    <w:tmpl w:val="226CF5BE"/>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BC00E64"/>
    <w:multiLevelType w:val="multilevel"/>
    <w:tmpl w:val="6AC68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E036AB7"/>
    <w:multiLevelType w:val="hybridMultilevel"/>
    <w:tmpl w:val="8C5ACC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E1F0531"/>
    <w:multiLevelType w:val="hybridMultilevel"/>
    <w:tmpl w:val="4890497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2E594B5C"/>
    <w:multiLevelType w:val="hybridMultilevel"/>
    <w:tmpl w:val="B304401A"/>
    <w:lvl w:ilvl="0" w:tplc="5438514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2EA3725D"/>
    <w:multiLevelType w:val="multilevel"/>
    <w:tmpl w:val="6BA4FC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FF911A1"/>
    <w:multiLevelType w:val="hybridMultilevel"/>
    <w:tmpl w:val="7AB4EA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0A73D6C"/>
    <w:multiLevelType w:val="hybridMultilevel"/>
    <w:tmpl w:val="9D566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81A6FEC"/>
    <w:multiLevelType w:val="hybridMultilevel"/>
    <w:tmpl w:val="4C9EB7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3C623E2E"/>
    <w:multiLevelType w:val="multilevel"/>
    <w:tmpl w:val="482A0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F3D36C2"/>
    <w:multiLevelType w:val="hybridMultilevel"/>
    <w:tmpl w:val="D70A5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039790E"/>
    <w:multiLevelType w:val="hybridMultilevel"/>
    <w:tmpl w:val="B2FC051C"/>
    <w:lvl w:ilvl="0" w:tplc="0809000F">
      <w:start w:val="1"/>
      <w:numFmt w:val="decimal"/>
      <w:lvlText w:val="%1."/>
      <w:lvlJc w:val="left"/>
      <w:pPr>
        <w:ind w:left="644"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40B521D9"/>
    <w:multiLevelType w:val="hybridMultilevel"/>
    <w:tmpl w:val="9508F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67D7155"/>
    <w:multiLevelType w:val="multilevel"/>
    <w:tmpl w:val="0E788F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69620EC"/>
    <w:multiLevelType w:val="multilevel"/>
    <w:tmpl w:val="8722C2CC"/>
    <w:lvl w:ilvl="0">
      <w:start w:val="1"/>
      <w:numFmt w:val="decimal"/>
      <w:lvlText w:val="%1."/>
      <w:lvlJc w:val="left"/>
      <w:pPr>
        <w:ind w:left="720" w:hanging="360"/>
      </w:pPr>
      <w:rPr>
        <w:rFonts w:hint="default"/>
      </w:rPr>
    </w:lvl>
    <w:lvl w:ilvl="1">
      <w:start w:val="6"/>
      <w:numFmt w:val="decimal"/>
      <w:isLgl/>
      <w:lvlText w:val="%1.%2"/>
      <w:lvlJc w:val="left"/>
      <w:pPr>
        <w:ind w:left="400" w:hanging="400"/>
      </w:pPr>
      <w:rPr>
        <w:rFonts w:hint="default"/>
        <w:sz w:val="26"/>
      </w:rPr>
    </w:lvl>
    <w:lvl w:ilvl="2">
      <w:start w:val="1"/>
      <w:numFmt w:val="decimal"/>
      <w:isLgl/>
      <w:lvlText w:val="%1.%2.%3"/>
      <w:lvlJc w:val="left"/>
      <w:pPr>
        <w:ind w:left="1080" w:hanging="720"/>
      </w:pPr>
      <w:rPr>
        <w:rFonts w:hint="default"/>
        <w:sz w:val="26"/>
      </w:rPr>
    </w:lvl>
    <w:lvl w:ilvl="3">
      <w:start w:val="1"/>
      <w:numFmt w:val="decimal"/>
      <w:isLgl/>
      <w:lvlText w:val="%1.%2.%3.%4"/>
      <w:lvlJc w:val="left"/>
      <w:pPr>
        <w:ind w:left="1080" w:hanging="720"/>
      </w:pPr>
      <w:rPr>
        <w:rFonts w:hint="default"/>
        <w:sz w:val="26"/>
      </w:rPr>
    </w:lvl>
    <w:lvl w:ilvl="4">
      <w:start w:val="1"/>
      <w:numFmt w:val="decimal"/>
      <w:isLgl/>
      <w:lvlText w:val="%1.%2.%3.%4.%5"/>
      <w:lvlJc w:val="left"/>
      <w:pPr>
        <w:ind w:left="1440" w:hanging="1080"/>
      </w:pPr>
      <w:rPr>
        <w:rFonts w:hint="default"/>
        <w:sz w:val="26"/>
      </w:rPr>
    </w:lvl>
    <w:lvl w:ilvl="5">
      <w:start w:val="1"/>
      <w:numFmt w:val="decimal"/>
      <w:isLgl/>
      <w:lvlText w:val="%1.%2.%3.%4.%5.%6"/>
      <w:lvlJc w:val="left"/>
      <w:pPr>
        <w:ind w:left="1440" w:hanging="1080"/>
      </w:pPr>
      <w:rPr>
        <w:rFonts w:hint="default"/>
        <w:sz w:val="26"/>
      </w:rPr>
    </w:lvl>
    <w:lvl w:ilvl="6">
      <w:start w:val="1"/>
      <w:numFmt w:val="decimal"/>
      <w:isLgl/>
      <w:lvlText w:val="%1.%2.%3.%4.%5.%6.%7"/>
      <w:lvlJc w:val="left"/>
      <w:pPr>
        <w:ind w:left="1800" w:hanging="1440"/>
      </w:pPr>
      <w:rPr>
        <w:rFonts w:hint="default"/>
        <w:sz w:val="26"/>
      </w:rPr>
    </w:lvl>
    <w:lvl w:ilvl="7">
      <w:start w:val="1"/>
      <w:numFmt w:val="decimal"/>
      <w:isLgl/>
      <w:lvlText w:val="%1.%2.%3.%4.%5.%6.%7.%8"/>
      <w:lvlJc w:val="left"/>
      <w:pPr>
        <w:ind w:left="1800" w:hanging="1440"/>
      </w:pPr>
      <w:rPr>
        <w:rFonts w:hint="default"/>
        <w:sz w:val="26"/>
      </w:rPr>
    </w:lvl>
    <w:lvl w:ilvl="8">
      <w:start w:val="1"/>
      <w:numFmt w:val="decimal"/>
      <w:isLgl/>
      <w:lvlText w:val="%1.%2.%3.%4.%5.%6.%7.%8.%9"/>
      <w:lvlJc w:val="left"/>
      <w:pPr>
        <w:ind w:left="2160" w:hanging="1800"/>
      </w:pPr>
      <w:rPr>
        <w:rFonts w:hint="default"/>
        <w:sz w:val="26"/>
      </w:rPr>
    </w:lvl>
  </w:abstractNum>
  <w:abstractNum w:abstractNumId="39" w15:restartNumberingAfterBreak="0">
    <w:nsid w:val="4D1853CA"/>
    <w:multiLevelType w:val="multilevel"/>
    <w:tmpl w:val="774E5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0D00ED4"/>
    <w:multiLevelType w:val="hybridMultilevel"/>
    <w:tmpl w:val="B7EA3780"/>
    <w:lvl w:ilvl="0" w:tplc="9290154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203085C"/>
    <w:multiLevelType w:val="multilevel"/>
    <w:tmpl w:val="29FAD748"/>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224720B"/>
    <w:multiLevelType w:val="hybridMultilevel"/>
    <w:tmpl w:val="915AC6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4033049"/>
    <w:multiLevelType w:val="hybridMultilevel"/>
    <w:tmpl w:val="4FD04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5D80C8D"/>
    <w:multiLevelType w:val="hybridMultilevel"/>
    <w:tmpl w:val="C90664A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5DD5645"/>
    <w:multiLevelType w:val="hybridMultilevel"/>
    <w:tmpl w:val="D3B67E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9CB77CE"/>
    <w:multiLevelType w:val="multilevel"/>
    <w:tmpl w:val="E6F24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B005E8C"/>
    <w:multiLevelType w:val="hybridMultilevel"/>
    <w:tmpl w:val="C2BAE0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0AF665E"/>
    <w:multiLevelType w:val="hybridMultilevel"/>
    <w:tmpl w:val="F910A2FA"/>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616F271E"/>
    <w:multiLevelType w:val="multilevel"/>
    <w:tmpl w:val="CDDAA9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1FF3459"/>
    <w:multiLevelType w:val="hybridMultilevel"/>
    <w:tmpl w:val="C2BAE00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4FF5EB9"/>
    <w:multiLevelType w:val="hybridMultilevel"/>
    <w:tmpl w:val="9F10C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7FF7DB0"/>
    <w:multiLevelType w:val="hybridMultilevel"/>
    <w:tmpl w:val="612EB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88039F3"/>
    <w:multiLevelType w:val="hybridMultilevel"/>
    <w:tmpl w:val="E10620BE"/>
    <w:lvl w:ilvl="0" w:tplc="08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9801430"/>
    <w:multiLevelType w:val="hybridMultilevel"/>
    <w:tmpl w:val="C2BAE00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C0968D1"/>
    <w:multiLevelType w:val="multilevel"/>
    <w:tmpl w:val="101453C6"/>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6FB70DF5"/>
    <w:multiLevelType w:val="multilevel"/>
    <w:tmpl w:val="6054D04C"/>
    <w:lvl w:ilvl="0">
      <w:start w:val="5"/>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741A551A"/>
    <w:multiLevelType w:val="hybridMultilevel"/>
    <w:tmpl w:val="F910A2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74A242D3"/>
    <w:multiLevelType w:val="multilevel"/>
    <w:tmpl w:val="B4DE2B48"/>
    <w:lvl w:ilvl="0">
      <w:start w:val="4"/>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76655F06"/>
    <w:multiLevelType w:val="multilevel"/>
    <w:tmpl w:val="6AE8B7A4"/>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7909173D"/>
    <w:multiLevelType w:val="hybridMultilevel"/>
    <w:tmpl w:val="70C805E0"/>
    <w:lvl w:ilvl="0" w:tplc="9B1CFB2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9325786"/>
    <w:multiLevelType w:val="hybridMultilevel"/>
    <w:tmpl w:val="D0CEFD1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A1A07C6"/>
    <w:multiLevelType w:val="hybridMultilevel"/>
    <w:tmpl w:val="E45E9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B3B5F30"/>
    <w:multiLevelType w:val="hybridMultilevel"/>
    <w:tmpl w:val="DBE2069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E3F1742"/>
    <w:multiLevelType w:val="hybridMultilevel"/>
    <w:tmpl w:val="FB688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F066846"/>
    <w:multiLevelType w:val="multilevel"/>
    <w:tmpl w:val="69B80E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3"/>
  </w:num>
  <w:num w:numId="2">
    <w:abstractNumId w:val="55"/>
  </w:num>
  <w:num w:numId="3">
    <w:abstractNumId w:val="60"/>
  </w:num>
  <w:num w:numId="4">
    <w:abstractNumId w:val="41"/>
  </w:num>
  <w:num w:numId="5">
    <w:abstractNumId w:val="39"/>
  </w:num>
  <w:num w:numId="6">
    <w:abstractNumId w:val="10"/>
  </w:num>
  <w:num w:numId="7">
    <w:abstractNumId w:val="59"/>
  </w:num>
  <w:num w:numId="8">
    <w:abstractNumId w:val="19"/>
  </w:num>
  <w:num w:numId="9">
    <w:abstractNumId w:val="52"/>
  </w:num>
  <w:num w:numId="10">
    <w:abstractNumId w:val="30"/>
  </w:num>
  <w:num w:numId="11">
    <w:abstractNumId w:val="0"/>
  </w:num>
  <w:num w:numId="12">
    <w:abstractNumId w:val="64"/>
  </w:num>
  <w:num w:numId="13">
    <w:abstractNumId w:val="45"/>
  </w:num>
  <w:num w:numId="14">
    <w:abstractNumId w:val="53"/>
  </w:num>
  <w:num w:numId="15">
    <w:abstractNumId w:val="63"/>
  </w:num>
  <w:num w:numId="16">
    <w:abstractNumId w:val="13"/>
  </w:num>
  <w:num w:numId="17">
    <w:abstractNumId w:val="65"/>
  </w:num>
  <w:num w:numId="18">
    <w:abstractNumId w:val="31"/>
  </w:num>
  <w:num w:numId="19">
    <w:abstractNumId w:val="24"/>
  </w:num>
  <w:num w:numId="20">
    <w:abstractNumId w:val="28"/>
  </w:num>
  <w:num w:numId="21">
    <w:abstractNumId w:val="40"/>
  </w:num>
  <w:num w:numId="22">
    <w:abstractNumId w:val="8"/>
  </w:num>
  <w:num w:numId="23">
    <w:abstractNumId w:val="42"/>
  </w:num>
  <w:num w:numId="24">
    <w:abstractNumId w:val="17"/>
  </w:num>
  <w:num w:numId="25">
    <w:abstractNumId w:val="43"/>
  </w:num>
  <w:num w:numId="26">
    <w:abstractNumId w:val="62"/>
  </w:num>
  <w:num w:numId="27">
    <w:abstractNumId w:val="7"/>
  </w:num>
  <w:num w:numId="28">
    <w:abstractNumId w:val="32"/>
  </w:num>
  <w:num w:numId="29">
    <w:abstractNumId w:val="21"/>
  </w:num>
  <w:num w:numId="30">
    <w:abstractNumId w:val="51"/>
  </w:num>
  <w:num w:numId="31">
    <w:abstractNumId w:val="2"/>
  </w:num>
  <w:num w:numId="32">
    <w:abstractNumId w:val="58"/>
  </w:num>
  <w:num w:numId="33">
    <w:abstractNumId w:val="61"/>
  </w:num>
  <w:num w:numId="34">
    <w:abstractNumId w:val="38"/>
  </w:num>
  <w:num w:numId="35">
    <w:abstractNumId w:val="12"/>
  </w:num>
  <w:num w:numId="36">
    <w:abstractNumId w:val="27"/>
  </w:num>
  <w:num w:numId="37">
    <w:abstractNumId w:val="56"/>
  </w:num>
  <w:num w:numId="38">
    <w:abstractNumId w:val="18"/>
  </w:num>
  <w:num w:numId="39">
    <w:abstractNumId w:val="35"/>
  </w:num>
  <w:num w:numId="40">
    <w:abstractNumId w:val="4"/>
  </w:num>
  <w:num w:numId="41">
    <w:abstractNumId w:val="6"/>
  </w:num>
  <w:num w:numId="42">
    <w:abstractNumId w:val="33"/>
  </w:num>
  <w:num w:numId="43">
    <w:abstractNumId w:val="1"/>
  </w:num>
  <w:num w:numId="44">
    <w:abstractNumId w:val="50"/>
  </w:num>
  <w:num w:numId="45">
    <w:abstractNumId w:val="44"/>
  </w:num>
  <w:num w:numId="46">
    <w:abstractNumId w:val="47"/>
  </w:num>
  <w:num w:numId="47">
    <w:abstractNumId w:val="54"/>
  </w:num>
  <w:num w:numId="48">
    <w:abstractNumId w:val="15"/>
  </w:num>
  <w:num w:numId="49">
    <w:abstractNumId w:val="22"/>
  </w:num>
  <w:num w:numId="50">
    <w:abstractNumId w:val="48"/>
  </w:num>
  <w:num w:numId="51">
    <w:abstractNumId w:val="9"/>
  </w:num>
  <w:num w:numId="52">
    <w:abstractNumId w:val="57"/>
  </w:num>
  <w:num w:numId="53">
    <w:abstractNumId w:val="29"/>
  </w:num>
  <w:num w:numId="54">
    <w:abstractNumId w:val="11"/>
  </w:num>
  <w:num w:numId="55">
    <w:abstractNumId w:val="25"/>
  </w:num>
  <w:num w:numId="56">
    <w:abstractNumId w:val="37"/>
  </w:num>
  <w:num w:numId="57">
    <w:abstractNumId w:val="14"/>
  </w:num>
  <w:num w:numId="58">
    <w:abstractNumId w:val="16"/>
  </w:num>
  <w:num w:numId="59">
    <w:abstractNumId w:val="5"/>
  </w:num>
  <w:num w:numId="60">
    <w:abstractNumId w:val="49"/>
  </w:num>
  <w:num w:numId="61">
    <w:abstractNumId w:val="3"/>
  </w:num>
  <w:num w:numId="62">
    <w:abstractNumId w:val="46"/>
  </w:num>
  <w:num w:numId="63">
    <w:abstractNumId w:val="26"/>
  </w:num>
  <w:num w:numId="64">
    <w:abstractNumId w:val="36"/>
  </w:num>
  <w:num w:numId="65">
    <w:abstractNumId w:val="20"/>
  </w:num>
  <w:num w:numId="66">
    <w:abstractNumId w:val="34"/>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CE6"/>
    <w:rsid w:val="000000C3"/>
    <w:rsid w:val="00000C86"/>
    <w:rsid w:val="0000163E"/>
    <w:rsid w:val="00002086"/>
    <w:rsid w:val="00002981"/>
    <w:rsid w:val="00002D43"/>
    <w:rsid w:val="00003FA1"/>
    <w:rsid w:val="000046B9"/>
    <w:rsid w:val="00005E3A"/>
    <w:rsid w:val="00006C09"/>
    <w:rsid w:val="00007FA1"/>
    <w:rsid w:val="000118F8"/>
    <w:rsid w:val="0001342A"/>
    <w:rsid w:val="00013D0E"/>
    <w:rsid w:val="0001449D"/>
    <w:rsid w:val="000146A0"/>
    <w:rsid w:val="000201C1"/>
    <w:rsid w:val="0002044C"/>
    <w:rsid w:val="000204F8"/>
    <w:rsid w:val="00020548"/>
    <w:rsid w:val="00020C49"/>
    <w:rsid w:val="00022EF8"/>
    <w:rsid w:val="000243A8"/>
    <w:rsid w:val="00024BD9"/>
    <w:rsid w:val="00026ABB"/>
    <w:rsid w:val="00030D17"/>
    <w:rsid w:val="00031C99"/>
    <w:rsid w:val="00031CAE"/>
    <w:rsid w:val="00031E48"/>
    <w:rsid w:val="00032676"/>
    <w:rsid w:val="000348DD"/>
    <w:rsid w:val="00034F95"/>
    <w:rsid w:val="00035764"/>
    <w:rsid w:val="000361D5"/>
    <w:rsid w:val="00036530"/>
    <w:rsid w:val="00037789"/>
    <w:rsid w:val="00045350"/>
    <w:rsid w:val="0004544C"/>
    <w:rsid w:val="0004592D"/>
    <w:rsid w:val="00045B59"/>
    <w:rsid w:val="00047E3B"/>
    <w:rsid w:val="0005180B"/>
    <w:rsid w:val="0005238F"/>
    <w:rsid w:val="00053748"/>
    <w:rsid w:val="00053AD7"/>
    <w:rsid w:val="00053D98"/>
    <w:rsid w:val="00054820"/>
    <w:rsid w:val="00054C1C"/>
    <w:rsid w:val="000551ED"/>
    <w:rsid w:val="000558A1"/>
    <w:rsid w:val="00056BB2"/>
    <w:rsid w:val="00057025"/>
    <w:rsid w:val="00057536"/>
    <w:rsid w:val="00057AE3"/>
    <w:rsid w:val="00061CC9"/>
    <w:rsid w:val="00065938"/>
    <w:rsid w:val="000703A5"/>
    <w:rsid w:val="0007113E"/>
    <w:rsid w:val="000719E6"/>
    <w:rsid w:val="00072898"/>
    <w:rsid w:val="00073299"/>
    <w:rsid w:val="000733B8"/>
    <w:rsid w:val="00073C74"/>
    <w:rsid w:val="00074B31"/>
    <w:rsid w:val="000759B1"/>
    <w:rsid w:val="00077A42"/>
    <w:rsid w:val="00080588"/>
    <w:rsid w:val="0008600A"/>
    <w:rsid w:val="000873C4"/>
    <w:rsid w:val="00090236"/>
    <w:rsid w:val="00090BAF"/>
    <w:rsid w:val="00092E6C"/>
    <w:rsid w:val="000938EF"/>
    <w:rsid w:val="000946FC"/>
    <w:rsid w:val="00095B51"/>
    <w:rsid w:val="000A06A0"/>
    <w:rsid w:val="000A36A6"/>
    <w:rsid w:val="000A4551"/>
    <w:rsid w:val="000A7C3D"/>
    <w:rsid w:val="000B0AA7"/>
    <w:rsid w:val="000B0BFA"/>
    <w:rsid w:val="000B1EC9"/>
    <w:rsid w:val="000B25BA"/>
    <w:rsid w:val="000B3267"/>
    <w:rsid w:val="000B389A"/>
    <w:rsid w:val="000B3903"/>
    <w:rsid w:val="000B60B9"/>
    <w:rsid w:val="000C0F6F"/>
    <w:rsid w:val="000C1405"/>
    <w:rsid w:val="000C182E"/>
    <w:rsid w:val="000C52CE"/>
    <w:rsid w:val="000C638A"/>
    <w:rsid w:val="000D0914"/>
    <w:rsid w:val="000D1BDE"/>
    <w:rsid w:val="000D43AA"/>
    <w:rsid w:val="000D4BA6"/>
    <w:rsid w:val="000D55B1"/>
    <w:rsid w:val="000D7DDB"/>
    <w:rsid w:val="000E2986"/>
    <w:rsid w:val="000E3308"/>
    <w:rsid w:val="000E426B"/>
    <w:rsid w:val="000E74C4"/>
    <w:rsid w:val="000F04DB"/>
    <w:rsid w:val="000F1AF8"/>
    <w:rsid w:val="000F2BCE"/>
    <w:rsid w:val="000F3E0F"/>
    <w:rsid w:val="000F5148"/>
    <w:rsid w:val="000F532F"/>
    <w:rsid w:val="000F6EF2"/>
    <w:rsid w:val="000F78F4"/>
    <w:rsid w:val="0010174C"/>
    <w:rsid w:val="001019EC"/>
    <w:rsid w:val="001032C0"/>
    <w:rsid w:val="00104343"/>
    <w:rsid w:val="001057B0"/>
    <w:rsid w:val="001062E5"/>
    <w:rsid w:val="00106C25"/>
    <w:rsid w:val="00106C6D"/>
    <w:rsid w:val="00110659"/>
    <w:rsid w:val="001149E5"/>
    <w:rsid w:val="00115171"/>
    <w:rsid w:val="00115490"/>
    <w:rsid w:val="00120B87"/>
    <w:rsid w:val="00120E7F"/>
    <w:rsid w:val="00121DF9"/>
    <w:rsid w:val="00124CBF"/>
    <w:rsid w:val="00125156"/>
    <w:rsid w:val="001279BF"/>
    <w:rsid w:val="0013052C"/>
    <w:rsid w:val="001314ED"/>
    <w:rsid w:val="001316A0"/>
    <w:rsid w:val="00134BD3"/>
    <w:rsid w:val="00142282"/>
    <w:rsid w:val="001468F8"/>
    <w:rsid w:val="001507DD"/>
    <w:rsid w:val="00151A4E"/>
    <w:rsid w:val="00152456"/>
    <w:rsid w:val="00154549"/>
    <w:rsid w:val="00155038"/>
    <w:rsid w:val="0015606B"/>
    <w:rsid w:val="0015767B"/>
    <w:rsid w:val="00157862"/>
    <w:rsid w:val="00160A10"/>
    <w:rsid w:val="001618FC"/>
    <w:rsid w:val="001619F1"/>
    <w:rsid w:val="00161F57"/>
    <w:rsid w:val="001622A3"/>
    <w:rsid w:val="00163C47"/>
    <w:rsid w:val="00164116"/>
    <w:rsid w:val="001670F9"/>
    <w:rsid w:val="0017120A"/>
    <w:rsid w:val="001718A5"/>
    <w:rsid w:val="00173EDD"/>
    <w:rsid w:val="00175333"/>
    <w:rsid w:val="00176316"/>
    <w:rsid w:val="001779AC"/>
    <w:rsid w:val="001809E2"/>
    <w:rsid w:val="001829C5"/>
    <w:rsid w:val="00184FDC"/>
    <w:rsid w:val="001871D3"/>
    <w:rsid w:val="00190602"/>
    <w:rsid w:val="0019064A"/>
    <w:rsid w:val="001920B8"/>
    <w:rsid w:val="00194C78"/>
    <w:rsid w:val="001957B9"/>
    <w:rsid w:val="001974E1"/>
    <w:rsid w:val="001A0363"/>
    <w:rsid w:val="001A0794"/>
    <w:rsid w:val="001A1D86"/>
    <w:rsid w:val="001A2814"/>
    <w:rsid w:val="001A2963"/>
    <w:rsid w:val="001A3048"/>
    <w:rsid w:val="001A36FA"/>
    <w:rsid w:val="001A3FE2"/>
    <w:rsid w:val="001A58DC"/>
    <w:rsid w:val="001A61A7"/>
    <w:rsid w:val="001A6A32"/>
    <w:rsid w:val="001B150A"/>
    <w:rsid w:val="001B1F2F"/>
    <w:rsid w:val="001B2A15"/>
    <w:rsid w:val="001B2AF9"/>
    <w:rsid w:val="001B3645"/>
    <w:rsid w:val="001B47F7"/>
    <w:rsid w:val="001B5A9D"/>
    <w:rsid w:val="001B6B52"/>
    <w:rsid w:val="001B7468"/>
    <w:rsid w:val="001B7F81"/>
    <w:rsid w:val="001C06F3"/>
    <w:rsid w:val="001C28D6"/>
    <w:rsid w:val="001C4CDD"/>
    <w:rsid w:val="001C6E74"/>
    <w:rsid w:val="001C74B0"/>
    <w:rsid w:val="001C792B"/>
    <w:rsid w:val="001D0183"/>
    <w:rsid w:val="001D1289"/>
    <w:rsid w:val="001D130B"/>
    <w:rsid w:val="001D2F78"/>
    <w:rsid w:val="001D36E4"/>
    <w:rsid w:val="001D420F"/>
    <w:rsid w:val="001D629D"/>
    <w:rsid w:val="001E056D"/>
    <w:rsid w:val="001E0D71"/>
    <w:rsid w:val="001E2F6A"/>
    <w:rsid w:val="001E3F10"/>
    <w:rsid w:val="001E4209"/>
    <w:rsid w:val="001F0052"/>
    <w:rsid w:val="001F22EA"/>
    <w:rsid w:val="001F2DB7"/>
    <w:rsid w:val="001F3EA4"/>
    <w:rsid w:val="001F4177"/>
    <w:rsid w:val="001F499E"/>
    <w:rsid w:val="001F4C6A"/>
    <w:rsid w:val="001F606B"/>
    <w:rsid w:val="001F6691"/>
    <w:rsid w:val="0020011F"/>
    <w:rsid w:val="002007C7"/>
    <w:rsid w:val="00200902"/>
    <w:rsid w:val="00201224"/>
    <w:rsid w:val="00204499"/>
    <w:rsid w:val="002045DA"/>
    <w:rsid w:val="00204D54"/>
    <w:rsid w:val="00205411"/>
    <w:rsid w:val="00205F5D"/>
    <w:rsid w:val="002077AD"/>
    <w:rsid w:val="00207DEF"/>
    <w:rsid w:val="002111C9"/>
    <w:rsid w:val="002118D0"/>
    <w:rsid w:val="00211B74"/>
    <w:rsid w:val="0021340A"/>
    <w:rsid w:val="00213A49"/>
    <w:rsid w:val="00213BB9"/>
    <w:rsid w:val="002149B2"/>
    <w:rsid w:val="00215D30"/>
    <w:rsid w:val="002160E2"/>
    <w:rsid w:val="002162AB"/>
    <w:rsid w:val="00216327"/>
    <w:rsid w:val="0021776D"/>
    <w:rsid w:val="00217C4B"/>
    <w:rsid w:val="00217E95"/>
    <w:rsid w:val="002206B8"/>
    <w:rsid w:val="00222F33"/>
    <w:rsid w:val="0022448C"/>
    <w:rsid w:val="002259DE"/>
    <w:rsid w:val="00226FC9"/>
    <w:rsid w:val="00227E1C"/>
    <w:rsid w:val="00231899"/>
    <w:rsid w:val="00231F20"/>
    <w:rsid w:val="002328FF"/>
    <w:rsid w:val="0023401B"/>
    <w:rsid w:val="00235EF2"/>
    <w:rsid w:val="00237AFD"/>
    <w:rsid w:val="00240A3E"/>
    <w:rsid w:val="00240B48"/>
    <w:rsid w:val="00241426"/>
    <w:rsid w:val="002440E0"/>
    <w:rsid w:val="0024495D"/>
    <w:rsid w:val="00245396"/>
    <w:rsid w:val="0024720A"/>
    <w:rsid w:val="002473D7"/>
    <w:rsid w:val="002475F3"/>
    <w:rsid w:val="00247C69"/>
    <w:rsid w:val="002507E5"/>
    <w:rsid w:val="00251B8D"/>
    <w:rsid w:val="00253D2E"/>
    <w:rsid w:val="00254B51"/>
    <w:rsid w:val="00255262"/>
    <w:rsid w:val="00255529"/>
    <w:rsid w:val="00255E1C"/>
    <w:rsid w:val="002561BB"/>
    <w:rsid w:val="002607C7"/>
    <w:rsid w:val="00261083"/>
    <w:rsid w:val="00262CA1"/>
    <w:rsid w:val="0026326B"/>
    <w:rsid w:val="0026358E"/>
    <w:rsid w:val="00265617"/>
    <w:rsid w:val="00265F30"/>
    <w:rsid w:val="00266CB2"/>
    <w:rsid w:val="00272D46"/>
    <w:rsid w:val="00272F50"/>
    <w:rsid w:val="00274E0E"/>
    <w:rsid w:val="00276091"/>
    <w:rsid w:val="00277FF0"/>
    <w:rsid w:val="002818A1"/>
    <w:rsid w:val="00281DC2"/>
    <w:rsid w:val="002874E2"/>
    <w:rsid w:val="00287780"/>
    <w:rsid w:val="0028780C"/>
    <w:rsid w:val="00290206"/>
    <w:rsid w:val="00290326"/>
    <w:rsid w:val="00291A18"/>
    <w:rsid w:val="0029293A"/>
    <w:rsid w:val="00297538"/>
    <w:rsid w:val="00297545"/>
    <w:rsid w:val="002A064B"/>
    <w:rsid w:val="002A2322"/>
    <w:rsid w:val="002A2673"/>
    <w:rsid w:val="002A3E7B"/>
    <w:rsid w:val="002A446E"/>
    <w:rsid w:val="002A4864"/>
    <w:rsid w:val="002A5268"/>
    <w:rsid w:val="002A554E"/>
    <w:rsid w:val="002A567C"/>
    <w:rsid w:val="002A63E1"/>
    <w:rsid w:val="002A6D43"/>
    <w:rsid w:val="002A75A9"/>
    <w:rsid w:val="002B028B"/>
    <w:rsid w:val="002B03CD"/>
    <w:rsid w:val="002B12F0"/>
    <w:rsid w:val="002B2043"/>
    <w:rsid w:val="002B3093"/>
    <w:rsid w:val="002B439C"/>
    <w:rsid w:val="002B56BE"/>
    <w:rsid w:val="002B57D0"/>
    <w:rsid w:val="002B6220"/>
    <w:rsid w:val="002B69EE"/>
    <w:rsid w:val="002B6E6D"/>
    <w:rsid w:val="002C1363"/>
    <w:rsid w:val="002C2814"/>
    <w:rsid w:val="002C2BAA"/>
    <w:rsid w:val="002C2D05"/>
    <w:rsid w:val="002C4DE0"/>
    <w:rsid w:val="002C6104"/>
    <w:rsid w:val="002C6373"/>
    <w:rsid w:val="002C64C5"/>
    <w:rsid w:val="002C6DCF"/>
    <w:rsid w:val="002D3390"/>
    <w:rsid w:val="002D4536"/>
    <w:rsid w:val="002D4725"/>
    <w:rsid w:val="002D4D67"/>
    <w:rsid w:val="002D50ED"/>
    <w:rsid w:val="002D53BB"/>
    <w:rsid w:val="002D58C8"/>
    <w:rsid w:val="002D785C"/>
    <w:rsid w:val="002E065C"/>
    <w:rsid w:val="002E1896"/>
    <w:rsid w:val="002E28B2"/>
    <w:rsid w:val="002E4CCE"/>
    <w:rsid w:val="002E66A8"/>
    <w:rsid w:val="002E6E71"/>
    <w:rsid w:val="002E70A2"/>
    <w:rsid w:val="002F0951"/>
    <w:rsid w:val="002F0CCD"/>
    <w:rsid w:val="002F2B08"/>
    <w:rsid w:val="002F2B47"/>
    <w:rsid w:val="002F4056"/>
    <w:rsid w:val="002F5214"/>
    <w:rsid w:val="002F57A7"/>
    <w:rsid w:val="002F58CF"/>
    <w:rsid w:val="002F590D"/>
    <w:rsid w:val="002F5CFD"/>
    <w:rsid w:val="002F6152"/>
    <w:rsid w:val="002F7B66"/>
    <w:rsid w:val="00300347"/>
    <w:rsid w:val="003016D4"/>
    <w:rsid w:val="003019D5"/>
    <w:rsid w:val="00301B7D"/>
    <w:rsid w:val="00303D2D"/>
    <w:rsid w:val="00304F31"/>
    <w:rsid w:val="00305B3E"/>
    <w:rsid w:val="00306CB0"/>
    <w:rsid w:val="00307C52"/>
    <w:rsid w:val="00310C71"/>
    <w:rsid w:val="003112F4"/>
    <w:rsid w:val="00311EC7"/>
    <w:rsid w:val="00312603"/>
    <w:rsid w:val="003127FC"/>
    <w:rsid w:val="00314E15"/>
    <w:rsid w:val="003158E8"/>
    <w:rsid w:val="00317924"/>
    <w:rsid w:val="003205FF"/>
    <w:rsid w:val="003216D7"/>
    <w:rsid w:val="00322BEC"/>
    <w:rsid w:val="00323872"/>
    <w:rsid w:val="00323CBD"/>
    <w:rsid w:val="00325950"/>
    <w:rsid w:val="00327083"/>
    <w:rsid w:val="003271CC"/>
    <w:rsid w:val="00327BA5"/>
    <w:rsid w:val="00330CF8"/>
    <w:rsid w:val="00330D42"/>
    <w:rsid w:val="00332AAF"/>
    <w:rsid w:val="003331A8"/>
    <w:rsid w:val="0033408F"/>
    <w:rsid w:val="00335868"/>
    <w:rsid w:val="00337750"/>
    <w:rsid w:val="00337D2A"/>
    <w:rsid w:val="003407A7"/>
    <w:rsid w:val="00341A56"/>
    <w:rsid w:val="00342E1D"/>
    <w:rsid w:val="00343554"/>
    <w:rsid w:val="00343975"/>
    <w:rsid w:val="003444A8"/>
    <w:rsid w:val="00345581"/>
    <w:rsid w:val="00345F7E"/>
    <w:rsid w:val="00351116"/>
    <w:rsid w:val="00352BCD"/>
    <w:rsid w:val="00355C23"/>
    <w:rsid w:val="0035623B"/>
    <w:rsid w:val="00357DD3"/>
    <w:rsid w:val="0036226C"/>
    <w:rsid w:val="003632BF"/>
    <w:rsid w:val="003634E6"/>
    <w:rsid w:val="00363C6A"/>
    <w:rsid w:val="00363E0D"/>
    <w:rsid w:val="00365F74"/>
    <w:rsid w:val="00366A7A"/>
    <w:rsid w:val="00373971"/>
    <w:rsid w:val="00373C45"/>
    <w:rsid w:val="00374C66"/>
    <w:rsid w:val="003750A8"/>
    <w:rsid w:val="00376CDE"/>
    <w:rsid w:val="00377173"/>
    <w:rsid w:val="003778CC"/>
    <w:rsid w:val="00377928"/>
    <w:rsid w:val="00383678"/>
    <w:rsid w:val="00383F18"/>
    <w:rsid w:val="00385422"/>
    <w:rsid w:val="00385BE6"/>
    <w:rsid w:val="003870F7"/>
    <w:rsid w:val="00391367"/>
    <w:rsid w:val="00394134"/>
    <w:rsid w:val="003949B4"/>
    <w:rsid w:val="00394B8F"/>
    <w:rsid w:val="00394CB0"/>
    <w:rsid w:val="003956D1"/>
    <w:rsid w:val="00395945"/>
    <w:rsid w:val="00395AA2"/>
    <w:rsid w:val="00397E6C"/>
    <w:rsid w:val="003A02BF"/>
    <w:rsid w:val="003A1C04"/>
    <w:rsid w:val="003A2D16"/>
    <w:rsid w:val="003A3B9E"/>
    <w:rsid w:val="003A4946"/>
    <w:rsid w:val="003A4E54"/>
    <w:rsid w:val="003A5229"/>
    <w:rsid w:val="003A67BA"/>
    <w:rsid w:val="003A6E85"/>
    <w:rsid w:val="003A7076"/>
    <w:rsid w:val="003A774A"/>
    <w:rsid w:val="003B0B89"/>
    <w:rsid w:val="003B13E1"/>
    <w:rsid w:val="003B15F8"/>
    <w:rsid w:val="003B17BD"/>
    <w:rsid w:val="003B3045"/>
    <w:rsid w:val="003B6D4C"/>
    <w:rsid w:val="003B79CF"/>
    <w:rsid w:val="003B7B0F"/>
    <w:rsid w:val="003C0EC2"/>
    <w:rsid w:val="003C1F61"/>
    <w:rsid w:val="003C3DBF"/>
    <w:rsid w:val="003C6B61"/>
    <w:rsid w:val="003C78D3"/>
    <w:rsid w:val="003D2990"/>
    <w:rsid w:val="003D35DA"/>
    <w:rsid w:val="003D4F98"/>
    <w:rsid w:val="003D5413"/>
    <w:rsid w:val="003D635C"/>
    <w:rsid w:val="003D64BF"/>
    <w:rsid w:val="003E0514"/>
    <w:rsid w:val="003E2102"/>
    <w:rsid w:val="003E506A"/>
    <w:rsid w:val="003E55D8"/>
    <w:rsid w:val="003E5862"/>
    <w:rsid w:val="003E5B8F"/>
    <w:rsid w:val="003E68DD"/>
    <w:rsid w:val="003E7C99"/>
    <w:rsid w:val="003E7EFD"/>
    <w:rsid w:val="003F1723"/>
    <w:rsid w:val="003F19C2"/>
    <w:rsid w:val="003F3DEA"/>
    <w:rsid w:val="003F45B5"/>
    <w:rsid w:val="003F4DB7"/>
    <w:rsid w:val="003F54A3"/>
    <w:rsid w:val="00402587"/>
    <w:rsid w:val="004030CB"/>
    <w:rsid w:val="00404143"/>
    <w:rsid w:val="00404533"/>
    <w:rsid w:val="0040483C"/>
    <w:rsid w:val="00404C90"/>
    <w:rsid w:val="00405247"/>
    <w:rsid w:val="004053D7"/>
    <w:rsid w:val="0040639A"/>
    <w:rsid w:val="0040748F"/>
    <w:rsid w:val="00411B9B"/>
    <w:rsid w:val="00411C03"/>
    <w:rsid w:val="0041303A"/>
    <w:rsid w:val="0041408B"/>
    <w:rsid w:val="0041442D"/>
    <w:rsid w:val="00414D62"/>
    <w:rsid w:val="00415C96"/>
    <w:rsid w:val="00416F84"/>
    <w:rsid w:val="0041766C"/>
    <w:rsid w:val="00420A96"/>
    <w:rsid w:val="0042159D"/>
    <w:rsid w:val="00422103"/>
    <w:rsid w:val="00422654"/>
    <w:rsid w:val="00422AA2"/>
    <w:rsid w:val="00426F53"/>
    <w:rsid w:val="00430146"/>
    <w:rsid w:val="00430261"/>
    <w:rsid w:val="0043053F"/>
    <w:rsid w:val="00430A0C"/>
    <w:rsid w:val="00431662"/>
    <w:rsid w:val="00431D42"/>
    <w:rsid w:val="00431F0F"/>
    <w:rsid w:val="00435737"/>
    <w:rsid w:val="00436D92"/>
    <w:rsid w:val="004401E2"/>
    <w:rsid w:val="004435A9"/>
    <w:rsid w:val="00443790"/>
    <w:rsid w:val="004443FB"/>
    <w:rsid w:val="00444794"/>
    <w:rsid w:val="004467F0"/>
    <w:rsid w:val="00447111"/>
    <w:rsid w:val="00447A3A"/>
    <w:rsid w:val="00447B38"/>
    <w:rsid w:val="004536A1"/>
    <w:rsid w:val="0045608D"/>
    <w:rsid w:val="00456556"/>
    <w:rsid w:val="00456DF0"/>
    <w:rsid w:val="00461E4A"/>
    <w:rsid w:val="00462AEA"/>
    <w:rsid w:val="004633E8"/>
    <w:rsid w:val="0046442B"/>
    <w:rsid w:val="004646EC"/>
    <w:rsid w:val="00465329"/>
    <w:rsid w:val="004712D3"/>
    <w:rsid w:val="004716E8"/>
    <w:rsid w:val="00471BCB"/>
    <w:rsid w:val="004721C1"/>
    <w:rsid w:val="0047350D"/>
    <w:rsid w:val="00474842"/>
    <w:rsid w:val="0047517A"/>
    <w:rsid w:val="00476173"/>
    <w:rsid w:val="00476730"/>
    <w:rsid w:val="00476DD5"/>
    <w:rsid w:val="004807F0"/>
    <w:rsid w:val="00480D59"/>
    <w:rsid w:val="00483206"/>
    <w:rsid w:val="004832F4"/>
    <w:rsid w:val="0048506A"/>
    <w:rsid w:val="004854ED"/>
    <w:rsid w:val="00487801"/>
    <w:rsid w:val="004878E6"/>
    <w:rsid w:val="0049068B"/>
    <w:rsid w:val="004911A9"/>
    <w:rsid w:val="004942FF"/>
    <w:rsid w:val="00496310"/>
    <w:rsid w:val="00496776"/>
    <w:rsid w:val="00497A8F"/>
    <w:rsid w:val="00497F4A"/>
    <w:rsid w:val="004A046E"/>
    <w:rsid w:val="004A1436"/>
    <w:rsid w:val="004A1E26"/>
    <w:rsid w:val="004A224E"/>
    <w:rsid w:val="004A2353"/>
    <w:rsid w:val="004A3FF2"/>
    <w:rsid w:val="004A51E9"/>
    <w:rsid w:val="004A77E3"/>
    <w:rsid w:val="004B0400"/>
    <w:rsid w:val="004B0E3A"/>
    <w:rsid w:val="004B15FC"/>
    <w:rsid w:val="004B1757"/>
    <w:rsid w:val="004B2763"/>
    <w:rsid w:val="004B3255"/>
    <w:rsid w:val="004B3DCC"/>
    <w:rsid w:val="004B57B7"/>
    <w:rsid w:val="004B67D9"/>
    <w:rsid w:val="004B779A"/>
    <w:rsid w:val="004C12CF"/>
    <w:rsid w:val="004C1C17"/>
    <w:rsid w:val="004C2989"/>
    <w:rsid w:val="004C3E52"/>
    <w:rsid w:val="004C40CC"/>
    <w:rsid w:val="004C443D"/>
    <w:rsid w:val="004C46E7"/>
    <w:rsid w:val="004C6BD2"/>
    <w:rsid w:val="004D208B"/>
    <w:rsid w:val="004D6C85"/>
    <w:rsid w:val="004E22F7"/>
    <w:rsid w:val="004E23B2"/>
    <w:rsid w:val="004E290F"/>
    <w:rsid w:val="004E3175"/>
    <w:rsid w:val="004E5E44"/>
    <w:rsid w:val="004E61B7"/>
    <w:rsid w:val="004E636F"/>
    <w:rsid w:val="004E7CDC"/>
    <w:rsid w:val="004F256E"/>
    <w:rsid w:val="004F2989"/>
    <w:rsid w:val="004F2AEF"/>
    <w:rsid w:val="004F2F1A"/>
    <w:rsid w:val="004F4571"/>
    <w:rsid w:val="004F4AF8"/>
    <w:rsid w:val="004F79D4"/>
    <w:rsid w:val="004F7D19"/>
    <w:rsid w:val="005008FC"/>
    <w:rsid w:val="0050093D"/>
    <w:rsid w:val="00501220"/>
    <w:rsid w:val="00501250"/>
    <w:rsid w:val="005012D2"/>
    <w:rsid w:val="0050137D"/>
    <w:rsid w:val="005041BF"/>
    <w:rsid w:val="0050599B"/>
    <w:rsid w:val="00506DD1"/>
    <w:rsid w:val="00507098"/>
    <w:rsid w:val="00507FC8"/>
    <w:rsid w:val="0051083F"/>
    <w:rsid w:val="005127EB"/>
    <w:rsid w:val="00513358"/>
    <w:rsid w:val="00513D6E"/>
    <w:rsid w:val="005150AC"/>
    <w:rsid w:val="00515815"/>
    <w:rsid w:val="0051704E"/>
    <w:rsid w:val="0051736E"/>
    <w:rsid w:val="00517AB7"/>
    <w:rsid w:val="00517CCD"/>
    <w:rsid w:val="0052011F"/>
    <w:rsid w:val="00520B5F"/>
    <w:rsid w:val="00520B69"/>
    <w:rsid w:val="00522F5E"/>
    <w:rsid w:val="00523C08"/>
    <w:rsid w:val="00523D70"/>
    <w:rsid w:val="00526498"/>
    <w:rsid w:val="00526AB9"/>
    <w:rsid w:val="00527127"/>
    <w:rsid w:val="00530279"/>
    <w:rsid w:val="00532B46"/>
    <w:rsid w:val="00532C36"/>
    <w:rsid w:val="00532FC4"/>
    <w:rsid w:val="00536A19"/>
    <w:rsid w:val="005425DE"/>
    <w:rsid w:val="005431B0"/>
    <w:rsid w:val="00543CEE"/>
    <w:rsid w:val="00543EE7"/>
    <w:rsid w:val="00546508"/>
    <w:rsid w:val="00550788"/>
    <w:rsid w:val="005514A7"/>
    <w:rsid w:val="00552487"/>
    <w:rsid w:val="0055270F"/>
    <w:rsid w:val="00553434"/>
    <w:rsid w:val="005567A8"/>
    <w:rsid w:val="00560991"/>
    <w:rsid w:val="005613F3"/>
    <w:rsid w:val="00561427"/>
    <w:rsid w:val="005614F0"/>
    <w:rsid w:val="00561B34"/>
    <w:rsid w:val="00561DDF"/>
    <w:rsid w:val="0056232A"/>
    <w:rsid w:val="00564160"/>
    <w:rsid w:val="005666A5"/>
    <w:rsid w:val="00566ED4"/>
    <w:rsid w:val="0057222E"/>
    <w:rsid w:val="0057276C"/>
    <w:rsid w:val="00573196"/>
    <w:rsid w:val="00573C39"/>
    <w:rsid w:val="005745C6"/>
    <w:rsid w:val="00574678"/>
    <w:rsid w:val="0057542C"/>
    <w:rsid w:val="00575704"/>
    <w:rsid w:val="0057585D"/>
    <w:rsid w:val="00575B04"/>
    <w:rsid w:val="00576C89"/>
    <w:rsid w:val="00577B49"/>
    <w:rsid w:val="005818AE"/>
    <w:rsid w:val="00582452"/>
    <w:rsid w:val="00582CD8"/>
    <w:rsid w:val="00584681"/>
    <w:rsid w:val="0058692E"/>
    <w:rsid w:val="00586BAB"/>
    <w:rsid w:val="00590319"/>
    <w:rsid w:val="00590389"/>
    <w:rsid w:val="00590EA0"/>
    <w:rsid w:val="0059269A"/>
    <w:rsid w:val="00592DE6"/>
    <w:rsid w:val="00593209"/>
    <w:rsid w:val="00594094"/>
    <w:rsid w:val="00594192"/>
    <w:rsid w:val="005952C3"/>
    <w:rsid w:val="00597D5F"/>
    <w:rsid w:val="005A092C"/>
    <w:rsid w:val="005A0FA4"/>
    <w:rsid w:val="005A193B"/>
    <w:rsid w:val="005A5E43"/>
    <w:rsid w:val="005B046A"/>
    <w:rsid w:val="005B1798"/>
    <w:rsid w:val="005B258E"/>
    <w:rsid w:val="005B35DA"/>
    <w:rsid w:val="005B3EB5"/>
    <w:rsid w:val="005B6861"/>
    <w:rsid w:val="005C178B"/>
    <w:rsid w:val="005C1C68"/>
    <w:rsid w:val="005C2052"/>
    <w:rsid w:val="005C35CF"/>
    <w:rsid w:val="005C459C"/>
    <w:rsid w:val="005C4CE4"/>
    <w:rsid w:val="005C7B04"/>
    <w:rsid w:val="005D0358"/>
    <w:rsid w:val="005D29F3"/>
    <w:rsid w:val="005D3204"/>
    <w:rsid w:val="005D367E"/>
    <w:rsid w:val="005D3DFD"/>
    <w:rsid w:val="005D4657"/>
    <w:rsid w:val="005D4B99"/>
    <w:rsid w:val="005D522B"/>
    <w:rsid w:val="005D5D2B"/>
    <w:rsid w:val="005D5E75"/>
    <w:rsid w:val="005D74BC"/>
    <w:rsid w:val="005D7C07"/>
    <w:rsid w:val="005E26AA"/>
    <w:rsid w:val="005E41E2"/>
    <w:rsid w:val="005E4D51"/>
    <w:rsid w:val="005E530B"/>
    <w:rsid w:val="005E7EC2"/>
    <w:rsid w:val="005F3676"/>
    <w:rsid w:val="005F3AE9"/>
    <w:rsid w:val="005F45D1"/>
    <w:rsid w:val="005F563D"/>
    <w:rsid w:val="0060010E"/>
    <w:rsid w:val="0060075C"/>
    <w:rsid w:val="006031D3"/>
    <w:rsid w:val="00603562"/>
    <w:rsid w:val="00610CD5"/>
    <w:rsid w:val="00610E16"/>
    <w:rsid w:val="00611B08"/>
    <w:rsid w:val="00612155"/>
    <w:rsid w:val="006125FA"/>
    <w:rsid w:val="0061414D"/>
    <w:rsid w:val="00614348"/>
    <w:rsid w:val="00615283"/>
    <w:rsid w:val="00615907"/>
    <w:rsid w:val="006202AF"/>
    <w:rsid w:val="0062072C"/>
    <w:rsid w:val="00621B31"/>
    <w:rsid w:val="00623C28"/>
    <w:rsid w:val="006259F3"/>
    <w:rsid w:val="006261D1"/>
    <w:rsid w:val="00630C26"/>
    <w:rsid w:val="00634EE3"/>
    <w:rsid w:val="00635A2D"/>
    <w:rsid w:val="00635EA8"/>
    <w:rsid w:val="00636B12"/>
    <w:rsid w:val="00640FCE"/>
    <w:rsid w:val="00642DE7"/>
    <w:rsid w:val="006457F9"/>
    <w:rsid w:val="00645D43"/>
    <w:rsid w:val="006470ED"/>
    <w:rsid w:val="00647A41"/>
    <w:rsid w:val="006513FF"/>
    <w:rsid w:val="00651431"/>
    <w:rsid w:val="00651B78"/>
    <w:rsid w:val="0065223B"/>
    <w:rsid w:val="0065249F"/>
    <w:rsid w:val="006541D6"/>
    <w:rsid w:val="00655F38"/>
    <w:rsid w:val="00656ADA"/>
    <w:rsid w:val="00657AB5"/>
    <w:rsid w:val="0066084E"/>
    <w:rsid w:val="00664254"/>
    <w:rsid w:val="00665883"/>
    <w:rsid w:val="00667D9F"/>
    <w:rsid w:val="00670AEE"/>
    <w:rsid w:val="0067355D"/>
    <w:rsid w:val="00674232"/>
    <w:rsid w:val="00675C5E"/>
    <w:rsid w:val="0067695C"/>
    <w:rsid w:val="006772BE"/>
    <w:rsid w:val="006815C0"/>
    <w:rsid w:val="00682E70"/>
    <w:rsid w:val="00683A57"/>
    <w:rsid w:val="006851E0"/>
    <w:rsid w:val="00685A3E"/>
    <w:rsid w:val="006864FE"/>
    <w:rsid w:val="0068709E"/>
    <w:rsid w:val="006912C3"/>
    <w:rsid w:val="00692FB1"/>
    <w:rsid w:val="0069316B"/>
    <w:rsid w:val="0069347B"/>
    <w:rsid w:val="00694143"/>
    <w:rsid w:val="006952E4"/>
    <w:rsid w:val="00695E7C"/>
    <w:rsid w:val="00697918"/>
    <w:rsid w:val="006A0AAC"/>
    <w:rsid w:val="006A0BF1"/>
    <w:rsid w:val="006A0D21"/>
    <w:rsid w:val="006A102B"/>
    <w:rsid w:val="006A10C9"/>
    <w:rsid w:val="006A28F8"/>
    <w:rsid w:val="006A31CF"/>
    <w:rsid w:val="006A32AB"/>
    <w:rsid w:val="006A37FE"/>
    <w:rsid w:val="006A422B"/>
    <w:rsid w:val="006A4600"/>
    <w:rsid w:val="006A5FD4"/>
    <w:rsid w:val="006A6032"/>
    <w:rsid w:val="006A728F"/>
    <w:rsid w:val="006A7350"/>
    <w:rsid w:val="006A797B"/>
    <w:rsid w:val="006B09DD"/>
    <w:rsid w:val="006B0F5D"/>
    <w:rsid w:val="006B14CA"/>
    <w:rsid w:val="006B1871"/>
    <w:rsid w:val="006B2DA0"/>
    <w:rsid w:val="006B4AA6"/>
    <w:rsid w:val="006B7367"/>
    <w:rsid w:val="006C1060"/>
    <w:rsid w:val="006C15F1"/>
    <w:rsid w:val="006C1975"/>
    <w:rsid w:val="006C4076"/>
    <w:rsid w:val="006C5EBC"/>
    <w:rsid w:val="006C7F96"/>
    <w:rsid w:val="006D02E1"/>
    <w:rsid w:val="006D14C5"/>
    <w:rsid w:val="006D7E4B"/>
    <w:rsid w:val="006E0256"/>
    <w:rsid w:val="006E0703"/>
    <w:rsid w:val="006E2608"/>
    <w:rsid w:val="006E2648"/>
    <w:rsid w:val="006E293A"/>
    <w:rsid w:val="006E2ED6"/>
    <w:rsid w:val="006E3F1F"/>
    <w:rsid w:val="006E406C"/>
    <w:rsid w:val="006E48ED"/>
    <w:rsid w:val="006E6C4B"/>
    <w:rsid w:val="006E6E62"/>
    <w:rsid w:val="006E7A2F"/>
    <w:rsid w:val="006F41AA"/>
    <w:rsid w:val="00700557"/>
    <w:rsid w:val="00700F01"/>
    <w:rsid w:val="00701167"/>
    <w:rsid w:val="007023B7"/>
    <w:rsid w:val="00703CD6"/>
    <w:rsid w:val="00706D16"/>
    <w:rsid w:val="00710979"/>
    <w:rsid w:val="00713512"/>
    <w:rsid w:val="00713BA4"/>
    <w:rsid w:val="00715255"/>
    <w:rsid w:val="007167CE"/>
    <w:rsid w:val="007170B3"/>
    <w:rsid w:val="0072047C"/>
    <w:rsid w:val="00720E05"/>
    <w:rsid w:val="00721C82"/>
    <w:rsid w:val="007238F5"/>
    <w:rsid w:val="00724438"/>
    <w:rsid w:val="007256A4"/>
    <w:rsid w:val="007273D2"/>
    <w:rsid w:val="007316A3"/>
    <w:rsid w:val="007324BE"/>
    <w:rsid w:val="00732611"/>
    <w:rsid w:val="00732D54"/>
    <w:rsid w:val="00733506"/>
    <w:rsid w:val="00733EAE"/>
    <w:rsid w:val="00734956"/>
    <w:rsid w:val="00736930"/>
    <w:rsid w:val="00740E50"/>
    <w:rsid w:val="007426F0"/>
    <w:rsid w:val="00743119"/>
    <w:rsid w:val="00744E24"/>
    <w:rsid w:val="00745D50"/>
    <w:rsid w:val="00746E68"/>
    <w:rsid w:val="0075148F"/>
    <w:rsid w:val="00751640"/>
    <w:rsid w:val="00752B35"/>
    <w:rsid w:val="00753231"/>
    <w:rsid w:val="00754E10"/>
    <w:rsid w:val="007551C0"/>
    <w:rsid w:val="00755CCD"/>
    <w:rsid w:val="00756FF0"/>
    <w:rsid w:val="007570F6"/>
    <w:rsid w:val="007579D2"/>
    <w:rsid w:val="00760192"/>
    <w:rsid w:val="00760E14"/>
    <w:rsid w:val="0076324B"/>
    <w:rsid w:val="00765672"/>
    <w:rsid w:val="00766E2A"/>
    <w:rsid w:val="0077085B"/>
    <w:rsid w:val="007744AD"/>
    <w:rsid w:val="007768B9"/>
    <w:rsid w:val="0077750B"/>
    <w:rsid w:val="007826FE"/>
    <w:rsid w:val="007829AD"/>
    <w:rsid w:val="00784A94"/>
    <w:rsid w:val="00784C10"/>
    <w:rsid w:val="007857F4"/>
    <w:rsid w:val="0078632C"/>
    <w:rsid w:val="007863B0"/>
    <w:rsid w:val="007872CF"/>
    <w:rsid w:val="0079012F"/>
    <w:rsid w:val="00790275"/>
    <w:rsid w:val="007944E5"/>
    <w:rsid w:val="00796A5E"/>
    <w:rsid w:val="0079786F"/>
    <w:rsid w:val="00797B66"/>
    <w:rsid w:val="007A21BA"/>
    <w:rsid w:val="007A460A"/>
    <w:rsid w:val="007A5ADA"/>
    <w:rsid w:val="007A7040"/>
    <w:rsid w:val="007A71ED"/>
    <w:rsid w:val="007A76D3"/>
    <w:rsid w:val="007B11A5"/>
    <w:rsid w:val="007B31C2"/>
    <w:rsid w:val="007B45AF"/>
    <w:rsid w:val="007B584A"/>
    <w:rsid w:val="007C049E"/>
    <w:rsid w:val="007C07B9"/>
    <w:rsid w:val="007C0EBB"/>
    <w:rsid w:val="007C225E"/>
    <w:rsid w:val="007C29A5"/>
    <w:rsid w:val="007C2B30"/>
    <w:rsid w:val="007C39B2"/>
    <w:rsid w:val="007C5B8B"/>
    <w:rsid w:val="007D04BD"/>
    <w:rsid w:val="007D06AA"/>
    <w:rsid w:val="007D08B2"/>
    <w:rsid w:val="007D0EBB"/>
    <w:rsid w:val="007D3229"/>
    <w:rsid w:val="007D3A20"/>
    <w:rsid w:val="007D45A8"/>
    <w:rsid w:val="007D5121"/>
    <w:rsid w:val="007D53E8"/>
    <w:rsid w:val="007E0C02"/>
    <w:rsid w:val="007E0C4F"/>
    <w:rsid w:val="007E1E1F"/>
    <w:rsid w:val="007E288E"/>
    <w:rsid w:val="007E304C"/>
    <w:rsid w:val="007E4654"/>
    <w:rsid w:val="007E4F25"/>
    <w:rsid w:val="007E79CD"/>
    <w:rsid w:val="007E7A00"/>
    <w:rsid w:val="007E7C66"/>
    <w:rsid w:val="007F17C2"/>
    <w:rsid w:val="007F31C3"/>
    <w:rsid w:val="007F5B0B"/>
    <w:rsid w:val="007F630E"/>
    <w:rsid w:val="00802BBB"/>
    <w:rsid w:val="008030B7"/>
    <w:rsid w:val="0080476E"/>
    <w:rsid w:val="00811146"/>
    <w:rsid w:val="00811339"/>
    <w:rsid w:val="00815A13"/>
    <w:rsid w:val="008201F8"/>
    <w:rsid w:val="0082165D"/>
    <w:rsid w:val="00821D82"/>
    <w:rsid w:val="00822587"/>
    <w:rsid w:val="008233A1"/>
    <w:rsid w:val="00826070"/>
    <w:rsid w:val="00827303"/>
    <w:rsid w:val="00827CEB"/>
    <w:rsid w:val="00827F74"/>
    <w:rsid w:val="008312F6"/>
    <w:rsid w:val="00831759"/>
    <w:rsid w:val="008321E3"/>
    <w:rsid w:val="00832A8C"/>
    <w:rsid w:val="00834445"/>
    <w:rsid w:val="008360B1"/>
    <w:rsid w:val="00836138"/>
    <w:rsid w:val="0084010A"/>
    <w:rsid w:val="0084445D"/>
    <w:rsid w:val="00844B57"/>
    <w:rsid w:val="0084687B"/>
    <w:rsid w:val="0084711A"/>
    <w:rsid w:val="0085128A"/>
    <w:rsid w:val="00851C7D"/>
    <w:rsid w:val="00852762"/>
    <w:rsid w:val="00852A24"/>
    <w:rsid w:val="00852CE4"/>
    <w:rsid w:val="008550DB"/>
    <w:rsid w:val="008551AA"/>
    <w:rsid w:val="00857F5C"/>
    <w:rsid w:val="008626EB"/>
    <w:rsid w:val="008630AD"/>
    <w:rsid w:val="008631C7"/>
    <w:rsid w:val="0086379B"/>
    <w:rsid w:val="008643D0"/>
    <w:rsid w:val="00864CAF"/>
    <w:rsid w:val="008654B4"/>
    <w:rsid w:val="00865887"/>
    <w:rsid w:val="00866748"/>
    <w:rsid w:val="008668FB"/>
    <w:rsid w:val="00871F5D"/>
    <w:rsid w:val="00874301"/>
    <w:rsid w:val="00876551"/>
    <w:rsid w:val="00877915"/>
    <w:rsid w:val="008801BC"/>
    <w:rsid w:val="008809FE"/>
    <w:rsid w:val="008816EE"/>
    <w:rsid w:val="00883B21"/>
    <w:rsid w:val="00883CD9"/>
    <w:rsid w:val="008843D4"/>
    <w:rsid w:val="00885B0B"/>
    <w:rsid w:val="00885C38"/>
    <w:rsid w:val="008866EC"/>
    <w:rsid w:val="00886919"/>
    <w:rsid w:val="00886CBE"/>
    <w:rsid w:val="008870A7"/>
    <w:rsid w:val="00887163"/>
    <w:rsid w:val="00891315"/>
    <w:rsid w:val="00892A55"/>
    <w:rsid w:val="00892D61"/>
    <w:rsid w:val="00894034"/>
    <w:rsid w:val="008951B0"/>
    <w:rsid w:val="0089655A"/>
    <w:rsid w:val="008A066F"/>
    <w:rsid w:val="008A168F"/>
    <w:rsid w:val="008A2CC1"/>
    <w:rsid w:val="008A40A6"/>
    <w:rsid w:val="008A40AC"/>
    <w:rsid w:val="008A4A1C"/>
    <w:rsid w:val="008A4BC4"/>
    <w:rsid w:val="008A7196"/>
    <w:rsid w:val="008A7F74"/>
    <w:rsid w:val="008B0B38"/>
    <w:rsid w:val="008B4D05"/>
    <w:rsid w:val="008B5113"/>
    <w:rsid w:val="008B5AFA"/>
    <w:rsid w:val="008B5B99"/>
    <w:rsid w:val="008B66A2"/>
    <w:rsid w:val="008B7BC5"/>
    <w:rsid w:val="008C08C3"/>
    <w:rsid w:val="008C235B"/>
    <w:rsid w:val="008C28FB"/>
    <w:rsid w:val="008C2CAD"/>
    <w:rsid w:val="008C2FDB"/>
    <w:rsid w:val="008C4A6D"/>
    <w:rsid w:val="008C5145"/>
    <w:rsid w:val="008C5EBE"/>
    <w:rsid w:val="008C6D38"/>
    <w:rsid w:val="008C6E13"/>
    <w:rsid w:val="008D28B5"/>
    <w:rsid w:val="008D3993"/>
    <w:rsid w:val="008D3B48"/>
    <w:rsid w:val="008D4A84"/>
    <w:rsid w:val="008E39AD"/>
    <w:rsid w:val="008E4021"/>
    <w:rsid w:val="008E5721"/>
    <w:rsid w:val="008E6345"/>
    <w:rsid w:val="008E7061"/>
    <w:rsid w:val="008E729D"/>
    <w:rsid w:val="008E76F2"/>
    <w:rsid w:val="008F0530"/>
    <w:rsid w:val="008F16E6"/>
    <w:rsid w:val="008F175A"/>
    <w:rsid w:val="008F19BC"/>
    <w:rsid w:val="008F1B40"/>
    <w:rsid w:val="008F4275"/>
    <w:rsid w:val="008F4F6E"/>
    <w:rsid w:val="008F54EE"/>
    <w:rsid w:val="008F6CDC"/>
    <w:rsid w:val="0090041D"/>
    <w:rsid w:val="009017BF"/>
    <w:rsid w:val="009021D0"/>
    <w:rsid w:val="00904AFD"/>
    <w:rsid w:val="0090514F"/>
    <w:rsid w:val="00905680"/>
    <w:rsid w:val="00905A1C"/>
    <w:rsid w:val="00905BF5"/>
    <w:rsid w:val="009064FC"/>
    <w:rsid w:val="00907F9F"/>
    <w:rsid w:val="00911388"/>
    <w:rsid w:val="00913250"/>
    <w:rsid w:val="00913965"/>
    <w:rsid w:val="0091453B"/>
    <w:rsid w:val="009201AD"/>
    <w:rsid w:val="00920464"/>
    <w:rsid w:val="00920670"/>
    <w:rsid w:val="009207F1"/>
    <w:rsid w:val="00922AB1"/>
    <w:rsid w:val="00922C01"/>
    <w:rsid w:val="00922EF3"/>
    <w:rsid w:val="00925A52"/>
    <w:rsid w:val="00926D6B"/>
    <w:rsid w:val="0092765F"/>
    <w:rsid w:val="00927EBA"/>
    <w:rsid w:val="009316C2"/>
    <w:rsid w:val="00931880"/>
    <w:rsid w:val="00932E05"/>
    <w:rsid w:val="0093345C"/>
    <w:rsid w:val="00933888"/>
    <w:rsid w:val="009350BE"/>
    <w:rsid w:val="00935AAE"/>
    <w:rsid w:val="00935FE1"/>
    <w:rsid w:val="009364B4"/>
    <w:rsid w:val="00937A2D"/>
    <w:rsid w:val="00937F0C"/>
    <w:rsid w:val="009439D7"/>
    <w:rsid w:val="00943E78"/>
    <w:rsid w:val="00943EC0"/>
    <w:rsid w:val="00944951"/>
    <w:rsid w:val="0094614B"/>
    <w:rsid w:val="00946254"/>
    <w:rsid w:val="009466D7"/>
    <w:rsid w:val="00947531"/>
    <w:rsid w:val="00947A0B"/>
    <w:rsid w:val="00950AD3"/>
    <w:rsid w:val="00952532"/>
    <w:rsid w:val="0095367A"/>
    <w:rsid w:val="0095450B"/>
    <w:rsid w:val="009549B6"/>
    <w:rsid w:val="00955D2B"/>
    <w:rsid w:val="00956AD3"/>
    <w:rsid w:val="00957C6B"/>
    <w:rsid w:val="00964D3D"/>
    <w:rsid w:val="009655F2"/>
    <w:rsid w:val="00966CE6"/>
    <w:rsid w:val="0096758F"/>
    <w:rsid w:val="00967B57"/>
    <w:rsid w:val="00967E09"/>
    <w:rsid w:val="00970BB9"/>
    <w:rsid w:val="009716EE"/>
    <w:rsid w:val="0097391B"/>
    <w:rsid w:val="0097415A"/>
    <w:rsid w:val="009742C1"/>
    <w:rsid w:val="00976292"/>
    <w:rsid w:val="00977795"/>
    <w:rsid w:val="00977EC8"/>
    <w:rsid w:val="0098064E"/>
    <w:rsid w:val="00980FE0"/>
    <w:rsid w:val="0098239B"/>
    <w:rsid w:val="00983245"/>
    <w:rsid w:val="009841BB"/>
    <w:rsid w:val="00984744"/>
    <w:rsid w:val="009851E3"/>
    <w:rsid w:val="00986FDC"/>
    <w:rsid w:val="00987586"/>
    <w:rsid w:val="009904BE"/>
    <w:rsid w:val="00990AD0"/>
    <w:rsid w:val="00992371"/>
    <w:rsid w:val="00993B47"/>
    <w:rsid w:val="00994EAC"/>
    <w:rsid w:val="009A126B"/>
    <w:rsid w:val="009A2241"/>
    <w:rsid w:val="009A3968"/>
    <w:rsid w:val="009A452E"/>
    <w:rsid w:val="009A4A7F"/>
    <w:rsid w:val="009A4EEA"/>
    <w:rsid w:val="009A5F24"/>
    <w:rsid w:val="009A6933"/>
    <w:rsid w:val="009A7681"/>
    <w:rsid w:val="009B0646"/>
    <w:rsid w:val="009B16C3"/>
    <w:rsid w:val="009B1C20"/>
    <w:rsid w:val="009B3CE3"/>
    <w:rsid w:val="009B3E51"/>
    <w:rsid w:val="009B561F"/>
    <w:rsid w:val="009B5B1E"/>
    <w:rsid w:val="009B6180"/>
    <w:rsid w:val="009B65CF"/>
    <w:rsid w:val="009B72DA"/>
    <w:rsid w:val="009B7E99"/>
    <w:rsid w:val="009C0238"/>
    <w:rsid w:val="009C057D"/>
    <w:rsid w:val="009C1564"/>
    <w:rsid w:val="009C7033"/>
    <w:rsid w:val="009D1B70"/>
    <w:rsid w:val="009D1D89"/>
    <w:rsid w:val="009D3EF4"/>
    <w:rsid w:val="009D5084"/>
    <w:rsid w:val="009D6763"/>
    <w:rsid w:val="009D74BA"/>
    <w:rsid w:val="009E131C"/>
    <w:rsid w:val="009E1397"/>
    <w:rsid w:val="009E16BA"/>
    <w:rsid w:val="009E173A"/>
    <w:rsid w:val="009E2605"/>
    <w:rsid w:val="009E275F"/>
    <w:rsid w:val="009E595E"/>
    <w:rsid w:val="009E5B23"/>
    <w:rsid w:val="009E5F51"/>
    <w:rsid w:val="009E732E"/>
    <w:rsid w:val="009E77E7"/>
    <w:rsid w:val="009F0063"/>
    <w:rsid w:val="009F10E7"/>
    <w:rsid w:val="009F204E"/>
    <w:rsid w:val="009F26DC"/>
    <w:rsid w:val="009F592A"/>
    <w:rsid w:val="009F6490"/>
    <w:rsid w:val="009F66B1"/>
    <w:rsid w:val="009F6C5E"/>
    <w:rsid w:val="009F6CC5"/>
    <w:rsid w:val="00A00501"/>
    <w:rsid w:val="00A00C42"/>
    <w:rsid w:val="00A01700"/>
    <w:rsid w:val="00A02596"/>
    <w:rsid w:val="00A02E32"/>
    <w:rsid w:val="00A04A12"/>
    <w:rsid w:val="00A0668A"/>
    <w:rsid w:val="00A11B1E"/>
    <w:rsid w:val="00A13A55"/>
    <w:rsid w:val="00A13DB6"/>
    <w:rsid w:val="00A142BB"/>
    <w:rsid w:val="00A20D32"/>
    <w:rsid w:val="00A23FBC"/>
    <w:rsid w:val="00A24F88"/>
    <w:rsid w:val="00A25378"/>
    <w:rsid w:val="00A25CE2"/>
    <w:rsid w:val="00A25E12"/>
    <w:rsid w:val="00A26847"/>
    <w:rsid w:val="00A27797"/>
    <w:rsid w:val="00A27C37"/>
    <w:rsid w:val="00A27FFA"/>
    <w:rsid w:val="00A30C74"/>
    <w:rsid w:val="00A31CF7"/>
    <w:rsid w:val="00A3298B"/>
    <w:rsid w:val="00A32BBC"/>
    <w:rsid w:val="00A361F7"/>
    <w:rsid w:val="00A3620B"/>
    <w:rsid w:val="00A36AF3"/>
    <w:rsid w:val="00A37448"/>
    <w:rsid w:val="00A37A0B"/>
    <w:rsid w:val="00A4138A"/>
    <w:rsid w:val="00A41735"/>
    <w:rsid w:val="00A427DC"/>
    <w:rsid w:val="00A42A04"/>
    <w:rsid w:val="00A42AA1"/>
    <w:rsid w:val="00A42CCB"/>
    <w:rsid w:val="00A43560"/>
    <w:rsid w:val="00A44198"/>
    <w:rsid w:val="00A4495A"/>
    <w:rsid w:val="00A509CC"/>
    <w:rsid w:val="00A51C9D"/>
    <w:rsid w:val="00A51D90"/>
    <w:rsid w:val="00A528D2"/>
    <w:rsid w:val="00A529C0"/>
    <w:rsid w:val="00A52A58"/>
    <w:rsid w:val="00A53CEF"/>
    <w:rsid w:val="00A55590"/>
    <w:rsid w:val="00A55697"/>
    <w:rsid w:val="00A6274F"/>
    <w:rsid w:val="00A627D9"/>
    <w:rsid w:val="00A63B28"/>
    <w:rsid w:val="00A649BB"/>
    <w:rsid w:val="00A657DA"/>
    <w:rsid w:val="00A6626B"/>
    <w:rsid w:val="00A71720"/>
    <w:rsid w:val="00A722C1"/>
    <w:rsid w:val="00A73B1C"/>
    <w:rsid w:val="00A758E7"/>
    <w:rsid w:val="00A75D04"/>
    <w:rsid w:val="00A81345"/>
    <w:rsid w:val="00A82E88"/>
    <w:rsid w:val="00A84441"/>
    <w:rsid w:val="00A905BF"/>
    <w:rsid w:val="00A90631"/>
    <w:rsid w:val="00A915B3"/>
    <w:rsid w:val="00A93792"/>
    <w:rsid w:val="00A9511D"/>
    <w:rsid w:val="00A953A0"/>
    <w:rsid w:val="00AA0E2C"/>
    <w:rsid w:val="00AA1914"/>
    <w:rsid w:val="00AA34C2"/>
    <w:rsid w:val="00AA3F6E"/>
    <w:rsid w:val="00AA6AAE"/>
    <w:rsid w:val="00AA7A59"/>
    <w:rsid w:val="00AB2EAA"/>
    <w:rsid w:val="00AB4278"/>
    <w:rsid w:val="00AB511A"/>
    <w:rsid w:val="00AB59A1"/>
    <w:rsid w:val="00AB5EC2"/>
    <w:rsid w:val="00AB66B2"/>
    <w:rsid w:val="00AC128E"/>
    <w:rsid w:val="00AC2CC7"/>
    <w:rsid w:val="00AC2D35"/>
    <w:rsid w:val="00AC3018"/>
    <w:rsid w:val="00AC3B7C"/>
    <w:rsid w:val="00AC7872"/>
    <w:rsid w:val="00AC7CE4"/>
    <w:rsid w:val="00AD1A6E"/>
    <w:rsid w:val="00AD2360"/>
    <w:rsid w:val="00AD26AD"/>
    <w:rsid w:val="00AD2716"/>
    <w:rsid w:val="00AD2CA1"/>
    <w:rsid w:val="00AD34BE"/>
    <w:rsid w:val="00AD39F4"/>
    <w:rsid w:val="00AD4F92"/>
    <w:rsid w:val="00AD72F0"/>
    <w:rsid w:val="00AD7559"/>
    <w:rsid w:val="00AD7F0E"/>
    <w:rsid w:val="00AE1215"/>
    <w:rsid w:val="00AE1C49"/>
    <w:rsid w:val="00AE1D3C"/>
    <w:rsid w:val="00AE1D78"/>
    <w:rsid w:val="00AE298E"/>
    <w:rsid w:val="00AE3540"/>
    <w:rsid w:val="00AE677B"/>
    <w:rsid w:val="00AE7B4B"/>
    <w:rsid w:val="00AF05AF"/>
    <w:rsid w:val="00AF1DFF"/>
    <w:rsid w:val="00AF4D5E"/>
    <w:rsid w:val="00AF551E"/>
    <w:rsid w:val="00AF5B60"/>
    <w:rsid w:val="00AF7222"/>
    <w:rsid w:val="00AF76E8"/>
    <w:rsid w:val="00AF7BBA"/>
    <w:rsid w:val="00B0209D"/>
    <w:rsid w:val="00B03FD3"/>
    <w:rsid w:val="00B0466E"/>
    <w:rsid w:val="00B06656"/>
    <w:rsid w:val="00B06ED4"/>
    <w:rsid w:val="00B11653"/>
    <w:rsid w:val="00B12E72"/>
    <w:rsid w:val="00B130AE"/>
    <w:rsid w:val="00B13917"/>
    <w:rsid w:val="00B13B09"/>
    <w:rsid w:val="00B13B25"/>
    <w:rsid w:val="00B14829"/>
    <w:rsid w:val="00B1515B"/>
    <w:rsid w:val="00B159BF"/>
    <w:rsid w:val="00B15BD5"/>
    <w:rsid w:val="00B170DC"/>
    <w:rsid w:val="00B1776B"/>
    <w:rsid w:val="00B17E7C"/>
    <w:rsid w:val="00B212FE"/>
    <w:rsid w:val="00B227AA"/>
    <w:rsid w:val="00B23DCE"/>
    <w:rsid w:val="00B24F1C"/>
    <w:rsid w:val="00B274B3"/>
    <w:rsid w:val="00B275D5"/>
    <w:rsid w:val="00B34CA8"/>
    <w:rsid w:val="00B3550E"/>
    <w:rsid w:val="00B363C7"/>
    <w:rsid w:val="00B36E34"/>
    <w:rsid w:val="00B37171"/>
    <w:rsid w:val="00B37ED2"/>
    <w:rsid w:val="00B4484B"/>
    <w:rsid w:val="00B44C7F"/>
    <w:rsid w:val="00B45BD6"/>
    <w:rsid w:val="00B47C56"/>
    <w:rsid w:val="00B51C37"/>
    <w:rsid w:val="00B53CC7"/>
    <w:rsid w:val="00B54F1B"/>
    <w:rsid w:val="00B5735E"/>
    <w:rsid w:val="00B60D72"/>
    <w:rsid w:val="00B61037"/>
    <w:rsid w:val="00B6199F"/>
    <w:rsid w:val="00B64EB0"/>
    <w:rsid w:val="00B6560B"/>
    <w:rsid w:val="00B70799"/>
    <w:rsid w:val="00B76D77"/>
    <w:rsid w:val="00B80335"/>
    <w:rsid w:val="00B8256F"/>
    <w:rsid w:val="00B83A35"/>
    <w:rsid w:val="00B848D6"/>
    <w:rsid w:val="00B84F4E"/>
    <w:rsid w:val="00B85298"/>
    <w:rsid w:val="00B8660E"/>
    <w:rsid w:val="00B8703C"/>
    <w:rsid w:val="00B87615"/>
    <w:rsid w:val="00B9241E"/>
    <w:rsid w:val="00B9271C"/>
    <w:rsid w:val="00B977D5"/>
    <w:rsid w:val="00BA1429"/>
    <w:rsid w:val="00BA31B6"/>
    <w:rsid w:val="00BA5F31"/>
    <w:rsid w:val="00BB0751"/>
    <w:rsid w:val="00BB1F5F"/>
    <w:rsid w:val="00BB3AC7"/>
    <w:rsid w:val="00BB481C"/>
    <w:rsid w:val="00BB4D9D"/>
    <w:rsid w:val="00BB54B5"/>
    <w:rsid w:val="00BB5BB9"/>
    <w:rsid w:val="00BB5E6B"/>
    <w:rsid w:val="00BB7F8B"/>
    <w:rsid w:val="00BC0492"/>
    <w:rsid w:val="00BC27DD"/>
    <w:rsid w:val="00BC3B17"/>
    <w:rsid w:val="00BC4A24"/>
    <w:rsid w:val="00BC5AD5"/>
    <w:rsid w:val="00BD160C"/>
    <w:rsid w:val="00BD2BA6"/>
    <w:rsid w:val="00BD31F2"/>
    <w:rsid w:val="00BD3AB9"/>
    <w:rsid w:val="00BD44DB"/>
    <w:rsid w:val="00BD56C3"/>
    <w:rsid w:val="00BD5E0B"/>
    <w:rsid w:val="00BE0984"/>
    <w:rsid w:val="00BE0BF4"/>
    <w:rsid w:val="00BE17E8"/>
    <w:rsid w:val="00BE2038"/>
    <w:rsid w:val="00BE3B03"/>
    <w:rsid w:val="00BE531D"/>
    <w:rsid w:val="00BF3579"/>
    <w:rsid w:val="00BF378B"/>
    <w:rsid w:val="00BF4581"/>
    <w:rsid w:val="00BF48BF"/>
    <w:rsid w:val="00BF54DB"/>
    <w:rsid w:val="00BF5BAB"/>
    <w:rsid w:val="00BF755A"/>
    <w:rsid w:val="00C00816"/>
    <w:rsid w:val="00C00CE0"/>
    <w:rsid w:val="00C01544"/>
    <w:rsid w:val="00C01A43"/>
    <w:rsid w:val="00C024C1"/>
    <w:rsid w:val="00C02C66"/>
    <w:rsid w:val="00C0322D"/>
    <w:rsid w:val="00C037EF"/>
    <w:rsid w:val="00C03A77"/>
    <w:rsid w:val="00C044CB"/>
    <w:rsid w:val="00C04B00"/>
    <w:rsid w:val="00C103F9"/>
    <w:rsid w:val="00C10B64"/>
    <w:rsid w:val="00C128AE"/>
    <w:rsid w:val="00C170DC"/>
    <w:rsid w:val="00C17551"/>
    <w:rsid w:val="00C2002C"/>
    <w:rsid w:val="00C21F68"/>
    <w:rsid w:val="00C234B1"/>
    <w:rsid w:val="00C240E5"/>
    <w:rsid w:val="00C27EA5"/>
    <w:rsid w:val="00C31420"/>
    <w:rsid w:val="00C324DE"/>
    <w:rsid w:val="00C3291D"/>
    <w:rsid w:val="00C33907"/>
    <w:rsid w:val="00C3441C"/>
    <w:rsid w:val="00C414F5"/>
    <w:rsid w:val="00C43AEF"/>
    <w:rsid w:val="00C44903"/>
    <w:rsid w:val="00C46E20"/>
    <w:rsid w:val="00C509D6"/>
    <w:rsid w:val="00C51AB3"/>
    <w:rsid w:val="00C52AD9"/>
    <w:rsid w:val="00C54396"/>
    <w:rsid w:val="00C5450A"/>
    <w:rsid w:val="00C55A59"/>
    <w:rsid w:val="00C57D8D"/>
    <w:rsid w:val="00C606A8"/>
    <w:rsid w:val="00C62E70"/>
    <w:rsid w:val="00C634AA"/>
    <w:rsid w:val="00C65A65"/>
    <w:rsid w:val="00C65FD3"/>
    <w:rsid w:val="00C662D3"/>
    <w:rsid w:val="00C668FA"/>
    <w:rsid w:val="00C71174"/>
    <w:rsid w:val="00C71B42"/>
    <w:rsid w:val="00C71E8E"/>
    <w:rsid w:val="00C7392C"/>
    <w:rsid w:val="00C73E47"/>
    <w:rsid w:val="00C74809"/>
    <w:rsid w:val="00C76FAF"/>
    <w:rsid w:val="00C810FA"/>
    <w:rsid w:val="00C82209"/>
    <w:rsid w:val="00C8234B"/>
    <w:rsid w:val="00C83763"/>
    <w:rsid w:val="00C84E15"/>
    <w:rsid w:val="00C852E3"/>
    <w:rsid w:val="00C8580A"/>
    <w:rsid w:val="00C92D46"/>
    <w:rsid w:val="00C93282"/>
    <w:rsid w:val="00C933CA"/>
    <w:rsid w:val="00C93B2B"/>
    <w:rsid w:val="00C93B7C"/>
    <w:rsid w:val="00C95A84"/>
    <w:rsid w:val="00C95D04"/>
    <w:rsid w:val="00C97E2C"/>
    <w:rsid w:val="00CA0396"/>
    <w:rsid w:val="00CA14E7"/>
    <w:rsid w:val="00CA1EE6"/>
    <w:rsid w:val="00CA3866"/>
    <w:rsid w:val="00CA4ABC"/>
    <w:rsid w:val="00CA4EFA"/>
    <w:rsid w:val="00CA5AE6"/>
    <w:rsid w:val="00CA66FE"/>
    <w:rsid w:val="00CA7F6E"/>
    <w:rsid w:val="00CB1676"/>
    <w:rsid w:val="00CB2168"/>
    <w:rsid w:val="00CB2326"/>
    <w:rsid w:val="00CB43D6"/>
    <w:rsid w:val="00CB4FC7"/>
    <w:rsid w:val="00CC0020"/>
    <w:rsid w:val="00CC15A2"/>
    <w:rsid w:val="00CC1E23"/>
    <w:rsid w:val="00CC4188"/>
    <w:rsid w:val="00CC4210"/>
    <w:rsid w:val="00CC45F0"/>
    <w:rsid w:val="00CC595F"/>
    <w:rsid w:val="00CC6B2B"/>
    <w:rsid w:val="00CC6E83"/>
    <w:rsid w:val="00CC77C1"/>
    <w:rsid w:val="00CD1FDF"/>
    <w:rsid w:val="00CD3F1C"/>
    <w:rsid w:val="00CD5558"/>
    <w:rsid w:val="00CD690A"/>
    <w:rsid w:val="00CD6976"/>
    <w:rsid w:val="00CD6AFF"/>
    <w:rsid w:val="00CE0F29"/>
    <w:rsid w:val="00CE19FF"/>
    <w:rsid w:val="00CE22CF"/>
    <w:rsid w:val="00CE33D9"/>
    <w:rsid w:val="00CE46AF"/>
    <w:rsid w:val="00CE53D2"/>
    <w:rsid w:val="00CE669D"/>
    <w:rsid w:val="00CE7376"/>
    <w:rsid w:val="00CE7A37"/>
    <w:rsid w:val="00CE7F02"/>
    <w:rsid w:val="00CF00DE"/>
    <w:rsid w:val="00CF0BDC"/>
    <w:rsid w:val="00CF2A33"/>
    <w:rsid w:val="00CF53C2"/>
    <w:rsid w:val="00CF5A0E"/>
    <w:rsid w:val="00CF60C1"/>
    <w:rsid w:val="00CF77CD"/>
    <w:rsid w:val="00D0040A"/>
    <w:rsid w:val="00D00F0E"/>
    <w:rsid w:val="00D03297"/>
    <w:rsid w:val="00D04091"/>
    <w:rsid w:val="00D0575C"/>
    <w:rsid w:val="00D05F49"/>
    <w:rsid w:val="00D0600B"/>
    <w:rsid w:val="00D07A32"/>
    <w:rsid w:val="00D102D9"/>
    <w:rsid w:val="00D10370"/>
    <w:rsid w:val="00D105A3"/>
    <w:rsid w:val="00D1070C"/>
    <w:rsid w:val="00D11656"/>
    <w:rsid w:val="00D17D06"/>
    <w:rsid w:val="00D17DAC"/>
    <w:rsid w:val="00D22804"/>
    <w:rsid w:val="00D2426D"/>
    <w:rsid w:val="00D24AB6"/>
    <w:rsid w:val="00D24B5A"/>
    <w:rsid w:val="00D2524D"/>
    <w:rsid w:val="00D261E5"/>
    <w:rsid w:val="00D268FF"/>
    <w:rsid w:val="00D3021C"/>
    <w:rsid w:val="00D30D52"/>
    <w:rsid w:val="00D323D0"/>
    <w:rsid w:val="00D33361"/>
    <w:rsid w:val="00D35201"/>
    <w:rsid w:val="00D3650F"/>
    <w:rsid w:val="00D41C49"/>
    <w:rsid w:val="00D41FD5"/>
    <w:rsid w:val="00D43249"/>
    <w:rsid w:val="00D46290"/>
    <w:rsid w:val="00D46422"/>
    <w:rsid w:val="00D46549"/>
    <w:rsid w:val="00D47146"/>
    <w:rsid w:val="00D4733B"/>
    <w:rsid w:val="00D512AD"/>
    <w:rsid w:val="00D51611"/>
    <w:rsid w:val="00D51A7D"/>
    <w:rsid w:val="00D52207"/>
    <w:rsid w:val="00D5243A"/>
    <w:rsid w:val="00D52BD2"/>
    <w:rsid w:val="00D55A50"/>
    <w:rsid w:val="00D57140"/>
    <w:rsid w:val="00D60A53"/>
    <w:rsid w:val="00D62B20"/>
    <w:rsid w:val="00D6459D"/>
    <w:rsid w:val="00D647F3"/>
    <w:rsid w:val="00D656B1"/>
    <w:rsid w:val="00D66668"/>
    <w:rsid w:val="00D67BCD"/>
    <w:rsid w:val="00D72577"/>
    <w:rsid w:val="00D73441"/>
    <w:rsid w:val="00D7556A"/>
    <w:rsid w:val="00D75599"/>
    <w:rsid w:val="00D77BB6"/>
    <w:rsid w:val="00D821AF"/>
    <w:rsid w:val="00D82897"/>
    <w:rsid w:val="00D83555"/>
    <w:rsid w:val="00D83645"/>
    <w:rsid w:val="00D8366E"/>
    <w:rsid w:val="00D83F09"/>
    <w:rsid w:val="00D83FF8"/>
    <w:rsid w:val="00D84BDF"/>
    <w:rsid w:val="00D864FC"/>
    <w:rsid w:val="00D86D3C"/>
    <w:rsid w:val="00D87A59"/>
    <w:rsid w:val="00D906EA"/>
    <w:rsid w:val="00D90D8E"/>
    <w:rsid w:val="00D914FF"/>
    <w:rsid w:val="00D91C89"/>
    <w:rsid w:val="00D925F7"/>
    <w:rsid w:val="00D92CE4"/>
    <w:rsid w:val="00D92DC3"/>
    <w:rsid w:val="00D9303A"/>
    <w:rsid w:val="00D93176"/>
    <w:rsid w:val="00D93E6C"/>
    <w:rsid w:val="00D942B5"/>
    <w:rsid w:val="00D94525"/>
    <w:rsid w:val="00D96159"/>
    <w:rsid w:val="00D96BDD"/>
    <w:rsid w:val="00D977B3"/>
    <w:rsid w:val="00D97883"/>
    <w:rsid w:val="00D979C9"/>
    <w:rsid w:val="00D97AEB"/>
    <w:rsid w:val="00D97E5D"/>
    <w:rsid w:val="00DA059D"/>
    <w:rsid w:val="00DA05F6"/>
    <w:rsid w:val="00DA07EE"/>
    <w:rsid w:val="00DA109B"/>
    <w:rsid w:val="00DA24D3"/>
    <w:rsid w:val="00DA2895"/>
    <w:rsid w:val="00DA5071"/>
    <w:rsid w:val="00DA5DE2"/>
    <w:rsid w:val="00DB0149"/>
    <w:rsid w:val="00DB0211"/>
    <w:rsid w:val="00DB19DF"/>
    <w:rsid w:val="00DB1BB8"/>
    <w:rsid w:val="00DB3E6C"/>
    <w:rsid w:val="00DB4386"/>
    <w:rsid w:val="00DB43A5"/>
    <w:rsid w:val="00DB5156"/>
    <w:rsid w:val="00DB558F"/>
    <w:rsid w:val="00DB638F"/>
    <w:rsid w:val="00DB6ED5"/>
    <w:rsid w:val="00DC2CFC"/>
    <w:rsid w:val="00DC3676"/>
    <w:rsid w:val="00DC4A4D"/>
    <w:rsid w:val="00DC5753"/>
    <w:rsid w:val="00DC7763"/>
    <w:rsid w:val="00DC78EB"/>
    <w:rsid w:val="00DD0F32"/>
    <w:rsid w:val="00DD2B26"/>
    <w:rsid w:val="00DD303D"/>
    <w:rsid w:val="00DD3D70"/>
    <w:rsid w:val="00DD7B98"/>
    <w:rsid w:val="00DE0556"/>
    <w:rsid w:val="00DE230F"/>
    <w:rsid w:val="00DE380A"/>
    <w:rsid w:val="00DE3D0C"/>
    <w:rsid w:val="00DE4567"/>
    <w:rsid w:val="00DE4F9D"/>
    <w:rsid w:val="00DE64E0"/>
    <w:rsid w:val="00DE653B"/>
    <w:rsid w:val="00DE78A0"/>
    <w:rsid w:val="00DF057A"/>
    <w:rsid w:val="00DF118E"/>
    <w:rsid w:val="00DF1C77"/>
    <w:rsid w:val="00DF281E"/>
    <w:rsid w:val="00DF2C4B"/>
    <w:rsid w:val="00DF3DB5"/>
    <w:rsid w:val="00DF41F3"/>
    <w:rsid w:val="00DF44DD"/>
    <w:rsid w:val="00DF49C7"/>
    <w:rsid w:val="00DF5680"/>
    <w:rsid w:val="00DF5F37"/>
    <w:rsid w:val="00DF73CE"/>
    <w:rsid w:val="00E003AF"/>
    <w:rsid w:val="00E01952"/>
    <w:rsid w:val="00E01D20"/>
    <w:rsid w:val="00E01FF5"/>
    <w:rsid w:val="00E02608"/>
    <w:rsid w:val="00E029DF"/>
    <w:rsid w:val="00E033FB"/>
    <w:rsid w:val="00E0387B"/>
    <w:rsid w:val="00E043B6"/>
    <w:rsid w:val="00E05174"/>
    <w:rsid w:val="00E1071E"/>
    <w:rsid w:val="00E1182B"/>
    <w:rsid w:val="00E12221"/>
    <w:rsid w:val="00E132C8"/>
    <w:rsid w:val="00E13F32"/>
    <w:rsid w:val="00E15DCA"/>
    <w:rsid w:val="00E1614C"/>
    <w:rsid w:val="00E16D6D"/>
    <w:rsid w:val="00E17724"/>
    <w:rsid w:val="00E178AB"/>
    <w:rsid w:val="00E17ACE"/>
    <w:rsid w:val="00E17E28"/>
    <w:rsid w:val="00E213CD"/>
    <w:rsid w:val="00E22A0C"/>
    <w:rsid w:val="00E24B30"/>
    <w:rsid w:val="00E25E18"/>
    <w:rsid w:val="00E3117D"/>
    <w:rsid w:val="00E31204"/>
    <w:rsid w:val="00E31735"/>
    <w:rsid w:val="00E34059"/>
    <w:rsid w:val="00E400CC"/>
    <w:rsid w:val="00E41781"/>
    <w:rsid w:val="00E423DB"/>
    <w:rsid w:val="00E4385D"/>
    <w:rsid w:val="00E445A5"/>
    <w:rsid w:val="00E44A9E"/>
    <w:rsid w:val="00E5168E"/>
    <w:rsid w:val="00E52F31"/>
    <w:rsid w:val="00E53262"/>
    <w:rsid w:val="00E53F70"/>
    <w:rsid w:val="00E5412D"/>
    <w:rsid w:val="00E54D5C"/>
    <w:rsid w:val="00E54E7C"/>
    <w:rsid w:val="00E54EDE"/>
    <w:rsid w:val="00E60470"/>
    <w:rsid w:val="00E60538"/>
    <w:rsid w:val="00E61C6A"/>
    <w:rsid w:val="00E62DCF"/>
    <w:rsid w:val="00E62FE6"/>
    <w:rsid w:val="00E632DB"/>
    <w:rsid w:val="00E65AE9"/>
    <w:rsid w:val="00E66222"/>
    <w:rsid w:val="00E67324"/>
    <w:rsid w:val="00E73EA2"/>
    <w:rsid w:val="00E7471A"/>
    <w:rsid w:val="00E76BBF"/>
    <w:rsid w:val="00E76DB0"/>
    <w:rsid w:val="00E7712D"/>
    <w:rsid w:val="00E772DD"/>
    <w:rsid w:val="00E778DF"/>
    <w:rsid w:val="00E807D4"/>
    <w:rsid w:val="00E810DA"/>
    <w:rsid w:val="00E8120B"/>
    <w:rsid w:val="00E82C05"/>
    <w:rsid w:val="00E82E94"/>
    <w:rsid w:val="00E8340C"/>
    <w:rsid w:val="00E83A34"/>
    <w:rsid w:val="00E860C9"/>
    <w:rsid w:val="00E86F8C"/>
    <w:rsid w:val="00E8745B"/>
    <w:rsid w:val="00E87D8F"/>
    <w:rsid w:val="00E902B0"/>
    <w:rsid w:val="00E90C7B"/>
    <w:rsid w:val="00E917EC"/>
    <w:rsid w:val="00E91CA1"/>
    <w:rsid w:val="00E93D0A"/>
    <w:rsid w:val="00E96EEB"/>
    <w:rsid w:val="00E976D3"/>
    <w:rsid w:val="00EA0130"/>
    <w:rsid w:val="00EA1D84"/>
    <w:rsid w:val="00EA253A"/>
    <w:rsid w:val="00EA28AA"/>
    <w:rsid w:val="00EA35B0"/>
    <w:rsid w:val="00EA4195"/>
    <w:rsid w:val="00EA473B"/>
    <w:rsid w:val="00EA5B45"/>
    <w:rsid w:val="00EA5F57"/>
    <w:rsid w:val="00EA7601"/>
    <w:rsid w:val="00EB08D0"/>
    <w:rsid w:val="00EB12A3"/>
    <w:rsid w:val="00EB2154"/>
    <w:rsid w:val="00EB2261"/>
    <w:rsid w:val="00EB2C52"/>
    <w:rsid w:val="00EB4E2C"/>
    <w:rsid w:val="00EB542D"/>
    <w:rsid w:val="00EB5FEC"/>
    <w:rsid w:val="00EC085A"/>
    <w:rsid w:val="00EC37F5"/>
    <w:rsid w:val="00EC38C8"/>
    <w:rsid w:val="00EC53D2"/>
    <w:rsid w:val="00EC5D36"/>
    <w:rsid w:val="00EC792F"/>
    <w:rsid w:val="00ED0D42"/>
    <w:rsid w:val="00ED17C8"/>
    <w:rsid w:val="00ED2B15"/>
    <w:rsid w:val="00ED2D78"/>
    <w:rsid w:val="00ED397B"/>
    <w:rsid w:val="00ED7210"/>
    <w:rsid w:val="00ED77C0"/>
    <w:rsid w:val="00EE03C2"/>
    <w:rsid w:val="00EE08E2"/>
    <w:rsid w:val="00EE27CC"/>
    <w:rsid w:val="00EE29DF"/>
    <w:rsid w:val="00EE318A"/>
    <w:rsid w:val="00EE6C42"/>
    <w:rsid w:val="00EF1855"/>
    <w:rsid w:val="00EF18D6"/>
    <w:rsid w:val="00EF273A"/>
    <w:rsid w:val="00EF53FB"/>
    <w:rsid w:val="00EF5CE6"/>
    <w:rsid w:val="00EF7C61"/>
    <w:rsid w:val="00F002F5"/>
    <w:rsid w:val="00F00891"/>
    <w:rsid w:val="00F02257"/>
    <w:rsid w:val="00F03AB7"/>
    <w:rsid w:val="00F03F6A"/>
    <w:rsid w:val="00F05324"/>
    <w:rsid w:val="00F05D31"/>
    <w:rsid w:val="00F06ED6"/>
    <w:rsid w:val="00F13BED"/>
    <w:rsid w:val="00F14C17"/>
    <w:rsid w:val="00F15697"/>
    <w:rsid w:val="00F15AB8"/>
    <w:rsid w:val="00F15F6C"/>
    <w:rsid w:val="00F1769F"/>
    <w:rsid w:val="00F17DEE"/>
    <w:rsid w:val="00F20A5F"/>
    <w:rsid w:val="00F2336C"/>
    <w:rsid w:val="00F23F25"/>
    <w:rsid w:val="00F24401"/>
    <w:rsid w:val="00F24484"/>
    <w:rsid w:val="00F27B7C"/>
    <w:rsid w:val="00F33D17"/>
    <w:rsid w:val="00F34C10"/>
    <w:rsid w:val="00F350E9"/>
    <w:rsid w:val="00F35173"/>
    <w:rsid w:val="00F357C4"/>
    <w:rsid w:val="00F35C3F"/>
    <w:rsid w:val="00F3699E"/>
    <w:rsid w:val="00F37418"/>
    <w:rsid w:val="00F37AAD"/>
    <w:rsid w:val="00F37B3F"/>
    <w:rsid w:val="00F37BE4"/>
    <w:rsid w:val="00F4092F"/>
    <w:rsid w:val="00F410C2"/>
    <w:rsid w:val="00F4136B"/>
    <w:rsid w:val="00F42CB9"/>
    <w:rsid w:val="00F43F00"/>
    <w:rsid w:val="00F4508B"/>
    <w:rsid w:val="00F4529E"/>
    <w:rsid w:val="00F4553D"/>
    <w:rsid w:val="00F47280"/>
    <w:rsid w:val="00F505FD"/>
    <w:rsid w:val="00F512C9"/>
    <w:rsid w:val="00F517F1"/>
    <w:rsid w:val="00F52127"/>
    <w:rsid w:val="00F56683"/>
    <w:rsid w:val="00F570E0"/>
    <w:rsid w:val="00F60402"/>
    <w:rsid w:val="00F621AC"/>
    <w:rsid w:val="00F62580"/>
    <w:rsid w:val="00F6276A"/>
    <w:rsid w:val="00F63AEC"/>
    <w:rsid w:val="00F63B10"/>
    <w:rsid w:val="00F63FA7"/>
    <w:rsid w:val="00F65172"/>
    <w:rsid w:val="00F65417"/>
    <w:rsid w:val="00F6623B"/>
    <w:rsid w:val="00F66968"/>
    <w:rsid w:val="00F66FC3"/>
    <w:rsid w:val="00F67363"/>
    <w:rsid w:val="00F674B7"/>
    <w:rsid w:val="00F678BF"/>
    <w:rsid w:val="00F70725"/>
    <w:rsid w:val="00F71E73"/>
    <w:rsid w:val="00F72DEB"/>
    <w:rsid w:val="00F733E5"/>
    <w:rsid w:val="00F74638"/>
    <w:rsid w:val="00F747B0"/>
    <w:rsid w:val="00F75996"/>
    <w:rsid w:val="00F76932"/>
    <w:rsid w:val="00F77880"/>
    <w:rsid w:val="00F77E9B"/>
    <w:rsid w:val="00F80865"/>
    <w:rsid w:val="00F812A3"/>
    <w:rsid w:val="00F8180E"/>
    <w:rsid w:val="00F82BC0"/>
    <w:rsid w:val="00F833F3"/>
    <w:rsid w:val="00F83592"/>
    <w:rsid w:val="00F842ED"/>
    <w:rsid w:val="00F844C0"/>
    <w:rsid w:val="00F85018"/>
    <w:rsid w:val="00F9086E"/>
    <w:rsid w:val="00F90CAD"/>
    <w:rsid w:val="00F92A8A"/>
    <w:rsid w:val="00F96AF2"/>
    <w:rsid w:val="00FA14E0"/>
    <w:rsid w:val="00FA159C"/>
    <w:rsid w:val="00FA2AC7"/>
    <w:rsid w:val="00FA31B6"/>
    <w:rsid w:val="00FA6DE2"/>
    <w:rsid w:val="00FB0089"/>
    <w:rsid w:val="00FB0BA2"/>
    <w:rsid w:val="00FB4249"/>
    <w:rsid w:val="00FB560B"/>
    <w:rsid w:val="00FB7510"/>
    <w:rsid w:val="00FB7C1F"/>
    <w:rsid w:val="00FB7D41"/>
    <w:rsid w:val="00FC1E35"/>
    <w:rsid w:val="00FC2540"/>
    <w:rsid w:val="00FC2B5B"/>
    <w:rsid w:val="00FC5701"/>
    <w:rsid w:val="00FC63E1"/>
    <w:rsid w:val="00FD1892"/>
    <w:rsid w:val="00FD3382"/>
    <w:rsid w:val="00FD6383"/>
    <w:rsid w:val="00FD6EB9"/>
    <w:rsid w:val="00FE1558"/>
    <w:rsid w:val="00FE1636"/>
    <w:rsid w:val="00FE3E4C"/>
    <w:rsid w:val="00FE3F76"/>
    <w:rsid w:val="00FE48C0"/>
    <w:rsid w:val="00FE5FD7"/>
    <w:rsid w:val="00FF0BCE"/>
    <w:rsid w:val="00FF2373"/>
    <w:rsid w:val="00FF2979"/>
    <w:rsid w:val="00FF2B6B"/>
    <w:rsid w:val="00FF345F"/>
    <w:rsid w:val="00FF3B02"/>
    <w:rsid w:val="00FF3E21"/>
    <w:rsid w:val="00FF47A9"/>
    <w:rsid w:val="00FF7C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EC9E98"/>
  <w15:docId w15:val="{B802617B-3F24-6548-8487-0D4B28445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5172"/>
  </w:style>
  <w:style w:type="paragraph" w:styleId="Heading1">
    <w:name w:val="heading 1"/>
    <w:basedOn w:val="Normal"/>
    <w:link w:val="Heading1Char"/>
    <w:qFormat/>
    <w:rsid w:val="00377173"/>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43014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13BED"/>
    <w:pPr>
      <w:keepNext/>
      <w:keepLines/>
      <w:spacing w:before="40"/>
      <w:outlineLvl w:val="2"/>
    </w:pPr>
    <w:rPr>
      <w:rFonts w:asciiTheme="majorHAnsi" w:eastAsiaTheme="majorEastAsia" w:hAnsiTheme="majorHAnsi" w:cstheme="majorBidi"/>
      <w:color w:val="1F3763" w:themeColor="accent1" w:themeShade="7F"/>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818AE"/>
    <w:pPr>
      <w:ind w:left="720"/>
      <w:contextualSpacing/>
    </w:pPr>
  </w:style>
  <w:style w:type="character" w:styleId="CommentReference">
    <w:name w:val="annotation reference"/>
    <w:basedOn w:val="DefaultParagraphFont"/>
    <w:uiPriority w:val="99"/>
    <w:semiHidden/>
    <w:unhideWhenUsed/>
    <w:rsid w:val="003E55D8"/>
    <w:rPr>
      <w:sz w:val="16"/>
      <w:szCs w:val="16"/>
    </w:rPr>
  </w:style>
  <w:style w:type="paragraph" w:styleId="CommentText">
    <w:name w:val="annotation text"/>
    <w:basedOn w:val="Normal"/>
    <w:link w:val="CommentTextChar"/>
    <w:uiPriority w:val="99"/>
    <w:semiHidden/>
    <w:unhideWhenUsed/>
    <w:rsid w:val="003E55D8"/>
    <w:rPr>
      <w:rFonts w:ascii="Times New Roman" w:eastAsia="Times New Roman" w:hAnsi="Times New Roman" w:cs="Times New Roman"/>
      <w:sz w:val="20"/>
      <w:szCs w:val="20"/>
      <w:lang w:eastAsia="en-GB"/>
    </w:rPr>
  </w:style>
  <w:style w:type="character" w:customStyle="1" w:styleId="CommentTextChar">
    <w:name w:val="Comment Text Char"/>
    <w:basedOn w:val="DefaultParagraphFont"/>
    <w:link w:val="CommentText"/>
    <w:uiPriority w:val="99"/>
    <w:semiHidden/>
    <w:rsid w:val="003E55D8"/>
    <w:rPr>
      <w:rFonts w:ascii="Times New Roman" w:eastAsia="Times New Roman" w:hAnsi="Times New Roman" w:cs="Times New Roman"/>
      <w:sz w:val="20"/>
      <w:szCs w:val="20"/>
      <w:lang w:eastAsia="en-GB"/>
    </w:rPr>
  </w:style>
  <w:style w:type="paragraph" w:styleId="NormalWeb">
    <w:name w:val="Normal (Web)"/>
    <w:basedOn w:val="Normal"/>
    <w:uiPriority w:val="99"/>
    <w:unhideWhenUsed/>
    <w:rsid w:val="00255E1C"/>
    <w:pPr>
      <w:spacing w:before="100" w:beforeAutospacing="1" w:after="100" w:afterAutospacing="1"/>
    </w:pPr>
    <w:rPr>
      <w:rFonts w:ascii="Times New Roman" w:eastAsia="Times New Roman" w:hAnsi="Times New Roman" w:cs="Times New Roman"/>
      <w:lang w:eastAsia="en-GB"/>
    </w:rPr>
  </w:style>
  <w:style w:type="character" w:styleId="Emphasis">
    <w:name w:val="Emphasis"/>
    <w:basedOn w:val="DefaultParagraphFont"/>
    <w:uiPriority w:val="20"/>
    <w:qFormat/>
    <w:rsid w:val="00255E1C"/>
    <w:rPr>
      <w:i/>
      <w:iCs/>
    </w:rPr>
  </w:style>
  <w:style w:type="character" w:styleId="Hyperlink">
    <w:name w:val="Hyperlink"/>
    <w:basedOn w:val="DefaultParagraphFont"/>
    <w:uiPriority w:val="99"/>
    <w:unhideWhenUsed/>
    <w:rsid w:val="00AC3B7C"/>
    <w:rPr>
      <w:color w:val="0563C1" w:themeColor="hyperlink"/>
      <w:u w:val="single"/>
    </w:rPr>
  </w:style>
  <w:style w:type="table" w:styleId="TableGrid">
    <w:name w:val="Table Grid"/>
    <w:basedOn w:val="TableNormal"/>
    <w:uiPriority w:val="39"/>
    <w:rsid w:val="00AC3B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
    <w:name w:val="p"/>
    <w:basedOn w:val="Normal"/>
    <w:rsid w:val="001B47F7"/>
    <w:pPr>
      <w:spacing w:before="100" w:beforeAutospacing="1" w:after="100" w:afterAutospacing="1"/>
    </w:pPr>
    <w:rPr>
      <w:rFonts w:ascii="Times New Roman" w:eastAsia="Times New Roman" w:hAnsi="Times New Roman" w:cs="Times New Roman"/>
      <w:lang w:eastAsia="en-GB"/>
    </w:rPr>
  </w:style>
  <w:style w:type="character" w:customStyle="1" w:styleId="Heading1Char">
    <w:name w:val="Heading 1 Char"/>
    <w:basedOn w:val="DefaultParagraphFont"/>
    <w:link w:val="Heading1"/>
    <w:rsid w:val="00377173"/>
    <w:rPr>
      <w:rFonts w:ascii="Times New Roman" w:eastAsia="Times New Roman" w:hAnsi="Times New Roman" w:cs="Times New Roman"/>
      <w:b/>
      <w:bCs/>
      <w:kern w:val="36"/>
      <w:sz w:val="48"/>
      <w:szCs w:val="48"/>
      <w:lang w:eastAsia="en-GB"/>
    </w:rPr>
  </w:style>
  <w:style w:type="paragraph" w:styleId="Caption">
    <w:name w:val="caption"/>
    <w:basedOn w:val="Normal"/>
    <w:next w:val="Normal"/>
    <w:uiPriority w:val="35"/>
    <w:unhideWhenUsed/>
    <w:qFormat/>
    <w:rsid w:val="00907F9F"/>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DF3DB5"/>
    <w:rPr>
      <w:color w:val="954F72" w:themeColor="followedHyperlink"/>
      <w:u w:val="single"/>
    </w:rPr>
  </w:style>
  <w:style w:type="character" w:customStyle="1" w:styleId="Heading3Char">
    <w:name w:val="Heading 3 Char"/>
    <w:basedOn w:val="DefaultParagraphFont"/>
    <w:link w:val="Heading3"/>
    <w:uiPriority w:val="9"/>
    <w:rsid w:val="00F13BED"/>
    <w:rPr>
      <w:rFonts w:asciiTheme="majorHAnsi" w:eastAsiaTheme="majorEastAsia" w:hAnsiTheme="majorHAnsi" w:cstheme="majorBidi"/>
      <w:color w:val="1F3763" w:themeColor="accent1" w:themeShade="7F"/>
      <w:lang w:eastAsia="en-GB"/>
    </w:rPr>
  </w:style>
  <w:style w:type="paragraph" w:styleId="CommentSubject">
    <w:name w:val="annotation subject"/>
    <w:basedOn w:val="CommentText"/>
    <w:next w:val="CommentText"/>
    <w:link w:val="CommentSubjectChar"/>
    <w:uiPriority w:val="99"/>
    <w:semiHidden/>
    <w:unhideWhenUsed/>
    <w:rsid w:val="00F13BED"/>
    <w:rPr>
      <w:rFonts w:asciiTheme="minorHAnsi" w:eastAsiaTheme="minorHAnsi" w:hAnsiTheme="minorHAnsi" w:cstheme="minorBidi"/>
      <w:b/>
      <w:bCs/>
      <w:lang w:eastAsia="en-US"/>
    </w:rPr>
  </w:style>
  <w:style w:type="character" w:customStyle="1" w:styleId="CommentSubjectChar">
    <w:name w:val="Comment Subject Char"/>
    <w:basedOn w:val="CommentTextChar"/>
    <w:link w:val="CommentSubject"/>
    <w:uiPriority w:val="99"/>
    <w:semiHidden/>
    <w:rsid w:val="00F13BED"/>
    <w:rPr>
      <w:rFonts w:ascii="Times New Roman" w:eastAsia="Times New Roman" w:hAnsi="Times New Roman" w:cs="Times New Roman"/>
      <w:b/>
      <w:bCs/>
      <w:sz w:val="20"/>
      <w:szCs w:val="20"/>
      <w:lang w:eastAsia="en-GB"/>
    </w:rPr>
  </w:style>
  <w:style w:type="character" w:customStyle="1" w:styleId="author-sup-separator">
    <w:name w:val="author-sup-separator"/>
    <w:basedOn w:val="DefaultParagraphFont"/>
    <w:rsid w:val="00F13BED"/>
  </w:style>
  <w:style w:type="character" w:customStyle="1" w:styleId="ref-journal">
    <w:name w:val="ref-journal"/>
    <w:basedOn w:val="DefaultParagraphFont"/>
    <w:rsid w:val="00F13BED"/>
  </w:style>
  <w:style w:type="character" w:customStyle="1" w:styleId="show-for-sr">
    <w:name w:val="show-for-sr"/>
    <w:basedOn w:val="DefaultParagraphFont"/>
    <w:rsid w:val="00F13BED"/>
  </w:style>
  <w:style w:type="paragraph" w:styleId="NoSpacing">
    <w:name w:val="No Spacing"/>
    <w:uiPriority w:val="1"/>
    <w:qFormat/>
    <w:rsid w:val="00F13BED"/>
  </w:style>
  <w:style w:type="character" w:styleId="UnresolvedMention">
    <w:name w:val="Unresolved Mention"/>
    <w:basedOn w:val="DefaultParagraphFont"/>
    <w:uiPriority w:val="99"/>
    <w:semiHidden/>
    <w:unhideWhenUsed/>
    <w:rsid w:val="00F13BED"/>
    <w:rPr>
      <w:color w:val="605E5C"/>
      <w:shd w:val="clear" w:color="auto" w:fill="E1DFDD"/>
    </w:rPr>
  </w:style>
  <w:style w:type="paragraph" w:styleId="Revision">
    <w:name w:val="Revision"/>
    <w:hidden/>
    <w:uiPriority w:val="99"/>
    <w:semiHidden/>
    <w:rsid w:val="00F13BED"/>
  </w:style>
  <w:style w:type="paragraph" w:customStyle="1" w:styleId="MDPI52figure">
    <w:name w:val="MDPI_5.2_figure"/>
    <w:qFormat/>
    <w:rsid w:val="00C21F68"/>
    <w:pPr>
      <w:adjustRightInd w:val="0"/>
      <w:snapToGrid w:val="0"/>
      <w:spacing w:before="240" w:after="120"/>
      <w:jc w:val="center"/>
    </w:pPr>
    <w:rPr>
      <w:rFonts w:ascii="Palatino Linotype" w:eastAsia="Times New Roman" w:hAnsi="Palatino Linotype" w:cs="Times New Roman"/>
      <w:snapToGrid w:val="0"/>
      <w:color w:val="000000"/>
      <w:sz w:val="20"/>
      <w:szCs w:val="20"/>
      <w:lang w:val="en-US" w:eastAsia="de-DE" w:bidi="en-US"/>
    </w:rPr>
  </w:style>
  <w:style w:type="paragraph" w:styleId="Header">
    <w:name w:val="header"/>
    <w:basedOn w:val="Normal"/>
    <w:link w:val="HeaderChar"/>
    <w:unhideWhenUsed/>
    <w:rsid w:val="00C21F68"/>
    <w:pPr>
      <w:tabs>
        <w:tab w:val="center" w:pos="4513"/>
        <w:tab w:val="right" w:pos="9026"/>
      </w:tabs>
    </w:pPr>
  </w:style>
  <w:style w:type="character" w:customStyle="1" w:styleId="HeaderChar">
    <w:name w:val="Header Char"/>
    <w:basedOn w:val="DefaultParagraphFont"/>
    <w:link w:val="Header"/>
    <w:rsid w:val="00C21F68"/>
  </w:style>
  <w:style w:type="paragraph" w:styleId="Footer">
    <w:name w:val="footer"/>
    <w:basedOn w:val="Normal"/>
    <w:link w:val="FooterChar"/>
    <w:uiPriority w:val="99"/>
    <w:unhideWhenUsed/>
    <w:rsid w:val="00C21F68"/>
    <w:pPr>
      <w:tabs>
        <w:tab w:val="center" w:pos="4513"/>
        <w:tab w:val="right" w:pos="9026"/>
      </w:tabs>
    </w:pPr>
  </w:style>
  <w:style w:type="character" w:customStyle="1" w:styleId="FooterChar">
    <w:name w:val="Footer Char"/>
    <w:basedOn w:val="DefaultParagraphFont"/>
    <w:link w:val="Footer"/>
    <w:uiPriority w:val="99"/>
    <w:rsid w:val="00C21F68"/>
  </w:style>
  <w:style w:type="table" w:styleId="TableGridLight">
    <w:name w:val="Grid Table Light"/>
    <w:basedOn w:val="TableNormal"/>
    <w:uiPriority w:val="40"/>
    <w:rsid w:val="00C21F6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sc">
    <w:name w:val="ssc"/>
    <w:basedOn w:val="Normal"/>
    <w:rsid w:val="003271CC"/>
    <w:pPr>
      <w:spacing w:before="100" w:beforeAutospacing="1" w:after="100" w:afterAutospacing="1"/>
    </w:pPr>
    <w:rPr>
      <w:rFonts w:ascii="Times New Roman" w:eastAsia="Times New Roman" w:hAnsi="Times New Roman" w:cs="Times New Roman"/>
      <w:lang w:eastAsia="en-GB"/>
    </w:rPr>
  </w:style>
  <w:style w:type="paragraph" w:styleId="TableofFigures">
    <w:name w:val="table of figures"/>
    <w:basedOn w:val="Normal"/>
    <w:next w:val="Normal"/>
    <w:uiPriority w:val="99"/>
    <w:unhideWhenUsed/>
    <w:rsid w:val="00733506"/>
  </w:style>
  <w:style w:type="paragraph" w:styleId="TOCHeading">
    <w:name w:val="TOC Heading"/>
    <w:basedOn w:val="Heading1"/>
    <w:next w:val="Normal"/>
    <w:uiPriority w:val="39"/>
    <w:unhideWhenUsed/>
    <w:qFormat/>
    <w:rsid w:val="006F41AA"/>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eastAsia="en-US"/>
    </w:rPr>
  </w:style>
  <w:style w:type="paragraph" w:styleId="TOC1">
    <w:name w:val="toc 1"/>
    <w:basedOn w:val="Normal"/>
    <w:next w:val="Normal"/>
    <w:autoRedefine/>
    <w:uiPriority w:val="39"/>
    <w:unhideWhenUsed/>
    <w:rsid w:val="006F41AA"/>
    <w:pPr>
      <w:pBdr>
        <w:between w:val="double" w:sz="6" w:space="0" w:color="auto"/>
      </w:pBdr>
      <w:spacing w:before="120" w:after="120"/>
      <w:jc w:val="center"/>
    </w:pPr>
    <w:rPr>
      <w:rFonts w:cstheme="minorHAnsi"/>
      <w:b/>
      <w:bCs/>
      <w:i/>
      <w:iCs/>
    </w:rPr>
  </w:style>
  <w:style w:type="paragraph" w:styleId="TOC2">
    <w:name w:val="toc 2"/>
    <w:basedOn w:val="Normal"/>
    <w:next w:val="Normal"/>
    <w:autoRedefine/>
    <w:uiPriority w:val="39"/>
    <w:unhideWhenUsed/>
    <w:rsid w:val="00CC15A2"/>
    <w:pPr>
      <w:pBdr>
        <w:between w:val="double" w:sz="6" w:space="0" w:color="auto"/>
      </w:pBdr>
      <w:tabs>
        <w:tab w:val="left" w:pos="960"/>
        <w:tab w:val="right" w:leader="dot" w:pos="9010"/>
      </w:tabs>
      <w:spacing w:before="120" w:after="120"/>
      <w:jc w:val="center"/>
    </w:pPr>
    <w:rPr>
      <w:rFonts w:cstheme="minorHAnsi"/>
      <w:i/>
      <w:iCs/>
      <w:sz w:val="20"/>
      <w:szCs w:val="20"/>
    </w:rPr>
  </w:style>
  <w:style w:type="paragraph" w:styleId="TOC3">
    <w:name w:val="toc 3"/>
    <w:basedOn w:val="Normal"/>
    <w:next w:val="Normal"/>
    <w:autoRedefine/>
    <w:uiPriority w:val="39"/>
    <w:unhideWhenUsed/>
    <w:rsid w:val="00104343"/>
    <w:pPr>
      <w:pBdr>
        <w:between w:val="double" w:sz="6" w:space="0" w:color="auto"/>
      </w:pBdr>
      <w:tabs>
        <w:tab w:val="right" w:leader="dot" w:pos="9010"/>
      </w:tabs>
      <w:spacing w:before="120" w:after="120"/>
      <w:ind w:left="240"/>
    </w:pPr>
    <w:rPr>
      <w:rFonts w:cstheme="minorHAnsi"/>
      <w:sz w:val="20"/>
      <w:szCs w:val="20"/>
    </w:rPr>
  </w:style>
  <w:style w:type="paragraph" w:styleId="TOC4">
    <w:name w:val="toc 4"/>
    <w:basedOn w:val="Normal"/>
    <w:next w:val="Normal"/>
    <w:autoRedefine/>
    <w:uiPriority w:val="39"/>
    <w:unhideWhenUsed/>
    <w:rsid w:val="006F41AA"/>
    <w:pPr>
      <w:pBdr>
        <w:between w:val="double" w:sz="6" w:space="0" w:color="auto"/>
      </w:pBdr>
      <w:spacing w:before="120" w:after="120"/>
      <w:ind w:left="480"/>
      <w:jc w:val="center"/>
    </w:pPr>
    <w:rPr>
      <w:rFonts w:cstheme="minorHAnsi"/>
      <w:sz w:val="20"/>
      <w:szCs w:val="20"/>
    </w:rPr>
  </w:style>
  <w:style w:type="paragraph" w:styleId="TOC5">
    <w:name w:val="toc 5"/>
    <w:basedOn w:val="Normal"/>
    <w:next w:val="Normal"/>
    <w:autoRedefine/>
    <w:uiPriority w:val="39"/>
    <w:unhideWhenUsed/>
    <w:rsid w:val="006F41AA"/>
    <w:pPr>
      <w:pBdr>
        <w:between w:val="double" w:sz="6" w:space="0" w:color="auto"/>
      </w:pBdr>
      <w:spacing w:before="120" w:after="120"/>
      <w:ind w:left="720"/>
      <w:jc w:val="center"/>
    </w:pPr>
    <w:rPr>
      <w:rFonts w:cstheme="minorHAnsi"/>
      <w:sz w:val="20"/>
      <w:szCs w:val="20"/>
    </w:rPr>
  </w:style>
  <w:style w:type="paragraph" w:styleId="TOC6">
    <w:name w:val="toc 6"/>
    <w:basedOn w:val="Normal"/>
    <w:next w:val="Normal"/>
    <w:autoRedefine/>
    <w:uiPriority w:val="39"/>
    <w:unhideWhenUsed/>
    <w:rsid w:val="006F41AA"/>
    <w:pPr>
      <w:pBdr>
        <w:between w:val="double" w:sz="6" w:space="0" w:color="auto"/>
      </w:pBdr>
      <w:spacing w:before="120" w:after="120"/>
      <w:ind w:left="960"/>
      <w:jc w:val="center"/>
    </w:pPr>
    <w:rPr>
      <w:rFonts w:cstheme="minorHAnsi"/>
      <w:sz w:val="20"/>
      <w:szCs w:val="20"/>
    </w:rPr>
  </w:style>
  <w:style w:type="paragraph" w:styleId="TOC7">
    <w:name w:val="toc 7"/>
    <w:basedOn w:val="Normal"/>
    <w:next w:val="Normal"/>
    <w:autoRedefine/>
    <w:uiPriority w:val="39"/>
    <w:unhideWhenUsed/>
    <w:rsid w:val="006F41AA"/>
    <w:pPr>
      <w:pBdr>
        <w:between w:val="double" w:sz="6" w:space="0" w:color="auto"/>
      </w:pBdr>
      <w:spacing w:before="120" w:after="120"/>
      <w:ind w:left="1200"/>
      <w:jc w:val="center"/>
    </w:pPr>
    <w:rPr>
      <w:rFonts w:cstheme="minorHAnsi"/>
      <w:sz w:val="20"/>
      <w:szCs w:val="20"/>
    </w:rPr>
  </w:style>
  <w:style w:type="paragraph" w:styleId="TOC8">
    <w:name w:val="toc 8"/>
    <w:basedOn w:val="Normal"/>
    <w:next w:val="Normal"/>
    <w:autoRedefine/>
    <w:uiPriority w:val="39"/>
    <w:unhideWhenUsed/>
    <w:rsid w:val="006F41AA"/>
    <w:pPr>
      <w:pBdr>
        <w:between w:val="double" w:sz="6" w:space="0" w:color="auto"/>
      </w:pBdr>
      <w:spacing w:before="120" w:after="120"/>
      <w:ind w:left="1440"/>
      <w:jc w:val="center"/>
    </w:pPr>
    <w:rPr>
      <w:rFonts w:cstheme="minorHAnsi"/>
      <w:sz w:val="20"/>
      <w:szCs w:val="20"/>
    </w:rPr>
  </w:style>
  <w:style w:type="paragraph" w:styleId="TOC9">
    <w:name w:val="toc 9"/>
    <w:basedOn w:val="Normal"/>
    <w:next w:val="Normal"/>
    <w:autoRedefine/>
    <w:uiPriority w:val="39"/>
    <w:unhideWhenUsed/>
    <w:rsid w:val="006F41AA"/>
    <w:pPr>
      <w:pBdr>
        <w:between w:val="double" w:sz="6" w:space="0" w:color="auto"/>
      </w:pBdr>
      <w:spacing w:before="120" w:after="120"/>
      <w:ind w:left="1680"/>
      <w:jc w:val="center"/>
    </w:pPr>
    <w:rPr>
      <w:rFonts w:cstheme="minorHAnsi"/>
      <w:sz w:val="20"/>
      <w:szCs w:val="20"/>
    </w:rPr>
  </w:style>
  <w:style w:type="character" w:customStyle="1" w:styleId="Heading2Char">
    <w:name w:val="Heading 2 Char"/>
    <w:basedOn w:val="DefaultParagraphFont"/>
    <w:link w:val="Heading2"/>
    <w:uiPriority w:val="9"/>
    <w:rsid w:val="00430146"/>
    <w:rPr>
      <w:rFonts w:asciiTheme="majorHAnsi" w:eastAsiaTheme="majorEastAsia" w:hAnsiTheme="majorHAnsi" w:cstheme="majorBidi"/>
      <w:color w:val="2F5496" w:themeColor="accent1" w:themeShade="BF"/>
      <w:sz w:val="26"/>
      <w:szCs w:val="26"/>
    </w:rPr>
  </w:style>
  <w:style w:type="character" w:styleId="PageNumber">
    <w:name w:val="page number"/>
    <w:basedOn w:val="DefaultParagraphFont"/>
    <w:uiPriority w:val="99"/>
    <w:semiHidden/>
    <w:unhideWhenUsed/>
    <w:rsid w:val="00C0322D"/>
  </w:style>
  <w:style w:type="character" w:customStyle="1" w:styleId="period">
    <w:name w:val="period"/>
    <w:basedOn w:val="DefaultParagraphFont"/>
    <w:rsid w:val="008B5B99"/>
  </w:style>
  <w:style w:type="character" w:customStyle="1" w:styleId="cit">
    <w:name w:val="cit"/>
    <w:basedOn w:val="DefaultParagraphFont"/>
    <w:rsid w:val="008B5B99"/>
  </w:style>
  <w:style w:type="paragraph" w:styleId="Quote">
    <w:name w:val="Quote"/>
    <w:link w:val="QuoteChar"/>
    <w:qFormat/>
    <w:rsid w:val="0035623B"/>
    <w:pPr>
      <w:ind w:left="100"/>
    </w:pPr>
    <w:rPr>
      <w:rFonts w:ascii="Lato" w:eastAsia="Lato" w:hAnsi="Lato" w:cs="Lato"/>
      <w:color w:val="000000"/>
      <w:lang w:eastAsia="en-GB"/>
    </w:rPr>
  </w:style>
  <w:style w:type="character" w:customStyle="1" w:styleId="QuoteChar">
    <w:name w:val="Quote Char"/>
    <w:basedOn w:val="DefaultParagraphFont"/>
    <w:link w:val="Quote"/>
    <w:rsid w:val="0035623B"/>
    <w:rPr>
      <w:rFonts w:ascii="Lato" w:eastAsia="Lato" w:hAnsi="Lato" w:cs="Lato"/>
      <w:color w:val="000000"/>
      <w:lang w:eastAsia="en-GB"/>
    </w:rPr>
  </w:style>
  <w:style w:type="paragraph" w:styleId="BalloonText">
    <w:name w:val="Balloon Text"/>
    <w:basedOn w:val="Normal"/>
    <w:link w:val="BalloonTextChar"/>
    <w:uiPriority w:val="99"/>
    <w:semiHidden/>
    <w:unhideWhenUsed/>
    <w:rsid w:val="00310C71"/>
    <w:rPr>
      <w:rFonts w:ascii="Segoe UI" w:hAnsi="Segoe UI" w:cs="Segoe UI"/>
      <w:kern w:val="2"/>
      <w:sz w:val="18"/>
      <w:szCs w:val="18"/>
      <w14:ligatures w14:val="standardContextual"/>
    </w:rPr>
  </w:style>
  <w:style w:type="character" w:customStyle="1" w:styleId="BalloonTextChar">
    <w:name w:val="Balloon Text Char"/>
    <w:basedOn w:val="DefaultParagraphFont"/>
    <w:link w:val="BalloonText"/>
    <w:uiPriority w:val="99"/>
    <w:semiHidden/>
    <w:rsid w:val="00310C71"/>
    <w:rPr>
      <w:rFonts w:ascii="Segoe UI" w:hAnsi="Segoe UI" w:cs="Segoe UI"/>
      <w:kern w:val="2"/>
      <w:sz w:val="18"/>
      <w:szCs w:val="18"/>
      <w14:ligatures w14:val="standardContextual"/>
    </w:rPr>
  </w:style>
  <w:style w:type="character" w:customStyle="1" w:styleId="gmail-apple-converted-space">
    <w:name w:val="gmail-apple-converted-space"/>
    <w:basedOn w:val="DefaultParagraphFont"/>
    <w:rsid w:val="003A5229"/>
  </w:style>
  <w:style w:type="paragraph" w:styleId="BodyText">
    <w:name w:val="Body Text"/>
    <w:basedOn w:val="Normal"/>
    <w:link w:val="BodyTextChar"/>
    <w:semiHidden/>
    <w:rsid w:val="008A7196"/>
    <w:rPr>
      <w:rFonts w:ascii="Times New Roman" w:eastAsia="Times New Roman" w:hAnsi="Times New Roman" w:cs="Times New Roman"/>
      <w:szCs w:val="20"/>
    </w:rPr>
  </w:style>
  <w:style w:type="character" w:customStyle="1" w:styleId="BodyTextChar">
    <w:name w:val="Body Text Char"/>
    <w:basedOn w:val="DefaultParagraphFont"/>
    <w:link w:val="BodyText"/>
    <w:semiHidden/>
    <w:rsid w:val="008A7196"/>
    <w:rPr>
      <w:rFonts w:ascii="Times New Roman" w:eastAsia="Times New Roman" w:hAnsi="Times New Roman" w:cs="Times New Roman"/>
      <w:szCs w:val="20"/>
    </w:rPr>
  </w:style>
  <w:style w:type="paragraph" w:customStyle="1" w:styleId="BodyA">
    <w:name w:val="Body A"/>
    <w:rsid w:val="008A7196"/>
    <w:rPr>
      <w:rFonts w:ascii="Helvetica" w:eastAsia="ヒラギノ角ゴ Pro W3" w:hAnsi="Helvetica" w:cs="Times New Roman"/>
      <w:color w:val="000000"/>
      <w:szCs w:val="20"/>
      <w:lang w:val="en-US" w:eastAsia="en-GB"/>
    </w:rPr>
  </w:style>
  <w:style w:type="character" w:customStyle="1" w:styleId="apple-converted-space">
    <w:name w:val="apple-converted-space"/>
    <w:basedOn w:val="DefaultParagraphFont"/>
    <w:rsid w:val="008A71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588399">
      <w:bodyDiv w:val="1"/>
      <w:marLeft w:val="0"/>
      <w:marRight w:val="0"/>
      <w:marTop w:val="0"/>
      <w:marBottom w:val="0"/>
      <w:divBdr>
        <w:top w:val="none" w:sz="0" w:space="0" w:color="auto"/>
        <w:left w:val="none" w:sz="0" w:space="0" w:color="auto"/>
        <w:bottom w:val="none" w:sz="0" w:space="0" w:color="auto"/>
        <w:right w:val="none" w:sz="0" w:space="0" w:color="auto"/>
      </w:divBdr>
      <w:divsChild>
        <w:div w:id="1292201591">
          <w:marLeft w:val="0"/>
          <w:marRight w:val="0"/>
          <w:marTop w:val="0"/>
          <w:marBottom w:val="0"/>
          <w:divBdr>
            <w:top w:val="none" w:sz="0" w:space="0" w:color="auto"/>
            <w:left w:val="none" w:sz="0" w:space="0" w:color="auto"/>
            <w:bottom w:val="none" w:sz="0" w:space="0" w:color="auto"/>
            <w:right w:val="none" w:sz="0" w:space="0" w:color="auto"/>
          </w:divBdr>
        </w:div>
        <w:div w:id="2096977302">
          <w:marLeft w:val="0"/>
          <w:marRight w:val="0"/>
          <w:marTop w:val="0"/>
          <w:marBottom w:val="0"/>
          <w:divBdr>
            <w:top w:val="none" w:sz="0" w:space="0" w:color="auto"/>
            <w:left w:val="none" w:sz="0" w:space="0" w:color="auto"/>
            <w:bottom w:val="none" w:sz="0" w:space="0" w:color="auto"/>
            <w:right w:val="none" w:sz="0" w:space="0" w:color="auto"/>
          </w:divBdr>
        </w:div>
      </w:divsChild>
    </w:div>
    <w:div w:id="169370835">
      <w:bodyDiv w:val="1"/>
      <w:marLeft w:val="0"/>
      <w:marRight w:val="0"/>
      <w:marTop w:val="0"/>
      <w:marBottom w:val="0"/>
      <w:divBdr>
        <w:top w:val="none" w:sz="0" w:space="0" w:color="auto"/>
        <w:left w:val="none" w:sz="0" w:space="0" w:color="auto"/>
        <w:bottom w:val="none" w:sz="0" w:space="0" w:color="auto"/>
        <w:right w:val="none" w:sz="0" w:space="0" w:color="auto"/>
      </w:divBdr>
    </w:div>
    <w:div w:id="216166506">
      <w:bodyDiv w:val="1"/>
      <w:marLeft w:val="0"/>
      <w:marRight w:val="0"/>
      <w:marTop w:val="0"/>
      <w:marBottom w:val="0"/>
      <w:divBdr>
        <w:top w:val="none" w:sz="0" w:space="0" w:color="auto"/>
        <w:left w:val="none" w:sz="0" w:space="0" w:color="auto"/>
        <w:bottom w:val="none" w:sz="0" w:space="0" w:color="auto"/>
        <w:right w:val="none" w:sz="0" w:space="0" w:color="auto"/>
      </w:divBdr>
      <w:divsChild>
        <w:div w:id="1405878346">
          <w:marLeft w:val="0"/>
          <w:marRight w:val="0"/>
          <w:marTop w:val="0"/>
          <w:marBottom w:val="0"/>
          <w:divBdr>
            <w:top w:val="none" w:sz="0" w:space="0" w:color="auto"/>
            <w:left w:val="none" w:sz="0" w:space="0" w:color="auto"/>
            <w:bottom w:val="none" w:sz="0" w:space="0" w:color="auto"/>
            <w:right w:val="none" w:sz="0" w:space="0" w:color="auto"/>
          </w:divBdr>
          <w:divsChild>
            <w:div w:id="455759206">
              <w:marLeft w:val="0"/>
              <w:marRight w:val="0"/>
              <w:marTop w:val="0"/>
              <w:marBottom w:val="0"/>
              <w:divBdr>
                <w:top w:val="none" w:sz="0" w:space="0" w:color="auto"/>
                <w:left w:val="none" w:sz="0" w:space="0" w:color="auto"/>
                <w:bottom w:val="none" w:sz="0" w:space="0" w:color="auto"/>
                <w:right w:val="none" w:sz="0" w:space="0" w:color="auto"/>
              </w:divBdr>
              <w:divsChild>
                <w:div w:id="172972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20503">
      <w:bodyDiv w:val="1"/>
      <w:marLeft w:val="0"/>
      <w:marRight w:val="0"/>
      <w:marTop w:val="0"/>
      <w:marBottom w:val="0"/>
      <w:divBdr>
        <w:top w:val="none" w:sz="0" w:space="0" w:color="auto"/>
        <w:left w:val="none" w:sz="0" w:space="0" w:color="auto"/>
        <w:bottom w:val="none" w:sz="0" w:space="0" w:color="auto"/>
        <w:right w:val="none" w:sz="0" w:space="0" w:color="auto"/>
      </w:divBdr>
    </w:div>
    <w:div w:id="403915836">
      <w:bodyDiv w:val="1"/>
      <w:marLeft w:val="0"/>
      <w:marRight w:val="0"/>
      <w:marTop w:val="0"/>
      <w:marBottom w:val="0"/>
      <w:divBdr>
        <w:top w:val="none" w:sz="0" w:space="0" w:color="auto"/>
        <w:left w:val="none" w:sz="0" w:space="0" w:color="auto"/>
        <w:bottom w:val="none" w:sz="0" w:space="0" w:color="auto"/>
        <w:right w:val="none" w:sz="0" w:space="0" w:color="auto"/>
      </w:divBdr>
    </w:div>
    <w:div w:id="463087140">
      <w:bodyDiv w:val="1"/>
      <w:marLeft w:val="0"/>
      <w:marRight w:val="0"/>
      <w:marTop w:val="0"/>
      <w:marBottom w:val="0"/>
      <w:divBdr>
        <w:top w:val="none" w:sz="0" w:space="0" w:color="auto"/>
        <w:left w:val="none" w:sz="0" w:space="0" w:color="auto"/>
        <w:bottom w:val="none" w:sz="0" w:space="0" w:color="auto"/>
        <w:right w:val="none" w:sz="0" w:space="0" w:color="auto"/>
      </w:divBdr>
      <w:divsChild>
        <w:div w:id="523057951">
          <w:marLeft w:val="0"/>
          <w:marRight w:val="0"/>
          <w:marTop w:val="0"/>
          <w:marBottom w:val="0"/>
          <w:divBdr>
            <w:top w:val="none" w:sz="0" w:space="0" w:color="auto"/>
            <w:left w:val="none" w:sz="0" w:space="0" w:color="auto"/>
            <w:bottom w:val="none" w:sz="0" w:space="0" w:color="auto"/>
            <w:right w:val="none" w:sz="0" w:space="0" w:color="auto"/>
          </w:divBdr>
          <w:divsChild>
            <w:div w:id="1631746331">
              <w:marLeft w:val="0"/>
              <w:marRight w:val="0"/>
              <w:marTop w:val="0"/>
              <w:marBottom w:val="0"/>
              <w:divBdr>
                <w:top w:val="none" w:sz="0" w:space="0" w:color="auto"/>
                <w:left w:val="none" w:sz="0" w:space="0" w:color="auto"/>
                <w:bottom w:val="none" w:sz="0" w:space="0" w:color="auto"/>
                <w:right w:val="none" w:sz="0" w:space="0" w:color="auto"/>
              </w:divBdr>
              <w:divsChild>
                <w:div w:id="393508831">
                  <w:marLeft w:val="0"/>
                  <w:marRight w:val="0"/>
                  <w:marTop w:val="0"/>
                  <w:marBottom w:val="0"/>
                  <w:divBdr>
                    <w:top w:val="none" w:sz="0" w:space="0" w:color="auto"/>
                    <w:left w:val="none" w:sz="0" w:space="0" w:color="auto"/>
                    <w:bottom w:val="none" w:sz="0" w:space="0" w:color="auto"/>
                    <w:right w:val="none" w:sz="0" w:space="0" w:color="auto"/>
                  </w:divBdr>
                  <w:divsChild>
                    <w:div w:id="163945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7420228">
      <w:bodyDiv w:val="1"/>
      <w:marLeft w:val="0"/>
      <w:marRight w:val="0"/>
      <w:marTop w:val="0"/>
      <w:marBottom w:val="0"/>
      <w:divBdr>
        <w:top w:val="none" w:sz="0" w:space="0" w:color="auto"/>
        <w:left w:val="none" w:sz="0" w:space="0" w:color="auto"/>
        <w:bottom w:val="none" w:sz="0" w:space="0" w:color="auto"/>
        <w:right w:val="none" w:sz="0" w:space="0" w:color="auto"/>
      </w:divBdr>
    </w:div>
    <w:div w:id="650452046">
      <w:bodyDiv w:val="1"/>
      <w:marLeft w:val="0"/>
      <w:marRight w:val="0"/>
      <w:marTop w:val="0"/>
      <w:marBottom w:val="0"/>
      <w:divBdr>
        <w:top w:val="none" w:sz="0" w:space="0" w:color="auto"/>
        <w:left w:val="none" w:sz="0" w:space="0" w:color="auto"/>
        <w:bottom w:val="none" w:sz="0" w:space="0" w:color="auto"/>
        <w:right w:val="none" w:sz="0" w:space="0" w:color="auto"/>
      </w:divBdr>
      <w:divsChild>
        <w:div w:id="1074165492">
          <w:marLeft w:val="0"/>
          <w:marRight w:val="0"/>
          <w:marTop w:val="0"/>
          <w:marBottom w:val="0"/>
          <w:divBdr>
            <w:top w:val="none" w:sz="0" w:space="0" w:color="auto"/>
            <w:left w:val="none" w:sz="0" w:space="0" w:color="auto"/>
            <w:bottom w:val="none" w:sz="0" w:space="0" w:color="auto"/>
            <w:right w:val="none" w:sz="0" w:space="0" w:color="auto"/>
          </w:divBdr>
          <w:divsChild>
            <w:div w:id="746415900">
              <w:marLeft w:val="0"/>
              <w:marRight w:val="0"/>
              <w:marTop w:val="0"/>
              <w:marBottom w:val="0"/>
              <w:divBdr>
                <w:top w:val="none" w:sz="0" w:space="0" w:color="auto"/>
                <w:left w:val="none" w:sz="0" w:space="0" w:color="auto"/>
                <w:bottom w:val="none" w:sz="0" w:space="0" w:color="auto"/>
                <w:right w:val="none" w:sz="0" w:space="0" w:color="auto"/>
              </w:divBdr>
              <w:divsChild>
                <w:div w:id="66455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981792">
      <w:bodyDiv w:val="1"/>
      <w:marLeft w:val="0"/>
      <w:marRight w:val="0"/>
      <w:marTop w:val="0"/>
      <w:marBottom w:val="0"/>
      <w:divBdr>
        <w:top w:val="none" w:sz="0" w:space="0" w:color="auto"/>
        <w:left w:val="none" w:sz="0" w:space="0" w:color="auto"/>
        <w:bottom w:val="none" w:sz="0" w:space="0" w:color="auto"/>
        <w:right w:val="none" w:sz="0" w:space="0" w:color="auto"/>
      </w:divBdr>
    </w:div>
    <w:div w:id="828643669">
      <w:bodyDiv w:val="1"/>
      <w:marLeft w:val="0"/>
      <w:marRight w:val="0"/>
      <w:marTop w:val="0"/>
      <w:marBottom w:val="0"/>
      <w:divBdr>
        <w:top w:val="none" w:sz="0" w:space="0" w:color="auto"/>
        <w:left w:val="none" w:sz="0" w:space="0" w:color="auto"/>
        <w:bottom w:val="none" w:sz="0" w:space="0" w:color="auto"/>
        <w:right w:val="none" w:sz="0" w:space="0" w:color="auto"/>
      </w:divBdr>
    </w:div>
    <w:div w:id="1021855153">
      <w:bodyDiv w:val="1"/>
      <w:marLeft w:val="0"/>
      <w:marRight w:val="0"/>
      <w:marTop w:val="0"/>
      <w:marBottom w:val="0"/>
      <w:divBdr>
        <w:top w:val="none" w:sz="0" w:space="0" w:color="auto"/>
        <w:left w:val="none" w:sz="0" w:space="0" w:color="auto"/>
        <w:bottom w:val="none" w:sz="0" w:space="0" w:color="auto"/>
        <w:right w:val="none" w:sz="0" w:space="0" w:color="auto"/>
      </w:divBdr>
    </w:div>
    <w:div w:id="1252397467">
      <w:bodyDiv w:val="1"/>
      <w:marLeft w:val="0"/>
      <w:marRight w:val="0"/>
      <w:marTop w:val="0"/>
      <w:marBottom w:val="0"/>
      <w:divBdr>
        <w:top w:val="none" w:sz="0" w:space="0" w:color="auto"/>
        <w:left w:val="none" w:sz="0" w:space="0" w:color="auto"/>
        <w:bottom w:val="none" w:sz="0" w:space="0" w:color="auto"/>
        <w:right w:val="none" w:sz="0" w:space="0" w:color="auto"/>
      </w:divBdr>
      <w:divsChild>
        <w:div w:id="2067071074">
          <w:marLeft w:val="0"/>
          <w:marRight w:val="0"/>
          <w:marTop w:val="0"/>
          <w:marBottom w:val="0"/>
          <w:divBdr>
            <w:top w:val="none" w:sz="0" w:space="0" w:color="auto"/>
            <w:left w:val="none" w:sz="0" w:space="0" w:color="auto"/>
            <w:bottom w:val="none" w:sz="0" w:space="0" w:color="auto"/>
            <w:right w:val="none" w:sz="0" w:space="0" w:color="auto"/>
          </w:divBdr>
          <w:divsChild>
            <w:div w:id="395515675">
              <w:marLeft w:val="0"/>
              <w:marRight w:val="0"/>
              <w:marTop w:val="0"/>
              <w:marBottom w:val="0"/>
              <w:divBdr>
                <w:top w:val="none" w:sz="0" w:space="0" w:color="auto"/>
                <w:left w:val="none" w:sz="0" w:space="0" w:color="auto"/>
                <w:bottom w:val="none" w:sz="0" w:space="0" w:color="auto"/>
                <w:right w:val="none" w:sz="0" w:space="0" w:color="auto"/>
              </w:divBdr>
              <w:divsChild>
                <w:div w:id="706877809">
                  <w:marLeft w:val="0"/>
                  <w:marRight w:val="0"/>
                  <w:marTop w:val="0"/>
                  <w:marBottom w:val="0"/>
                  <w:divBdr>
                    <w:top w:val="none" w:sz="0" w:space="0" w:color="auto"/>
                    <w:left w:val="none" w:sz="0" w:space="0" w:color="auto"/>
                    <w:bottom w:val="none" w:sz="0" w:space="0" w:color="auto"/>
                    <w:right w:val="none" w:sz="0" w:space="0" w:color="auto"/>
                  </w:divBdr>
                  <w:divsChild>
                    <w:div w:id="171850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121895">
      <w:bodyDiv w:val="1"/>
      <w:marLeft w:val="0"/>
      <w:marRight w:val="0"/>
      <w:marTop w:val="0"/>
      <w:marBottom w:val="0"/>
      <w:divBdr>
        <w:top w:val="none" w:sz="0" w:space="0" w:color="auto"/>
        <w:left w:val="none" w:sz="0" w:space="0" w:color="auto"/>
        <w:bottom w:val="none" w:sz="0" w:space="0" w:color="auto"/>
        <w:right w:val="none" w:sz="0" w:space="0" w:color="auto"/>
      </w:divBdr>
    </w:div>
    <w:div w:id="1640183365">
      <w:bodyDiv w:val="1"/>
      <w:marLeft w:val="0"/>
      <w:marRight w:val="0"/>
      <w:marTop w:val="0"/>
      <w:marBottom w:val="0"/>
      <w:divBdr>
        <w:top w:val="none" w:sz="0" w:space="0" w:color="auto"/>
        <w:left w:val="none" w:sz="0" w:space="0" w:color="auto"/>
        <w:bottom w:val="none" w:sz="0" w:space="0" w:color="auto"/>
        <w:right w:val="none" w:sz="0" w:space="0" w:color="auto"/>
      </w:divBdr>
    </w:div>
    <w:div w:id="1778133440">
      <w:bodyDiv w:val="1"/>
      <w:marLeft w:val="0"/>
      <w:marRight w:val="0"/>
      <w:marTop w:val="0"/>
      <w:marBottom w:val="0"/>
      <w:divBdr>
        <w:top w:val="none" w:sz="0" w:space="0" w:color="auto"/>
        <w:left w:val="none" w:sz="0" w:space="0" w:color="auto"/>
        <w:bottom w:val="none" w:sz="0" w:space="0" w:color="auto"/>
        <w:right w:val="none" w:sz="0" w:space="0" w:color="auto"/>
      </w:divBdr>
    </w:div>
    <w:div w:id="1851916631">
      <w:bodyDiv w:val="1"/>
      <w:marLeft w:val="0"/>
      <w:marRight w:val="0"/>
      <w:marTop w:val="0"/>
      <w:marBottom w:val="0"/>
      <w:divBdr>
        <w:top w:val="none" w:sz="0" w:space="0" w:color="auto"/>
        <w:left w:val="none" w:sz="0" w:space="0" w:color="auto"/>
        <w:bottom w:val="none" w:sz="0" w:space="0" w:color="auto"/>
        <w:right w:val="none" w:sz="0" w:space="0" w:color="auto"/>
      </w:divBdr>
      <w:divsChild>
        <w:div w:id="136580049">
          <w:marLeft w:val="0"/>
          <w:marRight w:val="0"/>
          <w:marTop w:val="0"/>
          <w:marBottom w:val="0"/>
          <w:divBdr>
            <w:top w:val="none" w:sz="0" w:space="0" w:color="auto"/>
            <w:left w:val="none" w:sz="0" w:space="0" w:color="auto"/>
            <w:bottom w:val="none" w:sz="0" w:space="0" w:color="auto"/>
            <w:right w:val="none" w:sz="0" w:space="0" w:color="auto"/>
          </w:divBdr>
          <w:divsChild>
            <w:div w:id="1410999165">
              <w:marLeft w:val="0"/>
              <w:marRight w:val="0"/>
              <w:marTop w:val="0"/>
              <w:marBottom w:val="0"/>
              <w:divBdr>
                <w:top w:val="none" w:sz="0" w:space="0" w:color="auto"/>
                <w:left w:val="none" w:sz="0" w:space="0" w:color="auto"/>
                <w:bottom w:val="none" w:sz="0" w:space="0" w:color="auto"/>
                <w:right w:val="none" w:sz="0" w:space="0" w:color="auto"/>
              </w:divBdr>
              <w:divsChild>
                <w:div w:id="17527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680502">
      <w:bodyDiv w:val="1"/>
      <w:marLeft w:val="0"/>
      <w:marRight w:val="0"/>
      <w:marTop w:val="0"/>
      <w:marBottom w:val="0"/>
      <w:divBdr>
        <w:top w:val="none" w:sz="0" w:space="0" w:color="auto"/>
        <w:left w:val="none" w:sz="0" w:space="0" w:color="auto"/>
        <w:bottom w:val="none" w:sz="0" w:space="0" w:color="auto"/>
        <w:right w:val="none" w:sz="0" w:space="0" w:color="auto"/>
      </w:divBdr>
      <w:divsChild>
        <w:div w:id="1826820887">
          <w:marLeft w:val="0"/>
          <w:marRight w:val="0"/>
          <w:marTop w:val="0"/>
          <w:marBottom w:val="0"/>
          <w:divBdr>
            <w:top w:val="none" w:sz="0" w:space="0" w:color="auto"/>
            <w:left w:val="none" w:sz="0" w:space="0" w:color="auto"/>
            <w:bottom w:val="none" w:sz="0" w:space="0" w:color="auto"/>
            <w:right w:val="none" w:sz="0" w:space="0" w:color="auto"/>
          </w:divBdr>
          <w:divsChild>
            <w:div w:id="167990614">
              <w:marLeft w:val="0"/>
              <w:marRight w:val="0"/>
              <w:marTop w:val="0"/>
              <w:marBottom w:val="0"/>
              <w:divBdr>
                <w:top w:val="none" w:sz="0" w:space="0" w:color="auto"/>
                <w:left w:val="none" w:sz="0" w:space="0" w:color="auto"/>
                <w:bottom w:val="none" w:sz="0" w:space="0" w:color="auto"/>
                <w:right w:val="none" w:sz="0" w:space="0" w:color="auto"/>
              </w:divBdr>
              <w:divsChild>
                <w:div w:id="114589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emf"/><Relationship Id="rId21" Type="http://schemas.openxmlformats.org/officeDocument/2006/relationships/image" Target="media/image11.emf"/><Relationship Id="rId42" Type="http://schemas.openxmlformats.org/officeDocument/2006/relationships/hyperlink" Target="https://www.nhsinform.scot/healthy-living/preventing-falls/keeping-well/strength-and-balance-exercises" TargetMode="External"/><Relationship Id="rId63" Type="http://schemas.openxmlformats.org/officeDocument/2006/relationships/image" Target="media/image35.emf"/><Relationship Id="rId84" Type="http://schemas.openxmlformats.org/officeDocument/2006/relationships/image" Target="media/image56.jpeg"/><Relationship Id="rId138" Type="http://schemas.openxmlformats.org/officeDocument/2006/relationships/image" Target="media/image101.emf"/><Relationship Id="rId159" Type="http://schemas.openxmlformats.org/officeDocument/2006/relationships/image" Target="media/image122.jpeg"/><Relationship Id="rId170" Type="http://schemas.openxmlformats.org/officeDocument/2006/relationships/image" Target="media/image133.jpeg"/><Relationship Id="rId107" Type="http://schemas.openxmlformats.org/officeDocument/2006/relationships/hyperlink" Target="mailto:Ertuttiett1@sheffield.ac.uk" TargetMode="Externa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hyperlink" Target="https://www.isrctn.com/www.randomization.com" TargetMode="External"/><Relationship Id="rId74" Type="http://schemas.openxmlformats.org/officeDocument/2006/relationships/image" Target="media/image46.emf"/><Relationship Id="rId128" Type="http://schemas.openxmlformats.org/officeDocument/2006/relationships/image" Target="media/image91.emf"/><Relationship Id="rId149" Type="http://schemas.openxmlformats.org/officeDocument/2006/relationships/image" Target="media/image112.emf"/><Relationship Id="rId5" Type="http://schemas.openxmlformats.org/officeDocument/2006/relationships/webSettings" Target="webSettings.xml"/><Relationship Id="rId95" Type="http://schemas.openxmlformats.org/officeDocument/2006/relationships/image" Target="media/image64.emf"/><Relationship Id="rId160" Type="http://schemas.openxmlformats.org/officeDocument/2006/relationships/image" Target="media/image123.emf"/><Relationship Id="rId181" Type="http://schemas.openxmlformats.org/officeDocument/2006/relationships/fontTable" Target="fontTable.xml"/><Relationship Id="rId22" Type="http://schemas.openxmlformats.org/officeDocument/2006/relationships/image" Target="media/image12.emf"/><Relationship Id="rId43" Type="http://schemas.openxmlformats.org/officeDocument/2006/relationships/image" Target="media/image27.png"/><Relationship Id="rId64" Type="http://schemas.openxmlformats.org/officeDocument/2006/relationships/image" Target="media/image36.emf"/><Relationship Id="rId118" Type="http://schemas.openxmlformats.org/officeDocument/2006/relationships/image" Target="media/image81.emf"/><Relationship Id="rId139" Type="http://schemas.openxmlformats.org/officeDocument/2006/relationships/image" Target="media/image102.emf"/><Relationship Id="rId85" Type="http://schemas.openxmlformats.org/officeDocument/2006/relationships/image" Target="media/image57.emf"/><Relationship Id="rId150" Type="http://schemas.openxmlformats.org/officeDocument/2006/relationships/image" Target="media/image113.emf"/><Relationship Id="rId171" Type="http://schemas.openxmlformats.org/officeDocument/2006/relationships/image" Target="media/image134.jpeg"/><Relationship Id="rId12" Type="http://schemas.openxmlformats.org/officeDocument/2006/relationships/image" Target="media/image3.jpeg"/><Relationship Id="rId33" Type="http://schemas.openxmlformats.org/officeDocument/2006/relationships/image" Target="media/image21.png"/><Relationship Id="rId108" Type="http://schemas.openxmlformats.org/officeDocument/2006/relationships/hyperlink" Target="mailto:e.a.williams@sheffield.ac.uk" TargetMode="External"/><Relationship Id="rId129" Type="http://schemas.openxmlformats.org/officeDocument/2006/relationships/image" Target="media/image92.emf"/><Relationship Id="rId54" Type="http://schemas.openxmlformats.org/officeDocument/2006/relationships/hyperlink" Target="https://www.isrctn.com/" TargetMode="External"/><Relationship Id="rId75" Type="http://schemas.openxmlformats.org/officeDocument/2006/relationships/image" Target="media/image47.emf"/><Relationship Id="rId96" Type="http://schemas.openxmlformats.org/officeDocument/2006/relationships/image" Target="media/image65.emf"/><Relationship Id="rId140" Type="http://schemas.openxmlformats.org/officeDocument/2006/relationships/image" Target="media/image103.emf"/><Relationship Id="rId161" Type="http://schemas.openxmlformats.org/officeDocument/2006/relationships/image" Target="media/image124.emf"/><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3.emf"/><Relationship Id="rId119" Type="http://schemas.openxmlformats.org/officeDocument/2006/relationships/image" Target="media/image82.emf"/><Relationship Id="rId44" Type="http://schemas.openxmlformats.org/officeDocument/2006/relationships/image" Target="media/image28.png"/><Relationship Id="rId60" Type="http://schemas.openxmlformats.org/officeDocument/2006/relationships/hyperlink" Target="https://www.myresearchproject.org.uk/" TargetMode="External"/><Relationship Id="rId65" Type="http://schemas.openxmlformats.org/officeDocument/2006/relationships/image" Target="media/image37.emf"/><Relationship Id="rId81" Type="http://schemas.openxmlformats.org/officeDocument/2006/relationships/image" Target="media/image53.emf"/><Relationship Id="rId86" Type="http://schemas.openxmlformats.org/officeDocument/2006/relationships/hyperlink" Target="https://docs.google.com/forms/d/e/1FAIpQLSeZ7d3PPJCvAG2hw_KvCxEkD6fYLLCOAcGx3PBAwaOnjXS1Lg/viewform?usp=sf_link" TargetMode="External"/><Relationship Id="rId130" Type="http://schemas.openxmlformats.org/officeDocument/2006/relationships/image" Target="media/image93.emf"/><Relationship Id="rId135" Type="http://schemas.openxmlformats.org/officeDocument/2006/relationships/image" Target="media/image98.emf"/><Relationship Id="rId151" Type="http://schemas.openxmlformats.org/officeDocument/2006/relationships/image" Target="media/image114.png"/><Relationship Id="rId156" Type="http://schemas.openxmlformats.org/officeDocument/2006/relationships/image" Target="media/image119.jpeg"/><Relationship Id="rId177" Type="http://schemas.openxmlformats.org/officeDocument/2006/relationships/chart" Target="charts/chart6.xml"/><Relationship Id="rId172" Type="http://schemas.openxmlformats.org/officeDocument/2006/relationships/image" Target="media/image135.jpeg"/><Relationship Id="rId13" Type="http://schemas.openxmlformats.org/officeDocument/2006/relationships/image" Target="media/image4.jpeg"/><Relationship Id="rId18" Type="http://schemas.openxmlformats.org/officeDocument/2006/relationships/hyperlink" Target="https://doi.org/10.1017/jns.2022.96" TargetMode="External"/><Relationship Id="rId39" Type="http://schemas.openxmlformats.org/officeDocument/2006/relationships/image" Target="media/image26.tiff"/><Relationship Id="rId109" Type="http://schemas.openxmlformats.org/officeDocument/2006/relationships/image" Target="media/image72.emf"/><Relationship Id="rId34" Type="http://schemas.openxmlformats.org/officeDocument/2006/relationships/chart" Target="charts/chart1.xml"/><Relationship Id="rId50" Type="http://schemas.openxmlformats.org/officeDocument/2006/relationships/image" Target="media/image30.png"/><Relationship Id="rId55" Type="http://schemas.openxmlformats.org/officeDocument/2006/relationships/hyperlink" Target="https://www.jordanfitness.com/pages/brochure" TargetMode="External"/><Relationship Id="rId76" Type="http://schemas.openxmlformats.org/officeDocument/2006/relationships/image" Target="media/image48.emf"/><Relationship Id="rId97" Type="http://schemas.openxmlformats.org/officeDocument/2006/relationships/image" Target="media/image66.emf"/><Relationship Id="rId104" Type="http://schemas.openxmlformats.org/officeDocument/2006/relationships/hyperlink" Target="mailto:ertuttiett1@sheffield.ac.uk" TargetMode="External"/><Relationship Id="rId120" Type="http://schemas.openxmlformats.org/officeDocument/2006/relationships/image" Target="media/image83.emf"/><Relationship Id="rId125" Type="http://schemas.openxmlformats.org/officeDocument/2006/relationships/image" Target="media/image88.emf"/><Relationship Id="rId141" Type="http://schemas.openxmlformats.org/officeDocument/2006/relationships/image" Target="media/image104.emf"/><Relationship Id="rId146" Type="http://schemas.openxmlformats.org/officeDocument/2006/relationships/image" Target="media/image109.emf"/><Relationship Id="rId167"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43.emf"/><Relationship Id="rId92" Type="http://schemas.openxmlformats.org/officeDocument/2006/relationships/image" Target="media/image61.emf"/><Relationship Id="rId162" Type="http://schemas.openxmlformats.org/officeDocument/2006/relationships/image" Target="media/image125.emf"/><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emf"/><Relationship Id="rId40" Type="http://schemas.openxmlformats.org/officeDocument/2006/relationships/chart" Target="charts/chart2.xml"/><Relationship Id="rId45" Type="http://schemas.openxmlformats.org/officeDocument/2006/relationships/image" Target="media/image29.png"/><Relationship Id="rId66" Type="http://schemas.openxmlformats.org/officeDocument/2006/relationships/image" Target="media/image38.emf"/><Relationship Id="rId87" Type="http://schemas.openxmlformats.org/officeDocument/2006/relationships/hyperlink" Target="mailto:ertuttiett1@sheffield.ac.uk" TargetMode="External"/><Relationship Id="rId110" Type="http://schemas.openxmlformats.org/officeDocument/2006/relationships/image" Target="media/image73.jpeg"/><Relationship Id="rId115" Type="http://schemas.openxmlformats.org/officeDocument/2006/relationships/image" Target="media/image78.emf"/><Relationship Id="rId131" Type="http://schemas.openxmlformats.org/officeDocument/2006/relationships/image" Target="media/image94.emf"/><Relationship Id="rId136" Type="http://schemas.openxmlformats.org/officeDocument/2006/relationships/image" Target="media/image99.emf"/><Relationship Id="rId157" Type="http://schemas.openxmlformats.org/officeDocument/2006/relationships/image" Target="media/image120.png"/><Relationship Id="rId178" Type="http://schemas.openxmlformats.org/officeDocument/2006/relationships/chart" Target="charts/chart7.xml"/><Relationship Id="rId61" Type="http://schemas.openxmlformats.org/officeDocument/2006/relationships/image" Target="media/image33.emf"/><Relationship Id="rId82" Type="http://schemas.openxmlformats.org/officeDocument/2006/relationships/image" Target="media/image54.emf"/><Relationship Id="rId152" Type="http://schemas.openxmlformats.org/officeDocument/2006/relationships/image" Target="media/image115.jpeg"/><Relationship Id="rId173" Type="http://schemas.openxmlformats.org/officeDocument/2006/relationships/image" Target="media/image136.jpeg"/><Relationship Id="rId19" Type="http://schemas.openxmlformats.org/officeDocument/2006/relationships/image" Target="media/image9.emf"/><Relationship Id="rId14" Type="http://schemas.openxmlformats.org/officeDocument/2006/relationships/image" Target="media/image5.jpeg"/><Relationship Id="rId30" Type="http://schemas.openxmlformats.org/officeDocument/2006/relationships/image" Target="media/image18.png"/><Relationship Id="rId35" Type="http://schemas.openxmlformats.org/officeDocument/2006/relationships/image" Target="media/image22.tiff"/><Relationship Id="rId56" Type="http://schemas.openxmlformats.org/officeDocument/2006/relationships/hyperlink" Target="https://www.nhs.uk/better-health/get-active/" TargetMode="External"/><Relationship Id="rId77" Type="http://schemas.openxmlformats.org/officeDocument/2006/relationships/image" Target="media/image49.jpeg"/><Relationship Id="rId100" Type="http://schemas.openxmlformats.org/officeDocument/2006/relationships/image" Target="media/image69.png"/><Relationship Id="rId105" Type="http://schemas.openxmlformats.org/officeDocument/2006/relationships/hyperlink" Target="mailto:e.a.williams@sheffield.ac.uk" TargetMode="External"/><Relationship Id="rId126" Type="http://schemas.openxmlformats.org/officeDocument/2006/relationships/image" Target="media/image89.emf"/><Relationship Id="rId147" Type="http://schemas.openxmlformats.org/officeDocument/2006/relationships/image" Target="media/image110.emf"/><Relationship Id="rId168" Type="http://schemas.openxmlformats.org/officeDocument/2006/relationships/image" Target="media/image131.jpe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4.emf"/><Relationship Id="rId93" Type="http://schemas.openxmlformats.org/officeDocument/2006/relationships/image" Target="media/image62.emf"/><Relationship Id="rId98" Type="http://schemas.openxmlformats.org/officeDocument/2006/relationships/image" Target="media/image67.emf"/><Relationship Id="rId121" Type="http://schemas.openxmlformats.org/officeDocument/2006/relationships/image" Target="media/image84.emf"/><Relationship Id="rId142" Type="http://schemas.openxmlformats.org/officeDocument/2006/relationships/image" Target="media/image105.emf"/><Relationship Id="rId163" Type="http://schemas.openxmlformats.org/officeDocument/2006/relationships/image" Target="media/image126.emf"/><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chart" Target="charts/chart3.xml"/><Relationship Id="rId67" Type="http://schemas.openxmlformats.org/officeDocument/2006/relationships/image" Target="media/image39.emf"/><Relationship Id="rId116" Type="http://schemas.openxmlformats.org/officeDocument/2006/relationships/image" Target="media/image79.emf"/><Relationship Id="rId137" Type="http://schemas.openxmlformats.org/officeDocument/2006/relationships/image" Target="media/image100.emf"/><Relationship Id="rId158" Type="http://schemas.openxmlformats.org/officeDocument/2006/relationships/image" Target="media/image121.jpeg"/><Relationship Id="rId20" Type="http://schemas.openxmlformats.org/officeDocument/2006/relationships/image" Target="media/image10.emf"/><Relationship Id="rId41" Type="http://schemas.openxmlformats.org/officeDocument/2006/relationships/hyperlink" Target="https://www.nhs.uk/live-well/exercise/strength-and-flexibility-exercises/balance-exercises/" TargetMode="External"/><Relationship Id="rId62" Type="http://schemas.openxmlformats.org/officeDocument/2006/relationships/image" Target="media/image34.emf"/><Relationship Id="rId83" Type="http://schemas.openxmlformats.org/officeDocument/2006/relationships/image" Target="media/image55.emf"/><Relationship Id="rId88" Type="http://schemas.openxmlformats.org/officeDocument/2006/relationships/hyperlink" Target="mailto:ertuttiett1@sheffield.ac.uk" TargetMode="External"/><Relationship Id="rId111" Type="http://schemas.openxmlformats.org/officeDocument/2006/relationships/image" Target="media/image74.png"/><Relationship Id="rId132" Type="http://schemas.openxmlformats.org/officeDocument/2006/relationships/image" Target="media/image95.emf"/><Relationship Id="rId153" Type="http://schemas.openxmlformats.org/officeDocument/2006/relationships/image" Target="media/image116.jpeg"/><Relationship Id="rId174" Type="http://schemas.openxmlformats.org/officeDocument/2006/relationships/image" Target="media/image137.jpeg"/><Relationship Id="rId179" Type="http://schemas.openxmlformats.org/officeDocument/2006/relationships/chart" Target="charts/chart8.xml"/><Relationship Id="rId15" Type="http://schemas.openxmlformats.org/officeDocument/2006/relationships/image" Target="media/image6.jpeg"/><Relationship Id="rId36" Type="http://schemas.openxmlformats.org/officeDocument/2006/relationships/image" Target="media/image23.tiff"/><Relationship Id="rId57" Type="http://schemas.openxmlformats.org/officeDocument/2006/relationships/hyperlink" Target="https://intake24.co.uk/" TargetMode="External"/><Relationship Id="rId106" Type="http://schemas.openxmlformats.org/officeDocument/2006/relationships/hyperlink" Target="mailto:ertuttiett1@sheffield.ac.uk" TargetMode="External"/><Relationship Id="rId127" Type="http://schemas.openxmlformats.org/officeDocument/2006/relationships/image" Target="media/image90.emf"/><Relationship Id="rId10" Type="http://schemas.openxmlformats.org/officeDocument/2006/relationships/footer" Target="footer2.xml"/><Relationship Id="rId31" Type="http://schemas.openxmlformats.org/officeDocument/2006/relationships/image" Target="media/image19.png"/><Relationship Id="rId52" Type="http://schemas.microsoft.com/office/2007/relationships/hdphoto" Target="media/hdphoto1.wdp"/><Relationship Id="rId73" Type="http://schemas.openxmlformats.org/officeDocument/2006/relationships/image" Target="media/image45.png"/><Relationship Id="rId78" Type="http://schemas.openxmlformats.org/officeDocument/2006/relationships/image" Target="media/image50.emf"/><Relationship Id="rId94" Type="http://schemas.openxmlformats.org/officeDocument/2006/relationships/image" Target="media/image63.emf"/><Relationship Id="rId99" Type="http://schemas.openxmlformats.org/officeDocument/2006/relationships/image" Target="media/image68.emf"/><Relationship Id="rId101" Type="http://schemas.openxmlformats.org/officeDocument/2006/relationships/image" Target="media/image70.png"/><Relationship Id="rId122" Type="http://schemas.openxmlformats.org/officeDocument/2006/relationships/image" Target="media/image85.emf"/><Relationship Id="rId143" Type="http://schemas.openxmlformats.org/officeDocument/2006/relationships/image" Target="media/image106.emf"/><Relationship Id="rId148" Type="http://schemas.openxmlformats.org/officeDocument/2006/relationships/image" Target="media/image111.emf"/><Relationship Id="rId164" Type="http://schemas.openxmlformats.org/officeDocument/2006/relationships/image" Target="media/image127.jpeg"/><Relationship Id="rId169" Type="http://schemas.openxmlformats.org/officeDocument/2006/relationships/image" Target="media/image132.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chart" Target="charts/chart9.xml"/><Relationship Id="rId26" Type="http://schemas.openxmlformats.org/officeDocument/2006/relationships/image" Target="media/image16.emf"/><Relationship Id="rId47" Type="http://schemas.openxmlformats.org/officeDocument/2006/relationships/chart" Target="charts/chart4.xml"/><Relationship Id="rId68" Type="http://schemas.openxmlformats.org/officeDocument/2006/relationships/image" Target="media/image40.emf"/><Relationship Id="rId89" Type="http://schemas.openxmlformats.org/officeDocument/2006/relationships/image" Target="media/image58.emf"/><Relationship Id="rId112" Type="http://schemas.openxmlformats.org/officeDocument/2006/relationships/image" Target="media/image75.emf"/><Relationship Id="rId133" Type="http://schemas.openxmlformats.org/officeDocument/2006/relationships/image" Target="media/image96.emf"/><Relationship Id="rId154" Type="http://schemas.openxmlformats.org/officeDocument/2006/relationships/image" Target="media/image117.jpeg"/><Relationship Id="rId175" Type="http://schemas.openxmlformats.org/officeDocument/2006/relationships/image" Target="media/image138.png"/><Relationship Id="rId16" Type="http://schemas.openxmlformats.org/officeDocument/2006/relationships/image" Target="media/image7.png"/><Relationship Id="rId37" Type="http://schemas.openxmlformats.org/officeDocument/2006/relationships/image" Target="media/image24.tiff"/><Relationship Id="rId58" Type="http://schemas.openxmlformats.org/officeDocument/2006/relationships/image" Target="media/image32.png"/><Relationship Id="rId79" Type="http://schemas.openxmlformats.org/officeDocument/2006/relationships/image" Target="media/image51.emf"/><Relationship Id="rId102" Type="http://schemas.openxmlformats.org/officeDocument/2006/relationships/image" Target="media/image71.png"/><Relationship Id="rId123" Type="http://schemas.openxmlformats.org/officeDocument/2006/relationships/image" Target="media/image86.emf"/><Relationship Id="rId144" Type="http://schemas.openxmlformats.org/officeDocument/2006/relationships/image" Target="media/image107.emf"/><Relationship Id="rId90" Type="http://schemas.openxmlformats.org/officeDocument/2006/relationships/image" Target="media/image59.emf"/><Relationship Id="rId165" Type="http://schemas.openxmlformats.org/officeDocument/2006/relationships/image" Target="media/image128.jpeg"/><Relationship Id="rId27" Type="http://schemas.openxmlformats.org/officeDocument/2006/relationships/hyperlink" Target="https://intake24.co.uk/" TargetMode="External"/><Relationship Id="rId48" Type="http://schemas.openxmlformats.org/officeDocument/2006/relationships/chart" Target="charts/chart5.xml"/><Relationship Id="rId69" Type="http://schemas.openxmlformats.org/officeDocument/2006/relationships/image" Target="media/image41.emf"/><Relationship Id="rId113" Type="http://schemas.openxmlformats.org/officeDocument/2006/relationships/image" Target="media/image76.emf"/><Relationship Id="rId134" Type="http://schemas.openxmlformats.org/officeDocument/2006/relationships/image" Target="media/image97.emf"/><Relationship Id="rId80" Type="http://schemas.openxmlformats.org/officeDocument/2006/relationships/image" Target="media/image52.emf"/><Relationship Id="rId155" Type="http://schemas.openxmlformats.org/officeDocument/2006/relationships/image" Target="media/image118.jpeg"/><Relationship Id="rId176" Type="http://schemas.openxmlformats.org/officeDocument/2006/relationships/image" Target="media/image139.png"/><Relationship Id="rId17" Type="http://schemas.openxmlformats.org/officeDocument/2006/relationships/image" Target="media/image8.png"/><Relationship Id="rId38" Type="http://schemas.openxmlformats.org/officeDocument/2006/relationships/image" Target="media/image25.tiff"/><Relationship Id="rId59" Type="http://schemas.openxmlformats.org/officeDocument/2006/relationships/hyperlink" Target="https://www.zestcommunity.co.uk/" TargetMode="External"/><Relationship Id="rId103" Type="http://schemas.openxmlformats.org/officeDocument/2006/relationships/hyperlink" Target="mailto:ertuttiett1@sheffield.ac.uk" TargetMode="External"/><Relationship Id="rId124" Type="http://schemas.openxmlformats.org/officeDocument/2006/relationships/image" Target="media/image87.emf"/><Relationship Id="rId70" Type="http://schemas.openxmlformats.org/officeDocument/2006/relationships/image" Target="media/image42.emf"/><Relationship Id="rId91" Type="http://schemas.openxmlformats.org/officeDocument/2006/relationships/image" Target="media/image60.emf"/><Relationship Id="rId145" Type="http://schemas.openxmlformats.org/officeDocument/2006/relationships/image" Target="media/image108.emf"/><Relationship Id="rId166" Type="http://schemas.openxmlformats.org/officeDocument/2006/relationships/image" Target="media/image129.jpeg"/><Relationship Id="rId1" Type="http://schemas.openxmlformats.org/officeDocument/2006/relationships/customXml" Target="../customXml/item1.xml"/><Relationship Id="rId28" Type="http://schemas.openxmlformats.org/officeDocument/2006/relationships/hyperlink" Target="https://dietassessmentprimer.cancer.gov/approach/table.html" TargetMode="External"/><Relationship Id="rId49" Type="http://schemas.openxmlformats.org/officeDocument/2006/relationships/hyperlink" Target="https://bmcpublichealth.biomedcentral.com/" TargetMode="External"/><Relationship Id="rId114" Type="http://schemas.openxmlformats.org/officeDocument/2006/relationships/image" Target="media/image77.emf"/></Relationships>
</file>

<file path=word/charts/_rels/chart1.xml.rels><?xml version="1.0" encoding="UTF-8" standalone="yes"?>
<Relationships xmlns="http://schemas.openxmlformats.org/package/2006/relationships"><Relationship Id="rId3" Type="http://schemas.openxmlformats.org/officeDocument/2006/relationships/oleObject" Target="file:////Users\esmetuttiett\Documents\Life\Uni\PhD\Protein%20screener%20-%20Intake24\0.8,%201,%201.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esmetuttiett/Documents/Life/Uni/PhD/Protein%20knowledge/Protein%20knowledge%20summary%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esmetuttiett\Documents\Life\Uni\PhD\Feasibility%20study\Results\Exercise%20diary%20analy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esmetuttiett\Documents\Life\Uni\PhD\Feasibility%20study\Results\Feasibility%20food%20diary%20analysi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esmetuttiett\Documents\Life\Uni\PhD\Feasibility%20study\Results\Exercise%20diary%20analysi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esmetuttiett\Documents\Life\Uni\PhD\Feasibility%20study\Results\Exercise%20diary%20analysi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esmetuttiett\Documents\Life\Uni\PhD\Feasibility%20study\Results\Exercise%20diary%20analysi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esmetuttiett\Documents\Life\Uni\PhD\Feasibility%20study\Results\Exercise%20diary%20analysi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Category</a:t>
            </a:r>
            <a:r>
              <a:rPr lang="en-GB" baseline="0"/>
              <a:t> of age groups and number of survey responses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'[0.8, 1, 1.2.xlsx]Sheet1'!$L$2:$R$2</c:f>
              <c:strCache>
                <c:ptCount val="7"/>
                <c:pt idx="0">
                  <c:v>18-25</c:v>
                </c:pt>
                <c:pt idx="1">
                  <c:v>26-35</c:v>
                </c:pt>
                <c:pt idx="2">
                  <c:v>36-45</c:v>
                </c:pt>
                <c:pt idx="3">
                  <c:v>46-55</c:v>
                </c:pt>
                <c:pt idx="4">
                  <c:v>56-65</c:v>
                </c:pt>
                <c:pt idx="5">
                  <c:v>66-75</c:v>
                </c:pt>
                <c:pt idx="6">
                  <c:v>76+</c:v>
                </c:pt>
              </c:strCache>
            </c:strRef>
          </c:cat>
          <c:val>
            <c:numRef>
              <c:f>'[0.8, 1, 1.2.xlsx]Sheet1'!$L$3:$R$3</c:f>
              <c:numCache>
                <c:formatCode>General</c:formatCode>
                <c:ptCount val="7"/>
                <c:pt idx="0">
                  <c:v>48</c:v>
                </c:pt>
                <c:pt idx="1">
                  <c:v>90</c:v>
                </c:pt>
                <c:pt idx="2">
                  <c:v>30</c:v>
                </c:pt>
                <c:pt idx="3">
                  <c:v>26</c:v>
                </c:pt>
                <c:pt idx="4">
                  <c:v>50</c:v>
                </c:pt>
                <c:pt idx="5">
                  <c:v>46</c:v>
                </c:pt>
                <c:pt idx="6">
                  <c:v>16</c:v>
                </c:pt>
              </c:numCache>
            </c:numRef>
          </c:val>
          <c:extLst>
            <c:ext xmlns:c16="http://schemas.microsoft.com/office/drawing/2014/chart" uri="{C3380CC4-5D6E-409C-BE32-E72D297353CC}">
              <c16:uniqueId val="{00000000-50CD-E04A-ACDF-81455C00BCF3}"/>
            </c:ext>
          </c:extLst>
        </c:ser>
        <c:dLbls>
          <c:showLegendKey val="0"/>
          <c:showVal val="0"/>
          <c:showCatName val="0"/>
          <c:showSerName val="0"/>
          <c:showPercent val="0"/>
          <c:showBubbleSize val="0"/>
        </c:dLbls>
        <c:gapWidth val="219"/>
        <c:overlap val="-27"/>
        <c:axId val="876394863"/>
        <c:axId val="876396511"/>
      </c:barChart>
      <c:catAx>
        <c:axId val="87639486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Age Categories</a:t>
                </a:r>
                <a:r>
                  <a:rPr lang="en-GB" baseline="0"/>
                  <a:t>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6396511"/>
        <c:crosses val="autoZero"/>
        <c:auto val="1"/>
        <c:lblAlgn val="ctr"/>
        <c:lblOffset val="100"/>
        <c:noMultiLvlLbl val="0"/>
      </c:catAx>
      <c:valAx>
        <c:axId val="8763965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responses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63948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Responses to protein knowledge questionnaire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Correct %</c:v>
                </c:pt>
              </c:strCache>
            </c:strRef>
          </c:tx>
          <c:spPr>
            <a:solidFill>
              <a:schemeClr val="accent1"/>
            </a:solidFill>
            <a:ln>
              <a:noFill/>
            </a:ln>
            <a:effectLst/>
          </c:spPr>
          <c:invertIfNegative val="0"/>
          <c:cat>
            <c:strRef>
              <c:f>Sheet1!$A$2:$A$11</c:f>
              <c:strCache>
                <c:ptCount val="10"/>
                <c:pt idx="0">
                  <c:v>1</c:v>
                </c:pt>
                <c:pt idx="1">
                  <c:v>2</c:v>
                </c:pt>
                <c:pt idx="2">
                  <c:v>4</c:v>
                </c:pt>
                <c:pt idx="3">
                  <c:v>5</c:v>
                </c:pt>
                <c:pt idx="4">
                  <c:v>6</c:v>
                </c:pt>
                <c:pt idx="5">
                  <c:v>7</c:v>
                </c:pt>
                <c:pt idx="6">
                  <c:v>8a</c:v>
                </c:pt>
                <c:pt idx="7">
                  <c:v>8b</c:v>
                </c:pt>
                <c:pt idx="8">
                  <c:v>8c</c:v>
                </c:pt>
                <c:pt idx="9">
                  <c:v>8d</c:v>
                </c:pt>
              </c:strCache>
            </c:strRef>
          </c:cat>
          <c:val>
            <c:numRef>
              <c:f>Sheet1!$B$2:$B$11</c:f>
              <c:numCache>
                <c:formatCode>General</c:formatCode>
                <c:ptCount val="10"/>
                <c:pt idx="0">
                  <c:v>58.2</c:v>
                </c:pt>
                <c:pt idx="1">
                  <c:v>52.3</c:v>
                </c:pt>
                <c:pt idx="2">
                  <c:v>86.2</c:v>
                </c:pt>
                <c:pt idx="3">
                  <c:v>51.3</c:v>
                </c:pt>
                <c:pt idx="4">
                  <c:v>46.4</c:v>
                </c:pt>
                <c:pt idx="5">
                  <c:v>40.5</c:v>
                </c:pt>
                <c:pt idx="6">
                  <c:v>92.5</c:v>
                </c:pt>
                <c:pt idx="7">
                  <c:v>85.3</c:v>
                </c:pt>
                <c:pt idx="8">
                  <c:v>35.9</c:v>
                </c:pt>
                <c:pt idx="9">
                  <c:v>84</c:v>
                </c:pt>
              </c:numCache>
            </c:numRef>
          </c:val>
          <c:extLst>
            <c:ext xmlns:c16="http://schemas.microsoft.com/office/drawing/2014/chart" uri="{C3380CC4-5D6E-409C-BE32-E72D297353CC}">
              <c16:uniqueId val="{00000000-860D-F245-8930-B9BDC5EA801D}"/>
            </c:ext>
          </c:extLst>
        </c:ser>
        <c:ser>
          <c:idx val="1"/>
          <c:order val="1"/>
          <c:tx>
            <c:strRef>
              <c:f>Sheet1!$C$1</c:f>
              <c:strCache>
                <c:ptCount val="1"/>
                <c:pt idx="0">
                  <c:v>Incorrect %</c:v>
                </c:pt>
              </c:strCache>
            </c:strRef>
          </c:tx>
          <c:spPr>
            <a:solidFill>
              <a:schemeClr val="accent2"/>
            </a:solidFill>
            <a:ln>
              <a:noFill/>
            </a:ln>
            <a:effectLst/>
          </c:spPr>
          <c:invertIfNegative val="0"/>
          <c:cat>
            <c:strRef>
              <c:f>Sheet1!$A$2:$A$11</c:f>
              <c:strCache>
                <c:ptCount val="10"/>
                <c:pt idx="0">
                  <c:v>1</c:v>
                </c:pt>
                <c:pt idx="1">
                  <c:v>2</c:v>
                </c:pt>
                <c:pt idx="2">
                  <c:v>4</c:v>
                </c:pt>
                <c:pt idx="3">
                  <c:v>5</c:v>
                </c:pt>
                <c:pt idx="4">
                  <c:v>6</c:v>
                </c:pt>
                <c:pt idx="5">
                  <c:v>7</c:v>
                </c:pt>
                <c:pt idx="6">
                  <c:v>8a</c:v>
                </c:pt>
                <c:pt idx="7">
                  <c:v>8b</c:v>
                </c:pt>
                <c:pt idx="8">
                  <c:v>8c</c:v>
                </c:pt>
                <c:pt idx="9">
                  <c:v>8d</c:v>
                </c:pt>
              </c:strCache>
            </c:strRef>
          </c:cat>
          <c:val>
            <c:numRef>
              <c:f>Sheet1!$C$2:$C$11</c:f>
              <c:numCache>
                <c:formatCode>General</c:formatCode>
                <c:ptCount val="10"/>
                <c:pt idx="0">
                  <c:v>15.1</c:v>
                </c:pt>
                <c:pt idx="1">
                  <c:v>33.1</c:v>
                </c:pt>
                <c:pt idx="2">
                  <c:v>13.8</c:v>
                </c:pt>
                <c:pt idx="3">
                  <c:v>47</c:v>
                </c:pt>
                <c:pt idx="4">
                  <c:v>53</c:v>
                </c:pt>
                <c:pt idx="5">
                  <c:v>59.5</c:v>
                </c:pt>
                <c:pt idx="6">
                  <c:v>3.3</c:v>
                </c:pt>
                <c:pt idx="7">
                  <c:v>4.5999999999999996</c:v>
                </c:pt>
                <c:pt idx="8">
                  <c:v>53.9</c:v>
                </c:pt>
                <c:pt idx="9">
                  <c:v>5.2</c:v>
                </c:pt>
              </c:numCache>
            </c:numRef>
          </c:val>
          <c:extLst>
            <c:ext xmlns:c16="http://schemas.microsoft.com/office/drawing/2014/chart" uri="{C3380CC4-5D6E-409C-BE32-E72D297353CC}">
              <c16:uniqueId val="{00000001-860D-F245-8930-B9BDC5EA801D}"/>
            </c:ext>
          </c:extLst>
        </c:ser>
        <c:ser>
          <c:idx val="2"/>
          <c:order val="2"/>
          <c:tx>
            <c:strRef>
              <c:f>Sheet1!$D$1</c:f>
              <c:strCache>
                <c:ptCount val="1"/>
                <c:pt idx="0">
                  <c:v>Not sure %</c:v>
                </c:pt>
              </c:strCache>
            </c:strRef>
          </c:tx>
          <c:spPr>
            <a:solidFill>
              <a:schemeClr val="accent3"/>
            </a:solidFill>
            <a:ln>
              <a:noFill/>
            </a:ln>
            <a:effectLst/>
          </c:spPr>
          <c:invertIfNegative val="0"/>
          <c:cat>
            <c:strRef>
              <c:f>Sheet1!$A$2:$A$11</c:f>
              <c:strCache>
                <c:ptCount val="10"/>
                <c:pt idx="0">
                  <c:v>1</c:v>
                </c:pt>
                <c:pt idx="1">
                  <c:v>2</c:v>
                </c:pt>
                <c:pt idx="2">
                  <c:v>4</c:v>
                </c:pt>
                <c:pt idx="3">
                  <c:v>5</c:v>
                </c:pt>
                <c:pt idx="4">
                  <c:v>6</c:v>
                </c:pt>
                <c:pt idx="5">
                  <c:v>7</c:v>
                </c:pt>
                <c:pt idx="6">
                  <c:v>8a</c:v>
                </c:pt>
                <c:pt idx="7">
                  <c:v>8b</c:v>
                </c:pt>
                <c:pt idx="8">
                  <c:v>8c</c:v>
                </c:pt>
                <c:pt idx="9">
                  <c:v>8d</c:v>
                </c:pt>
              </c:strCache>
            </c:strRef>
          </c:cat>
          <c:val>
            <c:numRef>
              <c:f>Sheet1!$D$2:$D$11</c:f>
              <c:numCache>
                <c:formatCode>General</c:formatCode>
                <c:ptCount val="10"/>
                <c:pt idx="0">
                  <c:v>26.8</c:v>
                </c:pt>
                <c:pt idx="1">
                  <c:v>14.7</c:v>
                </c:pt>
                <c:pt idx="3">
                  <c:v>1.7</c:v>
                </c:pt>
                <c:pt idx="4">
                  <c:v>0.6</c:v>
                </c:pt>
                <c:pt idx="6">
                  <c:v>3.9</c:v>
                </c:pt>
                <c:pt idx="7">
                  <c:v>9.8000000000000007</c:v>
                </c:pt>
                <c:pt idx="8">
                  <c:v>9.8000000000000007</c:v>
                </c:pt>
                <c:pt idx="9">
                  <c:v>10.8</c:v>
                </c:pt>
              </c:numCache>
            </c:numRef>
          </c:val>
          <c:extLst>
            <c:ext xmlns:c16="http://schemas.microsoft.com/office/drawing/2014/chart" uri="{C3380CC4-5D6E-409C-BE32-E72D297353CC}">
              <c16:uniqueId val="{00000002-860D-F245-8930-B9BDC5EA801D}"/>
            </c:ext>
          </c:extLst>
        </c:ser>
        <c:dLbls>
          <c:showLegendKey val="0"/>
          <c:showVal val="0"/>
          <c:showCatName val="0"/>
          <c:showSerName val="0"/>
          <c:showPercent val="0"/>
          <c:showBubbleSize val="0"/>
        </c:dLbls>
        <c:gapWidth val="150"/>
        <c:overlap val="100"/>
        <c:axId val="1186643184"/>
        <c:axId val="1146934560"/>
      </c:barChart>
      <c:catAx>
        <c:axId val="11866431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Question</a:t>
                </a:r>
                <a:r>
                  <a:rPr lang="en-GB" baseline="0"/>
                  <a:t> nnumber</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6934560"/>
        <c:crosses val="autoZero"/>
        <c:auto val="1"/>
        <c:lblAlgn val="ctr"/>
        <c:lblOffset val="100"/>
        <c:noMultiLvlLbl val="0"/>
      </c:catAx>
      <c:valAx>
        <c:axId val="11469345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Percentage</a:t>
                </a:r>
                <a:r>
                  <a:rPr lang="en-GB" baseline="0"/>
                  <a:t> response (%)</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6643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Participant OMNI-RISE scores across the 6-week exercise program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6321303354615214E-2"/>
          <c:y val="0.18304054054054053"/>
          <c:w val="0.89029931301095333"/>
          <c:h val="0.63231911044903166"/>
        </c:manualLayout>
      </c:layout>
      <c:lineChart>
        <c:grouping val="standard"/>
        <c:varyColors val="0"/>
        <c:ser>
          <c:idx val="0"/>
          <c:order val="0"/>
          <c:tx>
            <c:strRef>
              <c:f>Sheet1!$AC$52:$AC$53</c:f>
              <c:strCache>
                <c:ptCount val="2"/>
                <c:pt idx="0">
                  <c:v>EN101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Sheet1!$AC$54:$AC$59</c:f>
              <c:numCache>
                <c:formatCode>General</c:formatCode>
                <c:ptCount val="6"/>
                <c:pt idx="0">
                  <c:v>5</c:v>
                </c:pt>
                <c:pt idx="1">
                  <c:v>6</c:v>
                </c:pt>
                <c:pt idx="4">
                  <c:v>3.5</c:v>
                </c:pt>
              </c:numCache>
            </c:numRef>
          </c:val>
          <c:smooth val="0"/>
          <c:extLst>
            <c:ext xmlns:c16="http://schemas.microsoft.com/office/drawing/2014/chart" uri="{C3380CC4-5D6E-409C-BE32-E72D297353CC}">
              <c16:uniqueId val="{00000000-FDFE-E349-A7A5-CF0B5097CEC4}"/>
            </c:ext>
          </c:extLst>
        </c:ser>
        <c:ser>
          <c:idx val="1"/>
          <c:order val="1"/>
          <c:tx>
            <c:strRef>
              <c:f>Sheet1!$AD$52:$AD$53</c:f>
              <c:strCache>
                <c:ptCount val="2"/>
                <c:pt idx="0">
                  <c:v>EN103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Sheet1!$AD$54:$AD$59</c:f>
              <c:numCache>
                <c:formatCode>General</c:formatCode>
                <c:ptCount val="6"/>
                <c:pt idx="0">
                  <c:v>6.5</c:v>
                </c:pt>
                <c:pt idx="1">
                  <c:v>6.5</c:v>
                </c:pt>
                <c:pt idx="2">
                  <c:v>7</c:v>
                </c:pt>
                <c:pt idx="3">
                  <c:v>7.5</c:v>
                </c:pt>
                <c:pt idx="4">
                  <c:v>7.33</c:v>
                </c:pt>
                <c:pt idx="5">
                  <c:v>7</c:v>
                </c:pt>
              </c:numCache>
            </c:numRef>
          </c:val>
          <c:smooth val="0"/>
          <c:extLst>
            <c:ext xmlns:c16="http://schemas.microsoft.com/office/drawing/2014/chart" uri="{C3380CC4-5D6E-409C-BE32-E72D297353CC}">
              <c16:uniqueId val="{00000001-FDFE-E349-A7A5-CF0B5097CEC4}"/>
            </c:ext>
          </c:extLst>
        </c:ser>
        <c:ser>
          <c:idx val="2"/>
          <c:order val="2"/>
          <c:tx>
            <c:strRef>
              <c:f>Sheet1!$AE$52:$AE$53</c:f>
              <c:strCache>
                <c:ptCount val="2"/>
                <c:pt idx="0">
                  <c:v>EN104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Sheet1!$AE$54:$AE$59</c:f>
              <c:numCache>
                <c:formatCode>General</c:formatCode>
                <c:ptCount val="6"/>
                <c:pt idx="0">
                  <c:v>6</c:v>
                </c:pt>
                <c:pt idx="1">
                  <c:v>5</c:v>
                </c:pt>
                <c:pt idx="2">
                  <c:v>6.66</c:v>
                </c:pt>
                <c:pt idx="3">
                  <c:v>8</c:v>
                </c:pt>
                <c:pt idx="4">
                  <c:v>8</c:v>
                </c:pt>
                <c:pt idx="5">
                  <c:v>7.66</c:v>
                </c:pt>
              </c:numCache>
            </c:numRef>
          </c:val>
          <c:smooth val="0"/>
          <c:extLst>
            <c:ext xmlns:c16="http://schemas.microsoft.com/office/drawing/2014/chart" uri="{C3380CC4-5D6E-409C-BE32-E72D297353CC}">
              <c16:uniqueId val="{00000002-FDFE-E349-A7A5-CF0B5097CEC4}"/>
            </c:ext>
          </c:extLst>
        </c:ser>
        <c:ser>
          <c:idx val="3"/>
          <c:order val="3"/>
          <c:tx>
            <c:strRef>
              <c:f>Sheet1!$AF$52:$AF$53</c:f>
              <c:strCache>
                <c:ptCount val="2"/>
                <c:pt idx="0">
                  <c:v>EN105</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Sheet1!$AF$54:$AF$59</c:f>
              <c:numCache>
                <c:formatCode>General</c:formatCode>
                <c:ptCount val="6"/>
                <c:pt idx="0">
                  <c:v>5</c:v>
                </c:pt>
              </c:numCache>
            </c:numRef>
          </c:val>
          <c:smooth val="0"/>
          <c:extLst>
            <c:ext xmlns:c16="http://schemas.microsoft.com/office/drawing/2014/chart" uri="{C3380CC4-5D6E-409C-BE32-E72D297353CC}">
              <c16:uniqueId val="{00000003-FDFE-E349-A7A5-CF0B5097CEC4}"/>
            </c:ext>
          </c:extLst>
        </c:ser>
        <c:ser>
          <c:idx val="4"/>
          <c:order val="4"/>
          <c:tx>
            <c:strRef>
              <c:f>Sheet1!$AG$52:$AG$53</c:f>
              <c:strCache>
                <c:ptCount val="2"/>
                <c:pt idx="0">
                  <c:v>EN106</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Sheet1!$AG$54:$AG$59</c:f>
              <c:numCache>
                <c:formatCode>General</c:formatCode>
                <c:ptCount val="6"/>
                <c:pt idx="0">
                  <c:v>7</c:v>
                </c:pt>
                <c:pt idx="1">
                  <c:v>7</c:v>
                </c:pt>
                <c:pt idx="2">
                  <c:v>8.33</c:v>
                </c:pt>
                <c:pt idx="3">
                  <c:v>8.5</c:v>
                </c:pt>
                <c:pt idx="4">
                  <c:v>8.33</c:v>
                </c:pt>
                <c:pt idx="5">
                  <c:v>8.33</c:v>
                </c:pt>
              </c:numCache>
            </c:numRef>
          </c:val>
          <c:smooth val="0"/>
          <c:extLst>
            <c:ext xmlns:c16="http://schemas.microsoft.com/office/drawing/2014/chart" uri="{C3380CC4-5D6E-409C-BE32-E72D297353CC}">
              <c16:uniqueId val="{00000004-FDFE-E349-A7A5-CF0B5097CEC4}"/>
            </c:ext>
          </c:extLst>
        </c:ser>
        <c:ser>
          <c:idx val="5"/>
          <c:order val="5"/>
          <c:tx>
            <c:strRef>
              <c:f>Sheet1!$AH$52:$AH$53</c:f>
              <c:strCache>
                <c:ptCount val="2"/>
                <c:pt idx="0">
                  <c:v>EN107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Sheet1!$AH$54:$AH$59</c:f>
              <c:numCache>
                <c:formatCode>General</c:formatCode>
                <c:ptCount val="6"/>
              </c:numCache>
            </c:numRef>
          </c:val>
          <c:smooth val="0"/>
          <c:extLst>
            <c:ext xmlns:c16="http://schemas.microsoft.com/office/drawing/2014/chart" uri="{C3380CC4-5D6E-409C-BE32-E72D297353CC}">
              <c16:uniqueId val="{00000005-FDFE-E349-A7A5-CF0B5097CEC4}"/>
            </c:ext>
          </c:extLst>
        </c:ser>
        <c:ser>
          <c:idx val="6"/>
          <c:order val="6"/>
          <c:tx>
            <c:strRef>
              <c:f>Sheet1!$AI$52:$AI$53</c:f>
              <c:strCache>
                <c:ptCount val="2"/>
                <c:pt idx="0">
                  <c:v>EN108</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Sheet1!$AI$54:$AI$59</c:f>
              <c:numCache>
                <c:formatCode>General</c:formatCode>
                <c:ptCount val="6"/>
                <c:pt idx="0">
                  <c:v>6.5</c:v>
                </c:pt>
                <c:pt idx="1">
                  <c:v>7.5</c:v>
                </c:pt>
                <c:pt idx="2">
                  <c:v>7.8330000000000002</c:v>
                </c:pt>
                <c:pt idx="3">
                  <c:v>7.5</c:v>
                </c:pt>
                <c:pt idx="4">
                  <c:v>8.33</c:v>
                </c:pt>
                <c:pt idx="5">
                  <c:v>8.33</c:v>
                </c:pt>
              </c:numCache>
            </c:numRef>
          </c:val>
          <c:smooth val="0"/>
          <c:extLst>
            <c:ext xmlns:c16="http://schemas.microsoft.com/office/drawing/2014/chart" uri="{C3380CC4-5D6E-409C-BE32-E72D297353CC}">
              <c16:uniqueId val="{00000006-FDFE-E349-A7A5-CF0B5097CEC4}"/>
            </c:ext>
          </c:extLst>
        </c:ser>
        <c:ser>
          <c:idx val="7"/>
          <c:order val="7"/>
          <c:tx>
            <c:strRef>
              <c:f>Sheet1!$AJ$52:$AJ$53</c:f>
              <c:strCache>
                <c:ptCount val="2"/>
                <c:pt idx="0">
                  <c:v>EN109</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Sheet1!$AJ$54:$AJ$59</c:f>
              <c:numCache>
                <c:formatCode>General</c:formatCode>
                <c:ptCount val="6"/>
                <c:pt idx="1">
                  <c:v>6</c:v>
                </c:pt>
                <c:pt idx="2">
                  <c:v>5.33</c:v>
                </c:pt>
                <c:pt idx="3">
                  <c:v>5.5</c:v>
                </c:pt>
                <c:pt idx="4">
                  <c:v>5</c:v>
                </c:pt>
              </c:numCache>
            </c:numRef>
          </c:val>
          <c:smooth val="0"/>
          <c:extLst>
            <c:ext xmlns:c16="http://schemas.microsoft.com/office/drawing/2014/chart" uri="{C3380CC4-5D6E-409C-BE32-E72D297353CC}">
              <c16:uniqueId val="{00000007-FDFE-E349-A7A5-CF0B5097CEC4}"/>
            </c:ext>
          </c:extLst>
        </c:ser>
        <c:ser>
          <c:idx val="8"/>
          <c:order val="8"/>
          <c:tx>
            <c:strRef>
              <c:f>Sheet1!$AK$52:$AK$53</c:f>
              <c:strCache>
                <c:ptCount val="2"/>
                <c:pt idx="0">
                  <c:v>EN110</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Sheet1!$AK$54:$AK$59</c:f>
              <c:numCache>
                <c:formatCode>General</c:formatCode>
                <c:ptCount val="6"/>
                <c:pt idx="0">
                  <c:v>6.5</c:v>
                </c:pt>
                <c:pt idx="1">
                  <c:v>7</c:v>
                </c:pt>
                <c:pt idx="2">
                  <c:v>6.33</c:v>
                </c:pt>
                <c:pt idx="3">
                  <c:v>7.75</c:v>
                </c:pt>
                <c:pt idx="5">
                  <c:v>8.5</c:v>
                </c:pt>
              </c:numCache>
            </c:numRef>
          </c:val>
          <c:smooth val="0"/>
          <c:extLst>
            <c:ext xmlns:c16="http://schemas.microsoft.com/office/drawing/2014/chart" uri="{C3380CC4-5D6E-409C-BE32-E72D297353CC}">
              <c16:uniqueId val="{00000008-FDFE-E349-A7A5-CF0B5097CEC4}"/>
            </c:ext>
          </c:extLst>
        </c:ser>
        <c:ser>
          <c:idx val="9"/>
          <c:order val="9"/>
          <c:tx>
            <c:strRef>
              <c:f>Sheet1!$AL$52:$AL$53</c:f>
              <c:strCache>
                <c:ptCount val="2"/>
                <c:pt idx="0">
                  <c:v>EN112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Sheet1!$AL$54:$AL$59</c:f>
              <c:numCache>
                <c:formatCode>General</c:formatCode>
                <c:ptCount val="6"/>
                <c:pt idx="0">
                  <c:v>5</c:v>
                </c:pt>
                <c:pt idx="1">
                  <c:v>5</c:v>
                </c:pt>
                <c:pt idx="2">
                  <c:v>5</c:v>
                </c:pt>
                <c:pt idx="3">
                  <c:v>6</c:v>
                </c:pt>
                <c:pt idx="4">
                  <c:v>6</c:v>
                </c:pt>
                <c:pt idx="5">
                  <c:v>6</c:v>
                </c:pt>
              </c:numCache>
            </c:numRef>
          </c:val>
          <c:smooth val="0"/>
          <c:extLst>
            <c:ext xmlns:c16="http://schemas.microsoft.com/office/drawing/2014/chart" uri="{C3380CC4-5D6E-409C-BE32-E72D297353CC}">
              <c16:uniqueId val="{00000009-FDFE-E349-A7A5-CF0B5097CEC4}"/>
            </c:ext>
          </c:extLst>
        </c:ser>
        <c:ser>
          <c:idx val="10"/>
          <c:order val="10"/>
          <c:tx>
            <c:strRef>
              <c:f>Sheet1!$AM$52:$AM$53</c:f>
              <c:strCache>
                <c:ptCount val="2"/>
                <c:pt idx="0">
                  <c:v>EN113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Sheet1!$AB$54:$AB$59</c:f>
              <c:strCache>
                <c:ptCount val="6"/>
                <c:pt idx="0">
                  <c:v>Week 1</c:v>
                </c:pt>
                <c:pt idx="1">
                  <c:v>Week 2</c:v>
                </c:pt>
                <c:pt idx="2">
                  <c:v>Week 3</c:v>
                </c:pt>
                <c:pt idx="3">
                  <c:v>Week 4</c:v>
                </c:pt>
                <c:pt idx="4">
                  <c:v>Week 5</c:v>
                </c:pt>
                <c:pt idx="5">
                  <c:v>Week 6</c:v>
                </c:pt>
              </c:strCache>
            </c:strRef>
          </c:cat>
          <c:val>
            <c:numRef>
              <c:f>Sheet1!$AM$54:$AM$59</c:f>
              <c:numCache>
                <c:formatCode>General</c:formatCode>
                <c:ptCount val="6"/>
                <c:pt idx="0">
                  <c:v>5.5</c:v>
                </c:pt>
                <c:pt idx="1">
                  <c:v>7.5</c:v>
                </c:pt>
                <c:pt idx="2">
                  <c:v>6</c:v>
                </c:pt>
                <c:pt idx="3">
                  <c:v>5</c:v>
                </c:pt>
                <c:pt idx="4">
                  <c:v>5</c:v>
                </c:pt>
                <c:pt idx="5">
                  <c:v>7</c:v>
                </c:pt>
              </c:numCache>
            </c:numRef>
          </c:val>
          <c:smooth val="0"/>
          <c:extLst>
            <c:ext xmlns:c16="http://schemas.microsoft.com/office/drawing/2014/chart" uri="{C3380CC4-5D6E-409C-BE32-E72D297353CC}">
              <c16:uniqueId val="{0000000A-FDFE-E349-A7A5-CF0B5097CEC4}"/>
            </c:ext>
          </c:extLst>
        </c:ser>
        <c:dLbls>
          <c:showLegendKey val="0"/>
          <c:showVal val="0"/>
          <c:showCatName val="0"/>
          <c:showSerName val="0"/>
          <c:showPercent val="0"/>
          <c:showBubbleSize val="0"/>
        </c:dLbls>
        <c:marker val="1"/>
        <c:smooth val="0"/>
        <c:axId val="1067561088"/>
        <c:axId val="1067562736"/>
      </c:lineChart>
      <c:catAx>
        <c:axId val="10675610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Week of intervention</a:t>
                </a:r>
              </a:p>
            </c:rich>
          </c:tx>
          <c:layout>
            <c:manualLayout>
              <c:xMode val="edge"/>
              <c:yMode val="edge"/>
              <c:x val="0.43315521266536688"/>
              <c:y val="0.8599483932751649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7562736"/>
        <c:crosses val="autoZero"/>
        <c:auto val="1"/>
        <c:lblAlgn val="ctr"/>
        <c:lblOffset val="100"/>
        <c:noMultiLvlLbl val="0"/>
      </c:catAx>
      <c:valAx>
        <c:axId val="1067562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OMNI-Rise</a:t>
                </a:r>
                <a:r>
                  <a:rPr lang="en-GB" baseline="0"/>
                  <a:t> score</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7561088"/>
        <c:crosses val="autoZero"/>
        <c:crossBetween val="between"/>
      </c:valAx>
      <c:spPr>
        <a:noFill/>
        <a:ln>
          <a:noFill/>
        </a:ln>
        <a:effectLst/>
      </c:spPr>
    </c:plotArea>
    <c:legend>
      <c:legendPos val="b"/>
      <c:layout>
        <c:manualLayout>
          <c:xMode val="edge"/>
          <c:yMode val="edge"/>
          <c:x val="0.16492004652447137"/>
          <c:y val="0.92145190466056603"/>
          <c:w val="0.74879965190323583"/>
          <c:h val="7.85480953394339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The amount of portein consumed across</a:t>
            </a:r>
            <a:r>
              <a:rPr lang="en-GB" baseline="0"/>
              <a:t> the differnt weeks of the trial.</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Sheet1!$A$2</c:f>
              <c:strCache>
                <c:ptCount val="1"/>
                <c:pt idx="0">
                  <c:v>All (n=8) (no supplement)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xVal>
            <c:strRef>
              <c:f>Sheet1!$B$1:$D$1</c:f>
              <c:strCache>
                <c:ptCount val="3"/>
                <c:pt idx="0">
                  <c:v>Week 0</c:v>
                </c:pt>
                <c:pt idx="1">
                  <c:v>Week 3</c:v>
                </c:pt>
                <c:pt idx="2">
                  <c:v>Week 6</c:v>
                </c:pt>
              </c:strCache>
            </c:strRef>
          </c:xVal>
          <c:yVal>
            <c:numRef>
              <c:f>Sheet1!$B$2:$D$2</c:f>
              <c:numCache>
                <c:formatCode>General</c:formatCode>
                <c:ptCount val="3"/>
                <c:pt idx="0">
                  <c:v>82.9</c:v>
                </c:pt>
                <c:pt idx="1">
                  <c:v>81.84</c:v>
                </c:pt>
                <c:pt idx="2">
                  <c:v>67.400000000000006</c:v>
                </c:pt>
              </c:numCache>
            </c:numRef>
          </c:yVal>
          <c:smooth val="0"/>
          <c:extLst>
            <c:ext xmlns:c16="http://schemas.microsoft.com/office/drawing/2014/chart" uri="{C3380CC4-5D6E-409C-BE32-E72D297353CC}">
              <c16:uniqueId val="{00000000-E312-BA41-99B2-564B818A3CFC}"/>
            </c:ext>
          </c:extLst>
        </c:ser>
        <c:ser>
          <c:idx val="1"/>
          <c:order val="1"/>
          <c:tx>
            <c:strRef>
              <c:f>Sheet1!$A$3</c:f>
              <c:strCache>
                <c:ptCount val="1"/>
                <c:pt idx="0">
                  <c:v>All (n=8)  (+ supplement)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xVal>
            <c:strRef>
              <c:f>Sheet1!$B$1:$D$1</c:f>
              <c:strCache>
                <c:ptCount val="3"/>
                <c:pt idx="0">
                  <c:v>Week 0</c:v>
                </c:pt>
                <c:pt idx="1">
                  <c:v>Week 3</c:v>
                </c:pt>
                <c:pt idx="2">
                  <c:v>Week 6</c:v>
                </c:pt>
              </c:strCache>
            </c:strRef>
          </c:xVal>
          <c:yVal>
            <c:numRef>
              <c:f>Sheet1!$B$3:$D$3</c:f>
              <c:numCache>
                <c:formatCode>General</c:formatCode>
                <c:ptCount val="3"/>
                <c:pt idx="0">
                  <c:v>82.9</c:v>
                </c:pt>
                <c:pt idx="1">
                  <c:v>100.6</c:v>
                </c:pt>
                <c:pt idx="2">
                  <c:v>86.1</c:v>
                </c:pt>
              </c:numCache>
            </c:numRef>
          </c:yVal>
          <c:smooth val="0"/>
          <c:extLst>
            <c:ext xmlns:c16="http://schemas.microsoft.com/office/drawing/2014/chart" uri="{C3380CC4-5D6E-409C-BE32-E72D297353CC}">
              <c16:uniqueId val="{00000001-E312-BA41-99B2-564B818A3CFC}"/>
            </c:ext>
          </c:extLst>
        </c:ser>
        <c:ser>
          <c:idx val="2"/>
          <c:order val="2"/>
          <c:tx>
            <c:strRef>
              <c:f>Sheet1!$A$4</c:f>
              <c:strCache>
                <c:ptCount val="1"/>
                <c:pt idx="0">
                  <c:v>30g protein (no supplement)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xVal>
            <c:strRef>
              <c:f>Sheet1!$B$1:$D$1</c:f>
              <c:strCache>
                <c:ptCount val="3"/>
                <c:pt idx="0">
                  <c:v>Week 0</c:v>
                </c:pt>
                <c:pt idx="1">
                  <c:v>Week 3</c:v>
                </c:pt>
                <c:pt idx="2">
                  <c:v>Week 6</c:v>
                </c:pt>
              </c:strCache>
            </c:strRef>
          </c:xVal>
          <c:yVal>
            <c:numRef>
              <c:f>Sheet1!$B$4:$D$4</c:f>
              <c:numCache>
                <c:formatCode>General</c:formatCode>
                <c:ptCount val="3"/>
                <c:pt idx="0">
                  <c:v>100.3</c:v>
                </c:pt>
                <c:pt idx="1">
                  <c:v>93.8</c:v>
                </c:pt>
                <c:pt idx="2">
                  <c:v>73.099999999999994</c:v>
                </c:pt>
              </c:numCache>
            </c:numRef>
          </c:yVal>
          <c:smooth val="0"/>
          <c:extLst>
            <c:ext xmlns:c16="http://schemas.microsoft.com/office/drawing/2014/chart" uri="{C3380CC4-5D6E-409C-BE32-E72D297353CC}">
              <c16:uniqueId val="{00000002-E312-BA41-99B2-564B818A3CFC}"/>
            </c:ext>
          </c:extLst>
        </c:ser>
        <c:ser>
          <c:idx val="3"/>
          <c:order val="3"/>
          <c:tx>
            <c:strRef>
              <c:f>Sheet1!$A$5</c:f>
              <c:strCache>
                <c:ptCount val="1"/>
                <c:pt idx="0">
                  <c:v>30g protein (+ supplement)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xVal>
            <c:strRef>
              <c:f>Sheet1!$B$1:$D$1</c:f>
              <c:strCache>
                <c:ptCount val="3"/>
                <c:pt idx="0">
                  <c:v>Week 0</c:v>
                </c:pt>
                <c:pt idx="1">
                  <c:v>Week 3</c:v>
                </c:pt>
                <c:pt idx="2">
                  <c:v>Week 6</c:v>
                </c:pt>
              </c:strCache>
            </c:strRef>
          </c:xVal>
          <c:yVal>
            <c:numRef>
              <c:f>Sheet1!$B$5:$D$5</c:f>
              <c:numCache>
                <c:formatCode>General</c:formatCode>
                <c:ptCount val="3"/>
                <c:pt idx="0">
                  <c:v>100.3</c:v>
                </c:pt>
                <c:pt idx="1">
                  <c:v>116.2</c:v>
                </c:pt>
                <c:pt idx="2">
                  <c:v>103.1</c:v>
                </c:pt>
              </c:numCache>
            </c:numRef>
          </c:yVal>
          <c:smooth val="0"/>
          <c:extLst>
            <c:ext xmlns:c16="http://schemas.microsoft.com/office/drawing/2014/chart" uri="{C3380CC4-5D6E-409C-BE32-E72D297353CC}">
              <c16:uniqueId val="{00000003-E312-BA41-99B2-564B818A3CFC}"/>
            </c:ext>
          </c:extLst>
        </c:ser>
        <c:ser>
          <c:idx val="4"/>
          <c:order val="4"/>
          <c:tx>
            <c:strRef>
              <c:f>Sheet1!$A$6</c:f>
              <c:strCache>
                <c:ptCount val="1"/>
                <c:pt idx="0">
                  <c:v>15g protein (no supplement)</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xVal>
            <c:strRef>
              <c:f>Sheet1!$B$1:$D$1</c:f>
              <c:strCache>
                <c:ptCount val="3"/>
                <c:pt idx="0">
                  <c:v>Week 0</c:v>
                </c:pt>
                <c:pt idx="1">
                  <c:v>Week 3</c:v>
                </c:pt>
                <c:pt idx="2">
                  <c:v>Week 6</c:v>
                </c:pt>
              </c:strCache>
            </c:strRef>
          </c:xVal>
          <c:yVal>
            <c:numRef>
              <c:f>Sheet1!$B$6:$D$6</c:f>
              <c:numCache>
                <c:formatCode>General</c:formatCode>
                <c:ptCount val="3"/>
                <c:pt idx="0">
                  <c:v>70.2</c:v>
                </c:pt>
                <c:pt idx="1">
                  <c:v>62.6</c:v>
                </c:pt>
                <c:pt idx="2">
                  <c:v>46.8</c:v>
                </c:pt>
              </c:numCache>
            </c:numRef>
          </c:yVal>
          <c:smooth val="0"/>
          <c:extLst>
            <c:ext xmlns:c16="http://schemas.microsoft.com/office/drawing/2014/chart" uri="{C3380CC4-5D6E-409C-BE32-E72D297353CC}">
              <c16:uniqueId val="{00000004-E312-BA41-99B2-564B818A3CFC}"/>
            </c:ext>
          </c:extLst>
        </c:ser>
        <c:ser>
          <c:idx val="5"/>
          <c:order val="5"/>
          <c:tx>
            <c:strRef>
              <c:f>Sheet1!$A$7</c:f>
              <c:strCache>
                <c:ptCount val="1"/>
                <c:pt idx="0">
                  <c:v>15g protein (+ supplement)</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xVal>
            <c:strRef>
              <c:f>Sheet1!$B$1:$D$1</c:f>
              <c:strCache>
                <c:ptCount val="3"/>
                <c:pt idx="0">
                  <c:v>Week 0</c:v>
                </c:pt>
                <c:pt idx="1">
                  <c:v>Week 3</c:v>
                </c:pt>
                <c:pt idx="2">
                  <c:v>Week 6</c:v>
                </c:pt>
              </c:strCache>
            </c:strRef>
          </c:xVal>
          <c:yVal>
            <c:numRef>
              <c:f>Sheet1!$B$7:$D$7</c:f>
              <c:numCache>
                <c:formatCode>General</c:formatCode>
                <c:ptCount val="3"/>
                <c:pt idx="0">
                  <c:v>70.2</c:v>
                </c:pt>
                <c:pt idx="1">
                  <c:v>77.599999999999994</c:v>
                </c:pt>
                <c:pt idx="2">
                  <c:v>61.8</c:v>
                </c:pt>
              </c:numCache>
            </c:numRef>
          </c:yVal>
          <c:smooth val="0"/>
          <c:extLst>
            <c:ext xmlns:c16="http://schemas.microsoft.com/office/drawing/2014/chart" uri="{C3380CC4-5D6E-409C-BE32-E72D297353CC}">
              <c16:uniqueId val="{00000005-E312-BA41-99B2-564B818A3CFC}"/>
            </c:ext>
          </c:extLst>
        </c:ser>
        <c:ser>
          <c:idx val="6"/>
          <c:order val="6"/>
          <c:tx>
            <c:strRef>
              <c:f>Sheet1!$A$8</c:f>
              <c:strCache>
                <c:ptCount val="1"/>
                <c:pt idx="0">
                  <c:v>No protein</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strRef>
              <c:f>Sheet1!$B$1:$D$1</c:f>
              <c:strCache>
                <c:ptCount val="3"/>
                <c:pt idx="0">
                  <c:v>Week 0</c:v>
                </c:pt>
                <c:pt idx="1">
                  <c:v>Week 3</c:v>
                </c:pt>
                <c:pt idx="2">
                  <c:v>Week 6</c:v>
                </c:pt>
              </c:strCache>
            </c:strRef>
          </c:xVal>
          <c:yVal>
            <c:numRef>
              <c:f>Sheet1!$B$8:$D$8</c:f>
              <c:numCache>
                <c:formatCode>General</c:formatCode>
                <c:ptCount val="3"/>
                <c:pt idx="0">
                  <c:v>69.599999999999994</c:v>
                </c:pt>
                <c:pt idx="1">
                  <c:v>92.4</c:v>
                </c:pt>
                <c:pt idx="2">
                  <c:v>76.400000000000006</c:v>
                </c:pt>
              </c:numCache>
            </c:numRef>
          </c:yVal>
          <c:smooth val="0"/>
          <c:extLst>
            <c:ext xmlns:c16="http://schemas.microsoft.com/office/drawing/2014/chart" uri="{C3380CC4-5D6E-409C-BE32-E72D297353CC}">
              <c16:uniqueId val="{00000006-E312-BA41-99B2-564B818A3CFC}"/>
            </c:ext>
          </c:extLst>
        </c:ser>
        <c:dLbls>
          <c:showLegendKey val="0"/>
          <c:showVal val="0"/>
          <c:showCatName val="0"/>
          <c:showSerName val="0"/>
          <c:showPercent val="0"/>
          <c:showBubbleSize val="0"/>
        </c:dLbls>
        <c:axId val="1473234496"/>
        <c:axId val="1473239488"/>
      </c:scatterChart>
      <c:valAx>
        <c:axId val="1473234496"/>
        <c:scaling>
          <c:orientation val="minMax"/>
          <c:max val="3"/>
          <c:min val="1"/>
        </c:scaling>
        <c:delete val="0"/>
        <c:axPos val="b"/>
        <c:numFmt formatCode="#,##0_);\(#,##0\)" sourceLinked="0"/>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239488"/>
        <c:crosses val="autoZero"/>
        <c:crossBetween val="midCat"/>
        <c:majorUnit val="1"/>
      </c:valAx>
      <c:valAx>
        <c:axId val="1473239488"/>
        <c:scaling>
          <c:orientation val="minMax"/>
          <c:max val="120"/>
          <c:min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Protein intake (g)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73234496"/>
        <c:crosses val="autoZero"/>
        <c:crossBetween val="midCat"/>
      </c:valAx>
      <c:spPr>
        <a:noFill/>
        <a:ln>
          <a:noFill/>
        </a:ln>
        <a:effectLst/>
      </c:spPr>
    </c:plotArea>
    <c:legend>
      <c:legendPos val="b"/>
      <c:layout>
        <c:manualLayout>
          <c:xMode val="edge"/>
          <c:yMode val="edge"/>
          <c:x val="0.19639028454776486"/>
          <c:y val="0.81284795922248854"/>
          <c:w val="0.67071149439653388"/>
          <c:h val="0.158166533531134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RAPA</a:t>
            </a:r>
            <a:r>
              <a:rPr lang="en-GB" baseline="0"/>
              <a:t> scores reported by each participants pre and post intervention.</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Sheet1!$AF$2</c:f>
              <c:strCache>
                <c:ptCount val="1"/>
                <c:pt idx="0">
                  <c:v>EN101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Sheet1!$AG$1:$AH$1</c:f>
              <c:strCache>
                <c:ptCount val="2"/>
                <c:pt idx="0">
                  <c:v>RAPA score (pre)</c:v>
                </c:pt>
                <c:pt idx="1">
                  <c:v>RAPA score (post)</c:v>
                </c:pt>
              </c:strCache>
            </c:strRef>
          </c:cat>
          <c:val>
            <c:numRef>
              <c:f>Sheet1!$AG$2:$AH$2</c:f>
              <c:numCache>
                <c:formatCode>General</c:formatCode>
                <c:ptCount val="2"/>
                <c:pt idx="0">
                  <c:v>5</c:v>
                </c:pt>
                <c:pt idx="1">
                  <c:v>8</c:v>
                </c:pt>
              </c:numCache>
            </c:numRef>
          </c:val>
          <c:smooth val="0"/>
          <c:extLst>
            <c:ext xmlns:c16="http://schemas.microsoft.com/office/drawing/2014/chart" uri="{C3380CC4-5D6E-409C-BE32-E72D297353CC}">
              <c16:uniqueId val="{00000000-CFC1-7C40-AA8A-A9D7C37CE9C6}"/>
            </c:ext>
          </c:extLst>
        </c:ser>
        <c:ser>
          <c:idx val="1"/>
          <c:order val="1"/>
          <c:tx>
            <c:strRef>
              <c:f>Sheet1!$AF$3</c:f>
              <c:strCache>
                <c:ptCount val="1"/>
                <c:pt idx="0">
                  <c:v>EN103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Sheet1!$AG$1:$AH$1</c:f>
              <c:strCache>
                <c:ptCount val="2"/>
                <c:pt idx="0">
                  <c:v>RAPA score (pre)</c:v>
                </c:pt>
                <c:pt idx="1">
                  <c:v>RAPA score (post)</c:v>
                </c:pt>
              </c:strCache>
            </c:strRef>
          </c:cat>
          <c:val>
            <c:numRef>
              <c:f>Sheet1!$AG$3:$AH$3</c:f>
              <c:numCache>
                <c:formatCode>General</c:formatCode>
                <c:ptCount val="2"/>
                <c:pt idx="0">
                  <c:v>7</c:v>
                </c:pt>
                <c:pt idx="1">
                  <c:v>9</c:v>
                </c:pt>
              </c:numCache>
            </c:numRef>
          </c:val>
          <c:smooth val="0"/>
          <c:extLst>
            <c:ext xmlns:c16="http://schemas.microsoft.com/office/drawing/2014/chart" uri="{C3380CC4-5D6E-409C-BE32-E72D297353CC}">
              <c16:uniqueId val="{00000001-CFC1-7C40-AA8A-A9D7C37CE9C6}"/>
            </c:ext>
          </c:extLst>
        </c:ser>
        <c:ser>
          <c:idx val="2"/>
          <c:order val="2"/>
          <c:tx>
            <c:strRef>
              <c:f>Sheet1!$AF$4</c:f>
              <c:strCache>
                <c:ptCount val="1"/>
                <c:pt idx="0">
                  <c:v>EN104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Sheet1!$AG$1:$AH$1</c:f>
              <c:strCache>
                <c:ptCount val="2"/>
                <c:pt idx="0">
                  <c:v>RAPA score (pre)</c:v>
                </c:pt>
                <c:pt idx="1">
                  <c:v>RAPA score (post)</c:v>
                </c:pt>
              </c:strCache>
            </c:strRef>
          </c:cat>
          <c:val>
            <c:numRef>
              <c:f>Sheet1!$AG$4:$AH$4</c:f>
              <c:numCache>
                <c:formatCode>General</c:formatCode>
                <c:ptCount val="2"/>
                <c:pt idx="0">
                  <c:v>5</c:v>
                </c:pt>
                <c:pt idx="1">
                  <c:v>9</c:v>
                </c:pt>
              </c:numCache>
            </c:numRef>
          </c:val>
          <c:smooth val="0"/>
          <c:extLst>
            <c:ext xmlns:c16="http://schemas.microsoft.com/office/drawing/2014/chart" uri="{C3380CC4-5D6E-409C-BE32-E72D297353CC}">
              <c16:uniqueId val="{00000002-CFC1-7C40-AA8A-A9D7C37CE9C6}"/>
            </c:ext>
          </c:extLst>
        </c:ser>
        <c:ser>
          <c:idx val="3"/>
          <c:order val="3"/>
          <c:tx>
            <c:strRef>
              <c:f>Sheet1!$AF$5</c:f>
              <c:strCache>
                <c:ptCount val="1"/>
                <c:pt idx="0">
                  <c:v>EN105</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Sheet1!$AG$1:$AH$1</c:f>
              <c:strCache>
                <c:ptCount val="2"/>
                <c:pt idx="0">
                  <c:v>RAPA score (pre)</c:v>
                </c:pt>
                <c:pt idx="1">
                  <c:v>RAPA score (post)</c:v>
                </c:pt>
              </c:strCache>
            </c:strRef>
          </c:cat>
          <c:val>
            <c:numRef>
              <c:f>Sheet1!$AG$5:$AH$5</c:f>
              <c:numCache>
                <c:formatCode>General</c:formatCode>
                <c:ptCount val="2"/>
                <c:pt idx="0">
                  <c:v>4</c:v>
                </c:pt>
                <c:pt idx="1">
                  <c:v>5</c:v>
                </c:pt>
              </c:numCache>
            </c:numRef>
          </c:val>
          <c:smooth val="0"/>
          <c:extLst>
            <c:ext xmlns:c16="http://schemas.microsoft.com/office/drawing/2014/chart" uri="{C3380CC4-5D6E-409C-BE32-E72D297353CC}">
              <c16:uniqueId val="{00000003-CFC1-7C40-AA8A-A9D7C37CE9C6}"/>
            </c:ext>
          </c:extLst>
        </c:ser>
        <c:ser>
          <c:idx val="4"/>
          <c:order val="4"/>
          <c:tx>
            <c:strRef>
              <c:f>Sheet1!$AF$6</c:f>
              <c:strCache>
                <c:ptCount val="1"/>
                <c:pt idx="0">
                  <c:v>EN106</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Sheet1!$AG$1:$AH$1</c:f>
              <c:strCache>
                <c:ptCount val="2"/>
                <c:pt idx="0">
                  <c:v>RAPA score (pre)</c:v>
                </c:pt>
                <c:pt idx="1">
                  <c:v>RAPA score (post)</c:v>
                </c:pt>
              </c:strCache>
            </c:strRef>
          </c:cat>
          <c:val>
            <c:numRef>
              <c:f>Sheet1!$AG$6:$AH$6</c:f>
              <c:numCache>
                <c:formatCode>General</c:formatCode>
                <c:ptCount val="2"/>
                <c:pt idx="0">
                  <c:v>8</c:v>
                </c:pt>
                <c:pt idx="1">
                  <c:v>9</c:v>
                </c:pt>
              </c:numCache>
            </c:numRef>
          </c:val>
          <c:smooth val="0"/>
          <c:extLst>
            <c:ext xmlns:c16="http://schemas.microsoft.com/office/drawing/2014/chart" uri="{C3380CC4-5D6E-409C-BE32-E72D297353CC}">
              <c16:uniqueId val="{00000004-CFC1-7C40-AA8A-A9D7C37CE9C6}"/>
            </c:ext>
          </c:extLst>
        </c:ser>
        <c:ser>
          <c:idx val="5"/>
          <c:order val="5"/>
          <c:tx>
            <c:strRef>
              <c:f>Sheet1!$AF$7</c:f>
              <c:strCache>
                <c:ptCount val="1"/>
                <c:pt idx="0">
                  <c:v>EN107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Sheet1!$AG$1:$AH$1</c:f>
              <c:strCache>
                <c:ptCount val="2"/>
                <c:pt idx="0">
                  <c:v>RAPA score (pre)</c:v>
                </c:pt>
                <c:pt idx="1">
                  <c:v>RAPA score (post)</c:v>
                </c:pt>
              </c:strCache>
            </c:strRef>
          </c:cat>
          <c:val>
            <c:numRef>
              <c:f>Sheet1!$AG$7:$AH$7</c:f>
              <c:numCache>
                <c:formatCode>General</c:formatCode>
                <c:ptCount val="2"/>
                <c:pt idx="0">
                  <c:v>10</c:v>
                </c:pt>
                <c:pt idx="1">
                  <c:v>10</c:v>
                </c:pt>
              </c:numCache>
            </c:numRef>
          </c:val>
          <c:smooth val="0"/>
          <c:extLst>
            <c:ext xmlns:c16="http://schemas.microsoft.com/office/drawing/2014/chart" uri="{C3380CC4-5D6E-409C-BE32-E72D297353CC}">
              <c16:uniqueId val="{00000005-CFC1-7C40-AA8A-A9D7C37CE9C6}"/>
            </c:ext>
          </c:extLst>
        </c:ser>
        <c:ser>
          <c:idx val="6"/>
          <c:order val="6"/>
          <c:tx>
            <c:strRef>
              <c:f>Sheet1!$AF$8</c:f>
              <c:strCache>
                <c:ptCount val="1"/>
                <c:pt idx="0">
                  <c:v>EN108</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Sheet1!$AG$1:$AH$1</c:f>
              <c:strCache>
                <c:ptCount val="2"/>
                <c:pt idx="0">
                  <c:v>RAPA score (pre)</c:v>
                </c:pt>
                <c:pt idx="1">
                  <c:v>RAPA score (post)</c:v>
                </c:pt>
              </c:strCache>
            </c:strRef>
          </c:cat>
          <c:val>
            <c:numRef>
              <c:f>Sheet1!$AG$8:$AH$8</c:f>
              <c:numCache>
                <c:formatCode>General</c:formatCode>
                <c:ptCount val="2"/>
                <c:pt idx="0">
                  <c:v>6</c:v>
                </c:pt>
                <c:pt idx="1">
                  <c:v>10</c:v>
                </c:pt>
              </c:numCache>
            </c:numRef>
          </c:val>
          <c:smooth val="0"/>
          <c:extLst>
            <c:ext xmlns:c16="http://schemas.microsoft.com/office/drawing/2014/chart" uri="{C3380CC4-5D6E-409C-BE32-E72D297353CC}">
              <c16:uniqueId val="{00000006-CFC1-7C40-AA8A-A9D7C37CE9C6}"/>
            </c:ext>
          </c:extLst>
        </c:ser>
        <c:ser>
          <c:idx val="7"/>
          <c:order val="7"/>
          <c:tx>
            <c:strRef>
              <c:f>Sheet1!$AF$9</c:f>
              <c:strCache>
                <c:ptCount val="1"/>
                <c:pt idx="0">
                  <c:v>EN109</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Sheet1!$AG$1:$AH$1</c:f>
              <c:strCache>
                <c:ptCount val="2"/>
                <c:pt idx="0">
                  <c:v>RAPA score (pre)</c:v>
                </c:pt>
                <c:pt idx="1">
                  <c:v>RAPA score (post)</c:v>
                </c:pt>
              </c:strCache>
            </c:strRef>
          </c:cat>
          <c:val>
            <c:numRef>
              <c:f>Sheet1!$AG$9:$AH$9</c:f>
              <c:numCache>
                <c:formatCode>General</c:formatCode>
                <c:ptCount val="2"/>
                <c:pt idx="0">
                  <c:v>6</c:v>
                </c:pt>
                <c:pt idx="1">
                  <c:v>9</c:v>
                </c:pt>
              </c:numCache>
            </c:numRef>
          </c:val>
          <c:smooth val="0"/>
          <c:extLst>
            <c:ext xmlns:c16="http://schemas.microsoft.com/office/drawing/2014/chart" uri="{C3380CC4-5D6E-409C-BE32-E72D297353CC}">
              <c16:uniqueId val="{00000007-CFC1-7C40-AA8A-A9D7C37CE9C6}"/>
            </c:ext>
          </c:extLst>
        </c:ser>
        <c:ser>
          <c:idx val="8"/>
          <c:order val="8"/>
          <c:tx>
            <c:strRef>
              <c:f>Sheet1!$AF$10</c:f>
              <c:strCache>
                <c:ptCount val="1"/>
                <c:pt idx="0">
                  <c:v>EN110</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Sheet1!$AG$1:$AH$1</c:f>
              <c:strCache>
                <c:ptCount val="2"/>
                <c:pt idx="0">
                  <c:v>RAPA score (pre)</c:v>
                </c:pt>
                <c:pt idx="1">
                  <c:v>RAPA score (post)</c:v>
                </c:pt>
              </c:strCache>
            </c:strRef>
          </c:cat>
          <c:val>
            <c:numRef>
              <c:f>Sheet1!$AG$10:$AH$10</c:f>
              <c:numCache>
                <c:formatCode>General</c:formatCode>
                <c:ptCount val="2"/>
                <c:pt idx="0">
                  <c:v>4</c:v>
                </c:pt>
                <c:pt idx="1">
                  <c:v>4</c:v>
                </c:pt>
              </c:numCache>
            </c:numRef>
          </c:val>
          <c:smooth val="0"/>
          <c:extLst>
            <c:ext xmlns:c16="http://schemas.microsoft.com/office/drawing/2014/chart" uri="{C3380CC4-5D6E-409C-BE32-E72D297353CC}">
              <c16:uniqueId val="{00000008-CFC1-7C40-AA8A-A9D7C37CE9C6}"/>
            </c:ext>
          </c:extLst>
        </c:ser>
        <c:ser>
          <c:idx val="9"/>
          <c:order val="9"/>
          <c:tx>
            <c:strRef>
              <c:f>Sheet1!$AF$11</c:f>
              <c:strCache>
                <c:ptCount val="1"/>
                <c:pt idx="0">
                  <c:v>EN112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Sheet1!$AG$1:$AH$1</c:f>
              <c:strCache>
                <c:ptCount val="2"/>
                <c:pt idx="0">
                  <c:v>RAPA score (pre)</c:v>
                </c:pt>
                <c:pt idx="1">
                  <c:v>RAPA score (post)</c:v>
                </c:pt>
              </c:strCache>
            </c:strRef>
          </c:cat>
          <c:val>
            <c:numRef>
              <c:f>Sheet1!$AG$11:$AH$11</c:f>
              <c:numCache>
                <c:formatCode>General</c:formatCode>
                <c:ptCount val="2"/>
                <c:pt idx="0">
                  <c:v>6</c:v>
                </c:pt>
                <c:pt idx="1">
                  <c:v>6</c:v>
                </c:pt>
              </c:numCache>
            </c:numRef>
          </c:val>
          <c:smooth val="0"/>
          <c:extLst>
            <c:ext xmlns:c16="http://schemas.microsoft.com/office/drawing/2014/chart" uri="{C3380CC4-5D6E-409C-BE32-E72D297353CC}">
              <c16:uniqueId val="{00000009-CFC1-7C40-AA8A-A9D7C37CE9C6}"/>
            </c:ext>
          </c:extLst>
        </c:ser>
        <c:ser>
          <c:idx val="10"/>
          <c:order val="10"/>
          <c:tx>
            <c:strRef>
              <c:f>Sheet1!$AF$12</c:f>
              <c:strCache>
                <c:ptCount val="1"/>
                <c:pt idx="0">
                  <c:v>EN113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Sheet1!$AG$1:$AH$1</c:f>
              <c:strCache>
                <c:ptCount val="2"/>
                <c:pt idx="0">
                  <c:v>RAPA score (pre)</c:v>
                </c:pt>
                <c:pt idx="1">
                  <c:v>RAPA score (post)</c:v>
                </c:pt>
              </c:strCache>
            </c:strRef>
          </c:cat>
          <c:val>
            <c:numRef>
              <c:f>Sheet1!$AG$12:$AH$12</c:f>
              <c:numCache>
                <c:formatCode>General</c:formatCode>
                <c:ptCount val="2"/>
                <c:pt idx="0">
                  <c:v>9</c:v>
                </c:pt>
                <c:pt idx="1">
                  <c:v>8</c:v>
                </c:pt>
              </c:numCache>
            </c:numRef>
          </c:val>
          <c:smooth val="0"/>
          <c:extLst>
            <c:ext xmlns:c16="http://schemas.microsoft.com/office/drawing/2014/chart" uri="{C3380CC4-5D6E-409C-BE32-E72D297353CC}">
              <c16:uniqueId val="{0000000A-CFC1-7C40-AA8A-A9D7C37CE9C6}"/>
            </c:ext>
          </c:extLst>
        </c:ser>
        <c:ser>
          <c:idx val="11"/>
          <c:order val="11"/>
          <c:tx>
            <c:strRef>
              <c:f>Sheet1!$AF$13</c:f>
              <c:strCache>
                <c:ptCount val="1"/>
                <c:pt idx="0">
                  <c:v>Average</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strRef>
              <c:f>Sheet1!$AG$1:$AH$1</c:f>
              <c:strCache>
                <c:ptCount val="2"/>
                <c:pt idx="0">
                  <c:v>RAPA score (pre)</c:v>
                </c:pt>
                <c:pt idx="1">
                  <c:v>RAPA score (post)</c:v>
                </c:pt>
              </c:strCache>
            </c:strRef>
          </c:cat>
          <c:val>
            <c:numRef>
              <c:f>Sheet1!$AG$13:$AH$13</c:f>
              <c:numCache>
                <c:formatCode>General</c:formatCode>
                <c:ptCount val="2"/>
                <c:pt idx="0">
                  <c:v>6.3636363636363633</c:v>
                </c:pt>
                <c:pt idx="1">
                  <c:v>7.9090909090909092</c:v>
                </c:pt>
              </c:numCache>
            </c:numRef>
          </c:val>
          <c:smooth val="0"/>
          <c:extLst>
            <c:ext xmlns:c16="http://schemas.microsoft.com/office/drawing/2014/chart" uri="{C3380CC4-5D6E-409C-BE32-E72D297353CC}">
              <c16:uniqueId val="{0000000B-CFC1-7C40-AA8A-A9D7C37CE9C6}"/>
            </c:ext>
          </c:extLst>
        </c:ser>
        <c:dLbls>
          <c:showLegendKey val="0"/>
          <c:showVal val="0"/>
          <c:showCatName val="0"/>
          <c:showSerName val="0"/>
          <c:showPercent val="0"/>
          <c:showBubbleSize val="0"/>
        </c:dLbls>
        <c:marker val="1"/>
        <c:smooth val="0"/>
        <c:axId val="1203376992"/>
        <c:axId val="1245531040"/>
      </c:lineChart>
      <c:catAx>
        <c:axId val="120337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45531040"/>
        <c:crosses val="autoZero"/>
        <c:auto val="1"/>
        <c:lblAlgn val="ctr"/>
        <c:lblOffset val="100"/>
        <c:noMultiLvlLbl val="0"/>
      </c:catAx>
      <c:valAx>
        <c:axId val="1245531040"/>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RAPA score (out of</a:t>
                </a:r>
                <a:r>
                  <a:rPr lang="en-GB" baseline="0"/>
                  <a:t> 10)</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337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0" i="0" baseline="0">
                <a:effectLst/>
              </a:rPr>
              <a:t>Comparison between week 1 and week 5 for resistance bands used (session 2)</a:t>
            </a:r>
            <a:endParaRPr lang="en-GB"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Sheet1!$A$140</c:f>
              <c:strCache>
                <c:ptCount val="1"/>
                <c:pt idx="0">
                  <c:v>EN101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Sheet1!$B$139:$C$139</c:f>
              <c:strCache>
                <c:ptCount val="2"/>
                <c:pt idx="0">
                  <c:v>Week 1, session 2</c:v>
                </c:pt>
                <c:pt idx="1">
                  <c:v>Week 5, session 2</c:v>
                </c:pt>
              </c:strCache>
            </c:strRef>
          </c:cat>
          <c:val>
            <c:numRef>
              <c:f>Sheet1!$B$140:$C$140</c:f>
              <c:numCache>
                <c:formatCode>General</c:formatCode>
                <c:ptCount val="2"/>
                <c:pt idx="0">
                  <c:v>1</c:v>
                </c:pt>
              </c:numCache>
            </c:numRef>
          </c:val>
          <c:smooth val="0"/>
          <c:extLst>
            <c:ext xmlns:c16="http://schemas.microsoft.com/office/drawing/2014/chart" uri="{C3380CC4-5D6E-409C-BE32-E72D297353CC}">
              <c16:uniqueId val="{00000000-DBB2-8742-96CF-AEB2AC8A71C4}"/>
            </c:ext>
          </c:extLst>
        </c:ser>
        <c:ser>
          <c:idx val="1"/>
          <c:order val="1"/>
          <c:tx>
            <c:strRef>
              <c:f>Sheet1!$A$141</c:f>
              <c:strCache>
                <c:ptCount val="1"/>
                <c:pt idx="0">
                  <c:v>EN103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Sheet1!$B$139:$C$139</c:f>
              <c:strCache>
                <c:ptCount val="2"/>
                <c:pt idx="0">
                  <c:v>Week 1, session 2</c:v>
                </c:pt>
                <c:pt idx="1">
                  <c:v>Week 5, session 2</c:v>
                </c:pt>
              </c:strCache>
            </c:strRef>
          </c:cat>
          <c:val>
            <c:numRef>
              <c:f>Sheet1!$B$141:$C$141</c:f>
              <c:numCache>
                <c:formatCode>General</c:formatCode>
                <c:ptCount val="2"/>
                <c:pt idx="0">
                  <c:v>2</c:v>
                </c:pt>
                <c:pt idx="1">
                  <c:v>3</c:v>
                </c:pt>
              </c:numCache>
            </c:numRef>
          </c:val>
          <c:smooth val="0"/>
          <c:extLst>
            <c:ext xmlns:c16="http://schemas.microsoft.com/office/drawing/2014/chart" uri="{C3380CC4-5D6E-409C-BE32-E72D297353CC}">
              <c16:uniqueId val="{00000001-DBB2-8742-96CF-AEB2AC8A71C4}"/>
            </c:ext>
          </c:extLst>
        </c:ser>
        <c:ser>
          <c:idx val="2"/>
          <c:order val="2"/>
          <c:tx>
            <c:strRef>
              <c:f>Sheet1!$A$142</c:f>
              <c:strCache>
                <c:ptCount val="1"/>
                <c:pt idx="0">
                  <c:v>EN104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Sheet1!$B$139:$C$139</c:f>
              <c:strCache>
                <c:ptCount val="2"/>
                <c:pt idx="0">
                  <c:v>Week 1, session 2</c:v>
                </c:pt>
                <c:pt idx="1">
                  <c:v>Week 5, session 2</c:v>
                </c:pt>
              </c:strCache>
            </c:strRef>
          </c:cat>
          <c:val>
            <c:numRef>
              <c:f>Sheet1!$B$142:$C$142</c:f>
              <c:numCache>
                <c:formatCode>General</c:formatCode>
                <c:ptCount val="2"/>
                <c:pt idx="0">
                  <c:v>1</c:v>
                </c:pt>
                <c:pt idx="1">
                  <c:v>5</c:v>
                </c:pt>
              </c:numCache>
            </c:numRef>
          </c:val>
          <c:smooth val="0"/>
          <c:extLst>
            <c:ext xmlns:c16="http://schemas.microsoft.com/office/drawing/2014/chart" uri="{C3380CC4-5D6E-409C-BE32-E72D297353CC}">
              <c16:uniqueId val="{00000002-DBB2-8742-96CF-AEB2AC8A71C4}"/>
            </c:ext>
          </c:extLst>
        </c:ser>
        <c:ser>
          <c:idx val="3"/>
          <c:order val="3"/>
          <c:tx>
            <c:strRef>
              <c:f>Sheet1!$A$143</c:f>
              <c:strCache>
                <c:ptCount val="1"/>
                <c:pt idx="0">
                  <c:v>EN105</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Sheet1!$B$139:$C$139</c:f>
              <c:strCache>
                <c:ptCount val="2"/>
                <c:pt idx="0">
                  <c:v>Week 1, session 2</c:v>
                </c:pt>
                <c:pt idx="1">
                  <c:v>Week 5, session 2</c:v>
                </c:pt>
              </c:strCache>
            </c:strRef>
          </c:cat>
          <c:val>
            <c:numRef>
              <c:f>Sheet1!$B$143:$C$143</c:f>
              <c:numCache>
                <c:formatCode>General</c:formatCode>
                <c:ptCount val="2"/>
              </c:numCache>
            </c:numRef>
          </c:val>
          <c:smooth val="0"/>
          <c:extLst>
            <c:ext xmlns:c16="http://schemas.microsoft.com/office/drawing/2014/chart" uri="{C3380CC4-5D6E-409C-BE32-E72D297353CC}">
              <c16:uniqueId val="{00000003-DBB2-8742-96CF-AEB2AC8A71C4}"/>
            </c:ext>
          </c:extLst>
        </c:ser>
        <c:ser>
          <c:idx val="4"/>
          <c:order val="4"/>
          <c:tx>
            <c:strRef>
              <c:f>Sheet1!$A$144</c:f>
              <c:strCache>
                <c:ptCount val="1"/>
                <c:pt idx="0">
                  <c:v>EN106</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Sheet1!$B$139:$C$139</c:f>
              <c:strCache>
                <c:ptCount val="2"/>
                <c:pt idx="0">
                  <c:v>Week 1, session 2</c:v>
                </c:pt>
                <c:pt idx="1">
                  <c:v>Week 5, session 2</c:v>
                </c:pt>
              </c:strCache>
            </c:strRef>
          </c:cat>
          <c:val>
            <c:numRef>
              <c:f>Sheet1!$B$144:$C$144</c:f>
              <c:numCache>
                <c:formatCode>General</c:formatCode>
                <c:ptCount val="2"/>
                <c:pt idx="0">
                  <c:v>2</c:v>
                </c:pt>
                <c:pt idx="1">
                  <c:v>5</c:v>
                </c:pt>
              </c:numCache>
            </c:numRef>
          </c:val>
          <c:smooth val="0"/>
          <c:extLst>
            <c:ext xmlns:c16="http://schemas.microsoft.com/office/drawing/2014/chart" uri="{C3380CC4-5D6E-409C-BE32-E72D297353CC}">
              <c16:uniqueId val="{00000004-DBB2-8742-96CF-AEB2AC8A71C4}"/>
            </c:ext>
          </c:extLst>
        </c:ser>
        <c:ser>
          <c:idx val="5"/>
          <c:order val="5"/>
          <c:tx>
            <c:strRef>
              <c:f>Sheet1!$A$145</c:f>
              <c:strCache>
                <c:ptCount val="1"/>
                <c:pt idx="0">
                  <c:v>EN107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Sheet1!$B$139:$C$139</c:f>
              <c:strCache>
                <c:ptCount val="2"/>
                <c:pt idx="0">
                  <c:v>Week 1, session 2</c:v>
                </c:pt>
                <c:pt idx="1">
                  <c:v>Week 5, session 2</c:v>
                </c:pt>
              </c:strCache>
            </c:strRef>
          </c:cat>
          <c:val>
            <c:numRef>
              <c:f>Sheet1!$B$145:$C$145</c:f>
              <c:numCache>
                <c:formatCode>General</c:formatCode>
                <c:ptCount val="2"/>
              </c:numCache>
            </c:numRef>
          </c:val>
          <c:smooth val="0"/>
          <c:extLst>
            <c:ext xmlns:c16="http://schemas.microsoft.com/office/drawing/2014/chart" uri="{C3380CC4-5D6E-409C-BE32-E72D297353CC}">
              <c16:uniqueId val="{00000005-DBB2-8742-96CF-AEB2AC8A71C4}"/>
            </c:ext>
          </c:extLst>
        </c:ser>
        <c:ser>
          <c:idx val="6"/>
          <c:order val="6"/>
          <c:tx>
            <c:strRef>
              <c:f>Sheet1!$A$146</c:f>
              <c:strCache>
                <c:ptCount val="1"/>
                <c:pt idx="0">
                  <c:v>EN108</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Sheet1!$B$139:$C$139</c:f>
              <c:strCache>
                <c:ptCount val="2"/>
                <c:pt idx="0">
                  <c:v>Week 1, session 2</c:v>
                </c:pt>
                <c:pt idx="1">
                  <c:v>Week 5, session 2</c:v>
                </c:pt>
              </c:strCache>
            </c:strRef>
          </c:cat>
          <c:val>
            <c:numRef>
              <c:f>Sheet1!$B$146:$C$146</c:f>
              <c:numCache>
                <c:formatCode>General</c:formatCode>
                <c:ptCount val="2"/>
                <c:pt idx="0">
                  <c:v>3</c:v>
                </c:pt>
                <c:pt idx="1">
                  <c:v>5</c:v>
                </c:pt>
              </c:numCache>
            </c:numRef>
          </c:val>
          <c:smooth val="0"/>
          <c:extLst>
            <c:ext xmlns:c16="http://schemas.microsoft.com/office/drawing/2014/chart" uri="{C3380CC4-5D6E-409C-BE32-E72D297353CC}">
              <c16:uniqueId val="{00000006-DBB2-8742-96CF-AEB2AC8A71C4}"/>
            </c:ext>
          </c:extLst>
        </c:ser>
        <c:ser>
          <c:idx val="7"/>
          <c:order val="7"/>
          <c:tx>
            <c:strRef>
              <c:f>Sheet1!$A$147</c:f>
              <c:strCache>
                <c:ptCount val="1"/>
                <c:pt idx="0">
                  <c:v>EN109</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Sheet1!$B$139:$C$139</c:f>
              <c:strCache>
                <c:ptCount val="2"/>
                <c:pt idx="0">
                  <c:v>Week 1, session 2</c:v>
                </c:pt>
                <c:pt idx="1">
                  <c:v>Week 5, session 2</c:v>
                </c:pt>
              </c:strCache>
            </c:strRef>
          </c:cat>
          <c:val>
            <c:numRef>
              <c:f>Sheet1!$B$147:$C$147</c:f>
              <c:numCache>
                <c:formatCode>General</c:formatCode>
                <c:ptCount val="2"/>
                <c:pt idx="1">
                  <c:v>3</c:v>
                </c:pt>
              </c:numCache>
            </c:numRef>
          </c:val>
          <c:smooth val="0"/>
          <c:extLst>
            <c:ext xmlns:c16="http://schemas.microsoft.com/office/drawing/2014/chart" uri="{C3380CC4-5D6E-409C-BE32-E72D297353CC}">
              <c16:uniqueId val="{00000007-DBB2-8742-96CF-AEB2AC8A71C4}"/>
            </c:ext>
          </c:extLst>
        </c:ser>
        <c:ser>
          <c:idx val="8"/>
          <c:order val="8"/>
          <c:tx>
            <c:strRef>
              <c:f>Sheet1!$A$148</c:f>
              <c:strCache>
                <c:ptCount val="1"/>
                <c:pt idx="0">
                  <c:v>EN110</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Sheet1!$B$139:$C$139</c:f>
              <c:strCache>
                <c:ptCount val="2"/>
                <c:pt idx="0">
                  <c:v>Week 1, session 2</c:v>
                </c:pt>
                <c:pt idx="1">
                  <c:v>Week 5, session 2</c:v>
                </c:pt>
              </c:strCache>
            </c:strRef>
          </c:cat>
          <c:val>
            <c:numRef>
              <c:f>Sheet1!$B$148:$C$148</c:f>
              <c:numCache>
                <c:formatCode>General</c:formatCode>
                <c:ptCount val="2"/>
                <c:pt idx="0">
                  <c:v>3</c:v>
                </c:pt>
              </c:numCache>
            </c:numRef>
          </c:val>
          <c:smooth val="0"/>
          <c:extLst>
            <c:ext xmlns:c16="http://schemas.microsoft.com/office/drawing/2014/chart" uri="{C3380CC4-5D6E-409C-BE32-E72D297353CC}">
              <c16:uniqueId val="{00000008-DBB2-8742-96CF-AEB2AC8A71C4}"/>
            </c:ext>
          </c:extLst>
        </c:ser>
        <c:ser>
          <c:idx val="9"/>
          <c:order val="9"/>
          <c:tx>
            <c:strRef>
              <c:f>Sheet1!$A$149</c:f>
              <c:strCache>
                <c:ptCount val="1"/>
                <c:pt idx="0">
                  <c:v>EN112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Sheet1!$B$139:$C$139</c:f>
              <c:strCache>
                <c:ptCount val="2"/>
                <c:pt idx="0">
                  <c:v>Week 1, session 2</c:v>
                </c:pt>
                <c:pt idx="1">
                  <c:v>Week 5, session 2</c:v>
                </c:pt>
              </c:strCache>
            </c:strRef>
          </c:cat>
          <c:val>
            <c:numRef>
              <c:f>Sheet1!$B$149:$C$149</c:f>
              <c:numCache>
                <c:formatCode>General</c:formatCode>
                <c:ptCount val="2"/>
                <c:pt idx="0">
                  <c:v>2</c:v>
                </c:pt>
                <c:pt idx="1">
                  <c:v>3</c:v>
                </c:pt>
              </c:numCache>
            </c:numRef>
          </c:val>
          <c:smooth val="0"/>
          <c:extLst>
            <c:ext xmlns:c16="http://schemas.microsoft.com/office/drawing/2014/chart" uri="{C3380CC4-5D6E-409C-BE32-E72D297353CC}">
              <c16:uniqueId val="{00000009-DBB2-8742-96CF-AEB2AC8A71C4}"/>
            </c:ext>
          </c:extLst>
        </c:ser>
        <c:ser>
          <c:idx val="10"/>
          <c:order val="10"/>
          <c:tx>
            <c:strRef>
              <c:f>Sheet1!$A$150</c:f>
              <c:strCache>
                <c:ptCount val="1"/>
                <c:pt idx="0">
                  <c:v>EN113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Sheet1!$B$139:$C$139</c:f>
              <c:strCache>
                <c:ptCount val="2"/>
                <c:pt idx="0">
                  <c:v>Week 1, session 2</c:v>
                </c:pt>
                <c:pt idx="1">
                  <c:v>Week 5, session 2</c:v>
                </c:pt>
              </c:strCache>
            </c:strRef>
          </c:cat>
          <c:val>
            <c:numRef>
              <c:f>Sheet1!$B$150:$C$150</c:f>
              <c:numCache>
                <c:formatCode>General</c:formatCode>
                <c:ptCount val="2"/>
                <c:pt idx="0">
                  <c:v>3</c:v>
                </c:pt>
                <c:pt idx="1">
                  <c:v>3</c:v>
                </c:pt>
              </c:numCache>
            </c:numRef>
          </c:val>
          <c:smooth val="0"/>
          <c:extLst>
            <c:ext xmlns:c16="http://schemas.microsoft.com/office/drawing/2014/chart" uri="{C3380CC4-5D6E-409C-BE32-E72D297353CC}">
              <c16:uniqueId val="{0000000A-DBB2-8742-96CF-AEB2AC8A71C4}"/>
            </c:ext>
          </c:extLst>
        </c:ser>
        <c:dLbls>
          <c:showLegendKey val="0"/>
          <c:showVal val="0"/>
          <c:showCatName val="0"/>
          <c:showSerName val="0"/>
          <c:showPercent val="0"/>
          <c:showBubbleSize val="0"/>
        </c:dLbls>
        <c:marker val="1"/>
        <c:smooth val="0"/>
        <c:axId val="374207216"/>
        <c:axId val="423726128"/>
      </c:lineChart>
      <c:catAx>
        <c:axId val="37420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726128"/>
        <c:crosses val="autoZero"/>
        <c:auto val="1"/>
        <c:lblAlgn val="ctr"/>
        <c:lblOffset val="100"/>
        <c:noMultiLvlLbl val="0"/>
      </c:catAx>
      <c:valAx>
        <c:axId val="423726128"/>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Coded band colour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420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t>Comparison between week 1 and week 5</a:t>
            </a:r>
            <a:r>
              <a:rPr lang="en-GB" sz="1200" baseline="0"/>
              <a:t> for resistance bands used (session 1)</a:t>
            </a:r>
            <a:endParaRPr lang="en-GB"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Sheet1!$A$127</c:f>
              <c:strCache>
                <c:ptCount val="1"/>
                <c:pt idx="0">
                  <c:v>EN101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Sheet1!$B$126:$C$126</c:f>
              <c:strCache>
                <c:ptCount val="2"/>
                <c:pt idx="0">
                  <c:v>Week 1, session 1</c:v>
                </c:pt>
                <c:pt idx="1">
                  <c:v>Week 5, session 1</c:v>
                </c:pt>
              </c:strCache>
            </c:strRef>
          </c:cat>
          <c:val>
            <c:numRef>
              <c:f>Sheet1!$B$127:$C$127</c:f>
              <c:numCache>
                <c:formatCode>General</c:formatCode>
                <c:ptCount val="2"/>
              </c:numCache>
            </c:numRef>
          </c:val>
          <c:smooth val="0"/>
          <c:extLst>
            <c:ext xmlns:c16="http://schemas.microsoft.com/office/drawing/2014/chart" uri="{C3380CC4-5D6E-409C-BE32-E72D297353CC}">
              <c16:uniqueId val="{00000000-8444-1B4B-9583-3FE9B401F7B0}"/>
            </c:ext>
          </c:extLst>
        </c:ser>
        <c:ser>
          <c:idx val="1"/>
          <c:order val="1"/>
          <c:tx>
            <c:strRef>
              <c:f>Sheet1!$A$128</c:f>
              <c:strCache>
                <c:ptCount val="1"/>
                <c:pt idx="0">
                  <c:v>EN103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Sheet1!$B$126:$C$126</c:f>
              <c:strCache>
                <c:ptCount val="2"/>
                <c:pt idx="0">
                  <c:v>Week 1, session 1</c:v>
                </c:pt>
                <c:pt idx="1">
                  <c:v>Week 5, session 1</c:v>
                </c:pt>
              </c:strCache>
            </c:strRef>
          </c:cat>
          <c:val>
            <c:numRef>
              <c:f>Sheet1!$B$128:$C$128</c:f>
              <c:numCache>
                <c:formatCode>General</c:formatCode>
                <c:ptCount val="2"/>
                <c:pt idx="0">
                  <c:v>2</c:v>
                </c:pt>
                <c:pt idx="1">
                  <c:v>3</c:v>
                </c:pt>
              </c:numCache>
            </c:numRef>
          </c:val>
          <c:smooth val="0"/>
          <c:extLst>
            <c:ext xmlns:c16="http://schemas.microsoft.com/office/drawing/2014/chart" uri="{C3380CC4-5D6E-409C-BE32-E72D297353CC}">
              <c16:uniqueId val="{00000001-8444-1B4B-9583-3FE9B401F7B0}"/>
            </c:ext>
          </c:extLst>
        </c:ser>
        <c:ser>
          <c:idx val="2"/>
          <c:order val="2"/>
          <c:tx>
            <c:strRef>
              <c:f>Sheet1!$A$129</c:f>
              <c:strCache>
                <c:ptCount val="1"/>
                <c:pt idx="0">
                  <c:v>EN104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Sheet1!$B$126:$C$126</c:f>
              <c:strCache>
                <c:ptCount val="2"/>
                <c:pt idx="0">
                  <c:v>Week 1, session 1</c:v>
                </c:pt>
                <c:pt idx="1">
                  <c:v>Week 5, session 1</c:v>
                </c:pt>
              </c:strCache>
            </c:strRef>
          </c:cat>
          <c:val>
            <c:numRef>
              <c:f>Sheet1!$B$129:$C$129</c:f>
              <c:numCache>
                <c:formatCode>General</c:formatCode>
                <c:ptCount val="2"/>
                <c:pt idx="0">
                  <c:v>2</c:v>
                </c:pt>
                <c:pt idx="1">
                  <c:v>5</c:v>
                </c:pt>
              </c:numCache>
            </c:numRef>
          </c:val>
          <c:smooth val="0"/>
          <c:extLst>
            <c:ext xmlns:c16="http://schemas.microsoft.com/office/drawing/2014/chart" uri="{C3380CC4-5D6E-409C-BE32-E72D297353CC}">
              <c16:uniqueId val="{00000002-8444-1B4B-9583-3FE9B401F7B0}"/>
            </c:ext>
          </c:extLst>
        </c:ser>
        <c:ser>
          <c:idx val="3"/>
          <c:order val="3"/>
          <c:tx>
            <c:strRef>
              <c:f>Sheet1!$A$130</c:f>
              <c:strCache>
                <c:ptCount val="1"/>
                <c:pt idx="0">
                  <c:v>EN105</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Sheet1!$B$126:$C$126</c:f>
              <c:strCache>
                <c:ptCount val="2"/>
                <c:pt idx="0">
                  <c:v>Week 1, session 1</c:v>
                </c:pt>
                <c:pt idx="1">
                  <c:v>Week 5, session 1</c:v>
                </c:pt>
              </c:strCache>
            </c:strRef>
          </c:cat>
          <c:val>
            <c:numRef>
              <c:f>Sheet1!$B$130:$C$130</c:f>
              <c:numCache>
                <c:formatCode>General</c:formatCode>
                <c:ptCount val="2"/>
                <c:pt idx="0">
                  <c:v>5</c:v>
                </c:pt>
              </c:numCache>
            </c:numRef>
          </c:val>
          <c:smooth val="0"/>
          <c:extLst>
            <c:ext xmlns:c16="http://schemas.microsoft.com/office/drawing/2014/chart" uri="{C3380CC4-5D6E-409C-BE32-E72D297353CC}">
              <c16:uniqueId val="{00000003-8444-1B4B-9583-3FE9B401F7B0}"/>
            </c:ext>
          </c:extLst>
        </c:ser>
        <c:ser>
          <c:idx val="4"/>
          <c:order val="4"/>
          <c:tx>
            <c:strRef>
              <c:f>Sheet1!$A$131</c:f>
              <c:strCache>
                <c:ptCount val="1"/>
                <c:pt idx="0">
                  <c:v>EN106</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Sheet1!$B$126:$C$126</c:f>
              <c:strCache>
                <c:ptCount val="2"/>
                <c:pt idx="0">
                  <c:v>Week 1, session 1</c:v>
                </c:pt>
                <c:pt idx="1">
                  <c:v>Week 5, session 1</c:v>
                </c:pt>
              </c:strCache>
            </c:strRef>
          </c:cat>
          <c:val>
            <c:numRef>
              <c:f>Sheet1!$B$131:$C$131</c:f>
              <c:numCache>
                <c:formatCode>General</c:formatCode>
                <c:ptCount val="2"/>
                <c:pt idx="0">
                  <c:v>2</c:v>
                </c:pt>
                <c:pt idx="1">
                  <c:v>5</c:v>
                </c:pt>
              </c:numCache>
            </c:numRef>
          </c:val>
          <c:smooth val="0"/>
          <c:extLst>
            <c:ext xmlns:c16="http://schemas.microsoft.com/office/drawing/2014/chart" uri="{C3380CC4-5D6E-409C-BE32-E72D297353CC}">
              <c16:uniqueId val="{00000004-8444-1B4B-9583-3FE9B401F7B0}"/>
            </c:ext>
          </c:extLst>
        </c:ser>
        <c:ser>
          <c:idx val="5"/>
          <c:order val="5"/>
          <c:tx>
            <c:strRef>
              <c:f>Sheet1!$A$132</c:f>
              <c:strCache>
                <c:ptCount val="1"/>
                <c:pt idx="0">
                  <c:v>EN107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Sheet1!$B$126:$C$126</c:f>
              <c:strCache>
                <c:ptCount val="2"/>
                <c:pt idx="0">
                  <c:v>Week 1, session 1</c:v>
                </c:pt>
                <c:pt idx="1">
                  <c:v>Week 5, session 1</c:v>
                </c:pt>
              </c:strCache>
            </c:strRef>
          </c:cat>
          <c:val>
            <c:numRef>
              <c:f>Sheet1!$B$132:$C$132</c:f>
              <c:numCache>
                <c:formatCode>General</c:formatCode>
                <c:ptCount val="2"/>
              </c:numCache>
            </c:numRef>
          </c:val>
          <c:smooth val="0"/>
          <c:extLst>
            <c:ext xmlns:c16="http://schemas.microsoft.com/office/drawing/2014/chart" uri="{C3380CC4-5D6E-409C-BE32-E72D297353CC}">
              <c16:uniqueId val="{00000005-8444-1B4B-9583-3FE9B401F7B0}"/>
            </c:ext>
          </c:extLst>
        </c:ser>
        <c:ser>
          <c:idx val="6"/>
          <c:order val="6"/>
          <c:tx>
            <c:strRef>
              <c:f>Sheet1!$A$133</c:f>
              <c:strCache>
                <c:ptCount val="1"/>
                <c:pt idx="0">
                  <c:v>EN108</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Sheet1!$B$126:$C$126</c:f>
              <c:strCache>
                <c:ptCount val="2"/>
                <c:pt idx="0">
                  <c:v>Week 1, session 1</c:v>
                </c:pt>
                <c:pt idx="1">
                  <c:v>Week 5, session 1</c:v>
                </c:pt>
              </c:strCache>
            </c:strRef>
          </c:cat>
          <c:val>
            <c:numRef>
              <c:f>Sheet1!$B$133:$C$133</c:f>
              <c:numCache>
                <c:formatCode>General</c:formatCode>
                <c:ptCount val="2"/>
                <c:pt idx="0">
                  <c:v>3</c:v>
                </c:pt>
                <c:pt idx="1">
                  <c:v>5</c:v>
                </c:pt>
              </c:numCache>
            </c:numRef>
          </c:val>
          <c:smooth val="0"/>
          <c:extLst>
            <c:ext xmlns:c16="http://schemas.microsoft.com/office/drawing/2014/chart" uri="{C3380CC4-5D6E-409C-BE32-E72D297353CC}">
              <c16:uniqueId val="{00000006-8444-1B4B-9583-3FE9B401F7B0}"/>
            </c:ext>
          </c:extLst>
        </c:ser>
        <c:ser>
          <c:idx val="7"/>
          <c:order val="7"/>
          <c:tx>
            <c:strRef>
              <c:f>Sheet1!$A$134</c:f>
              <c:strCache>
                <c:ptCount val="1"/>
                <c:pt idx="0">
                  <c:v>EN109</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Sheet1!$B$126:$C$126</c:f>
              <c:strCache>
                <c:ptCount val="2"/>
                <c:pt idx="0">
                  <c:v>Week 1, session 1</c:v>
                </c:pt>
                <c:pt idx="1">
                  <c:v>Week 5, session 1</c:v>
                </c:pt>
              </c:strCache>
            </c:strRef>
          </c:cat>
          <c:val>
            <c:numRef>
              <c:f>Sheet1!$B$134:$C$134</c:f>
              <c:numCache>
                <c:formatCode>General</c:formatCode>
                <c:ptCount val="2"/>
              </c:numCache>
            </c:numRef>
          </c:val>
          <c:smooth val="0"/>
          <c:extLst>
            <c:ext xmlns:c16="http://schemas.microsoft.com/office/drawing/2014/chart" uri="{C3380CC4-5D6E-409C-BE32-E72D297353CC}">
              <c16:uniqueId val="{00000007-8444-1B4B-9583-3FE9B401F7B0}"/>
            </c:ext>
          </c:extLst>
        </c:ser>
        <c:ser>
          <c:idx val="8"/>
          <c:order val="8"/>
          <c:tx>
            <c:strRef>
              <c:f>Sheet1!$A$135</c:f>
              <c:strCache>
                <c:ptCount val="1"/>
                <c:pt idx="0">
                  <c:v>EN110</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Sheet1!$B$126:$C$126</c:f>
              <c:strCache>
                <c:ptCount val="2"/>
                <c:pt idx="0">
                  <c:v>Week 1, session 1</c:v>
                </c:pt>
                <c:pt idx="1">
                  <c:v>Week 5, session 1</c:v>
                </c:pt>
              </c:strCache>
            </c:strRef>
          </c:cat>
          <c:val>
            <c:numRef>
              <c:f>Sheet1!$B$135:$C$135</c:f>
              <c:numCache>
                <c:formatCode>General</c:formatCode>
                <c:ptCount val="2"/>
                <c:pt idx="0">
                  <c:v>3</c:v>
                </c:pt>
              </c:numCache>
            </c:numRef>
          </c:val>
          <c:smooth val="0"/>
          <c:extLst>
            <c:ext xmlns:c16="http://schemas.microsoft.com/office/drawing/2014/chart" uri="{C3380CC4-5D6E-409C-BE32-E72D297353CC}">
              <c16:uniqueId val="{00000008-8444-1B4B-9583-3FE9B401F7B0}"/>
            </c:ext>
          </c:extLst>
        </c:ser>
        <c:ser>
          <c:idx val="9"/>
          <c:order val="9"/>
          <c:tx>
            <c:strRef>
              <c:f>Sheet1!$A$136</c:f>
              <c:strCache>
                <c:ptCount val="1"/>
                <c:pt idx="0">
                  <c:v>EN112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Sheet1!$B$126:$C$126</c:f>
              <c:strCache>
                <c:ptCount val="2"/>
                <c:pt idx="0">
                  <c:v>Week 1, session 1</c:v>
                </c:pt>
                <c:pt idx="1">
                  <c:v>Week 5, session 1</c:v>
                </c:pt>
              </c:strCache>
            </c:strRef>
          </c:cat>
          <c:val>
            <c:numRef>
              <c:f>Sheet1!$B$136:$C$136</c:f>
              <c:numCache>
                <c:formatCode>General</c:formatCode>
                <c:ptCount val="2"/>
                <c:pt idx="0">
                  <c:v>2</c:v>
                </c:pt>
                <c:pt idx="1">
                  <c:v>3</c:v>
                </c:pt>
              </c:numCache>
            </c:numRef>
          </c:val>
          <c:smooth val="0"/>
          <c:extLst>
            <c:ext xmlns:c16="http://schemas.microsoft.com/office/drawing/2014/chart" uri="{C3380CC4-5D6E-409C-BE32-E72D297353CC}">
              <c16:uniqueId val="{00000009-8444-1B4B-9583-3FE9B401F7B0}"/>
            </c:ext>
          </c:extLst>
        </c:ser>
        <c:ser>
          <c:idx val="10"/>
          <c:order val="10"/>
          <c:tx>
            <c:strRef>
              <c:f>Sheet1!$A$137</c:f>
              <c:strCache>
                <c:ptCount val="1"/>
                <c:pt idx="0">
                  <c:v>EN113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Sheet1!$B$126:$C$126</c:f>
              <c:strCache>
                <c:ptCount val="2"/>
                <c:pt idx="0">
                  <c:v>Week 1, session 1</c:v>
                </c:pt>
                <c:pt idx="1">
                  <c:v>Week 5, session 1</c:v>
                </c:pt>
              </c:strCache>
            </c:strRef>
          </c:cat>
          <c:val>
            <c:numRef>
              <c:f>Sheet1!$B$137:$C$137</c:f>
              <c:numCache>
                <c:formatCode>General</c:formatCode>
                <c:ptCount val="2"/>
                <c:pt idx="0">
                  <c:v>3</c:v>
                </c:pt>
                <c:pt idx="1">
                  <c:v>3</c:v>
                </c:pt>
              </c:numCache>
            </c:numRef>
          </c:val>
          <c:smooth val="0"/>
          <c:extLst>
            <c:ext xmlns:c16="http://schemas.microsoft.com/office/drawing/2014/chart" uri="{C3380CC4-5D6E-409C-BE32-E72D297353CC}">
              <c16:uniqueId val="{0000000A-8444-1B4B-9583-3FE9B401F7B0}"/>
            </c:ext>
          </c:extLst>
        </c:ser>
        <c:dLbls>
          <c:showLegendKey val="0"/>
          <c:showVal val="0"/>
          <c:showCatName val="0"/>
          <c:showSerName val="0"/>
          <c:showPercent val="0"/>
          <c:showBubbleSize val="0"/>
        </c:dLbls>
        <c:marker val="1"/>
        <c:smooth val="0"/>
        <c:axId val="435620272"/>
        <c:axId val="438546624"/>
      </c:lineChart>
      <c:catAx>
        <c:axId val="43562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8546624"/>
        <c:crosses val="autoZero"/>
        <c:auto val="1"/>
        <c:lblAlgn val="ctr"/>
        <c:lblOffset val="100"/>
        <c:noMultiLvlLbl val="0"/>
      </c:catAx>
      <c:valAx>
        <c:axId val="438546624"/>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Codes band colour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620272"/>
        <c:crosses val="autoZero"/>
        <c:crossBetween val="between"/>
        <c:majorUnit val="1"/>
        <c:min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0" i="0" baseline="0">
                <a:effectLst/>
              </a:rPr>
              <a:t>Comparison between week 2 and week 6 for resistance bands used (session 1)</a:t>
            </a:r>
            <a:endParaRPr lang="en-GB"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Sheet1!$A$156</c:f>
              <c:strCache>
                <c:ptCount val="1"/>
                <c:pt idx="0">
                  <c:v>EN101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Sheet1!$B$155:$C$155</c:f>
              <c:strCache>
                <c:ptCount val="2"/>
                <c:pt idx="0">
                  <c:v>Week 2, session 1</c:v>
                </c:pt>
                <c:pt idx="1">
                  <c:v>Week 6, session 1</c:v>
                </c:pt>
              </c:strCache>
            </c:strRef>
          </c:cat>
          <c:val>
            <c:numRef>
              <c:f>Sheet1!$B$156:$C$156</c:f>
              <c:numCache>
                <c:formatCode>General</c:formatCode>
                <c:ptCount val="2"/>
                <c:pt idx="0">
                  <c:v>3</c:v>
                </c:pt>
              </c:numCache>
            </c:numRef>
          </c:val>
          <c:smooth val="0"/>
          <c:extLst>
            <c:ext xmlns:c16="http://schemas.microsoft.com/office/drawing/2014/chart" uri="{C3380CC4-5D6E-409C-BE32-E72D297353CC}">
              <c16:uniqueId val="{00000000-BB07-2242-AC82-B02881668DEA}"/>
            </c:ext>
          </c:extLst>
        </c:ser>
        <c:ser>
          <c:idx val="1"/>
          <c:order val="1"/>
          <c:tx>
            <c:strRef>
              <c:f>Sheet1!$A$157</c:f>
              <c:strCache>
                <c:ptCount val="1"/>
                <c:pt idx="0">
                  <c:v>EN103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Sheet1!$B$155:$C$155</c:f>
              <c:strCache>
                <c:ptCount val="2"/>
                <c:pt idx="0">
                  <c:v>Week 2, session 1</c:v>
                </c:pt>
                <c:pt idx="1">
                  <c:v>Week 6, session 1</c:v>
                </c:pt>
              </c:strCache>
            </c:strRef>
          </c:cat>
          <c:val>
            <c:numRef>
              <c:f>Sheet1!$B$157:$C$157</c:f>
              <c:numCache>
                <c:formatCode>General</c:formatCode>
                <c:ptCount val="2"/>
                <c:pt idx="0">
                  <c:v>2</c:v>
                </c:pt>
                <c:pt idx="1">
                  <c:v>2</c:v>
                </c:pt>
              </c:numCache>
            </c:numRef>
          </c:val>
          <c:smooth val="0"/>
          <c:extLst>
            <c:ext xmlns:c16="http://schemas.microsoft.com/office/drawing/2014/chart" uri="{C3380CC4-5D6E-409C-BE32-E72D297353CC}">
              <c16:uniqueId val="{00000001-BB07-2242-AC82-B02881668DEA}"/>
            </c:ext>
          </c:extLst>
        </c:ser>
        <c:ser>
          <c:idx val="2"/>
          <c:order val="2"/>
          <c:tx>
            <c:strRef>
              <c:f>Sheet1!$A$158</c:f>
              <c:strCache>
                <c:ptCount val="1"/>
                <c:pt idx="0">
                  <c:v>EN104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Sheet1!$B$155:$C$155</c:f>
              <c:strCache>
                <c:ptCount val="2"/>
                <c:pt idx="0">
                  <c:v>Week 2, session 1</c:v>
                </c:pt>
                <c:pt idx="1">
                  <c:v>Week 6, session 1</c:v>
                </c:pt>
              </c:strCache>
            </c:strRef>
          </c:cat>
          <c:val>
            <c:numRef>
              <c:f>Sheet1!$B$158:$C$158</c:f>
              <c:numCache>
                <c:formatCode>General</c:formatCode>
                <c:ptCount val="2"/>
                <c:pt idx="0">
                  <c:v>2</c:v>
                </c:pt>
                <c:pt idx="1">
                  <c:v>4</c:v>
                </c:pt>
              </c:numCache>
            </c:numRef>
          </c:val>
          <c:smooth val="0"/>
          <c:extLst>
            <c:ext xmlns:c16="http://schemas.microsoft.com/office/drawing/2014/chart" uri="{C3380CC4-5D6E-409C-BE32-E72D297353CC}">
              <c16:uniqueId val="{00000002-BB07-2242-AC82-B02881668DEA}"/>
            </c:ext>
          </c:extLst>
        </c:ser>
        <c:ser>
          <c:idx val="3"/>
          <c:order val="3"/>
          <c:tx>
            <c:strRef>
              <c:f>Sheet1!$A$159</c:f>
              <c:strCache>
                <c:ptCount val="1"/>
                <c:pt idx="0">
                  <c:v>EN105</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Sheet1!$B$155:$C$155</c:f>
              <c:strCache>
                <c:ptCount val="2"/>
                <c:pt idx="0">
                  <c:v>Week 2, session 1</c:v>
                </c:pt>
                <c:pt idx="1">
                  <c:v>Week 6, session 1</c:v>
                </c:pt>
              </c:strCache>
            </c:strRef>
          </c:cat>
          <c:val>
            <c:numRef>
              <c:f>Sheet1!$B$159:$C$159</c:f>
              <c:numCache>
                <c:formatCode>General</c:formatCode>
                <c:ptCount val="2"/>
              </c:numCache>
            </c:numRef>
          </c:val>
          <c:smooth val="0"/>
          <c:extLst>
            <c:ext xmlns:c16="http://schemas.microsoft.com/office/drawing/2014/chart" uri="{C3380CC4-5D6E-409C-BE32-E72D297353CC}">
              <c16:uniqueId val="{00000003-BB07-2242-AC82-B02881668DEA}"/>
            </c:ext>
          </c:extLst>
        </c:ser>
        <c:ser>
          <c:idx val="4"/>
          <c:order val="4"/>
          <c:tx>
            <c:strRef>
              <c:f>Sheet1!$A$160</c:f>
              <c:strCache>
                <c:ptCount val="1"/>
                <c:pt idx="0">
                  <c:v>EN106</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Sheet1!$B$155:$C$155</c:f>
              <c:strCache>
                <c:ptCount val="2"/>
                <c:pt idx="0">
                  <c:v>Week 2, session 1</c:v>
                </c:pt>
                <c:pt idx="1">
                  <c:v>Week 6, session 1</c:v>
                </c:pt>
              </c:strCache>
            </c:strRef>
          </c:cat>
          <c:val>
            <c:numRef>
              <c:f>Sheet1!$B$160:$C$160</c:f>
              <c:numCache>
                <c:formatCode>General</c:formatCode>
                <c:ptCount val="2"/>
                <c:pt idx="0">
                  <c:v>3</c:v>
                </c:pt>
                <c:pt idx="1">
                  <c:v>5</c:v>
                </c:pt>
              </c:numCache>
            </c:numRef>
          </c:val>
          <c:smooth val="0"/>
          <c:extLst>
            <c:ext xmlns:c16="http://schemas.microsoft.com/office/drawing/2014/chart" uri="{C3380CC4-5D6E-409C-BE32-E72D297353CC}">
              <c16:uniqueId val="{00000004-BB07-2242-AC82-B02881668DEA}"/>
            </c:ext>
          </c:extLst>
        </c:ser>
        <c:ser>
          <c:idx val="5"/>
          <c:order val="5"/>
          <c:tx>
            <c:strRef>
              <c:f>Sheet1!$A$161</c:f>
              <c:strCache>
                <c:ptCount val="1"/>
                <c:pt idx="0">
                  <c:v>EN107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Sheet1!$B$155:$C$155</c:f>
              <c:strCache>
                <c:ptCount val="2"/>
                <c:pt idx="0">
                  <c:v>Week 2, session 1</c:v>
                </c:pt>
                <c:pt idx="1">
                  <c:v>Week 6, session 1</c:v>
                </c:pt>
              </c:strCache>
            </c:strRef>
          </c:cat>
          <c:val>
            <c:numRef>
              <c:f>Sheet1!$B$161:$C$161</c:f>
              <c:numCache>
                <c:formatCode>General</c:formatCode>
                <c:ptCount val="2"/>
              </c:numCache>
            </c:numRef>
          </c:val>
          <c:smooth val="0"/>
          <c:extLst>
            <c:ext xmlns:c16="http://schemas.microsoft.com/office/drawing/2014/chart" uri="{C3380CC4-5D6E-409C-BE32-E72D297353CC}">
              <c16:uniqueId val="{00000005-BB07-2242-AC82-B02881668DEA}"/>
            </c:ext>
          </c:extLst>
        </c:ser>
        <c:ser>
          <c:idx val="6"/>
          <c:order val="6"/>
          <c:tx>
            <c:strRef>
              <c:f>Sheet1!$A$162</c:f>
              <c:strCache>
                <c:ptCount val="1"/>
                <c:pt idx="0">
                  <c:v>EN108</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Sheet1!$B$155:$C$155</c:f>
              <c:strCache>
                <c:ptCount val="2"/>
                <c:pt idx="0">
                  <c:v>Week 2, session 1</c:v>
                </c:pt>
                <c:pt idx="1">
                  <c:v>Week 6, session 1</c:v>
                </c:pt>
              </c:strCache>
            </c:strRef>
          </c:cat>
          <c:val>
            <c:numRef>
              <c:f>Sheet1!$B$162:$C$162</c:f>
              <c:numCache>
                <c:formatCode>General</c:formatCode>
                <c:ptCount val="2"/>
                <c:pt idx="0">
                  <c:v>4</c:v>
                </c:pt>
                <c:pt idx="1">
                  <c:v>3</c:v>
                </c:pt>
              </c:numCache>
            </c:numRef>
          </c:val>
          <c:smooth val="0"/>
          <c:extLst>
            <c:ext xmlns:c16="http://schemas.microsoft.com/office/drawing/2014/chart" uri="{C3380CC4-5D6E-409C-BE32-E72D297353CC}">
              <c16:uniqueId val="{00000006-BB07-2242-AC82-B02881668DEA}"/>
            </c:ext>
          </c:extLst>
        </c:ser>
        <c:ser>
          <c:idx val="7"/>
          <c:order val="7"/>
          <c:tx>
            <c:strRef>
              <c:f>Sheet1!$A$163</c:f>
              <c:strCache>
                <c:ptCount val="1"/>
                <c:pt idx="0">
                  <c:v>EN109</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Sheet1!$B$155:$C$155</c:f>
              <c:strCache>
                <c:ptCount val="2"/>
                <c:pt idx="0">
                  <c:v>Week 2, session 1</c:v>
                </c:pt>
                <c:pt idx="1">
                  <c:v>Week 6, session 1</c:v>
                </c:pt>
              </c:strCache>
            </c:strRef>
          </c:cat>
          <c:val>
            <c:numRef>
              <c:f>Sheet1!$B$163:$C$163</c:f>
              <c:numCache>
                <c:formatCode>General</c:formatCode>
                <c:ptCount val="2"/>
                <c:pt idx="1">
                  <c:v>2</c:v>
                </c:pt>
              </c:numCache>
            </c:numRef>
          </c:val>
          <c:smooth val="0"/>
          <c:extLst>
            <c:ext xmlns:c16="http://schemas.microsoft.com/office/drawing/2014/chart" uri="{C3380CC4-5D6E-409C-BE32-E72D297353CC}">
              <c16:uniqueId val="{00000007-BB07-2242-AC82-B02881668DEA}"/>
            </c:ext>
          </c:extLst>
        </c:ser>
        <c:ser>
          <c:idx val="8"/>
          <c:order val="8"/>
          <c:tx>
            <c:strRef>
              <c:f>Sheet1!$A$164</c:f>
              <c:strCache>
                <c:ptCount val="1"/>
                <c:pt idx="0">
                  <c:v>EN110</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Sheet1!$B$155:$C$155</c:f>
              <c:strCache>
                <c:ptCount val="2"/>
                <c:pt idx="0">
                  <c:v>Week 2, session 1</c:v>
                </c:pt>
                <c:pt idx="1">
                  <c:v>Week 6, session 1</c:v>
                </c:pt>
              </c:strCache>
            </c:strRef>
          </c:cat>
          <c:val>
            <c:numRef>
              <c:f>Sheet1!$B$164:$C$164</c:f>
              <c:numCache>
                <c:formatCode>General</c:formatCode>
                <c:ptCount val="2"/>
                <c:pt idx="0">
                  <c:v>3</c:v>
                </c:pt>
                <c:pt idx="1">
                  <c:v>4</c:v>
                </c:pt>
              </c:numCache>
            </c:numRef>
          </c:val>
          <c:smooth val="0"/>
          <c:extLst>
            <c:ext xmlns:c16="http://schemas.microsoft.com/office/drawing/2014/chart" uri="{C3380CC4-5D6E-409C-BE32-E72D297353CC}">
              <c16:uniqueId val="{00000008-BB07-2242-AC82-B02881668DEA}"/>
            </c:ext>
          </c:extLst>
        </c:ser>
        <c:ser>
          <c:idx val="9"/>
          <c:order val="9"/>
          <c:tx>
            <c:strRef>
              <c:f>Sheet1!$A$165</c:f>
              <c:strCache>
                <c:ptCount val="1"/>
                <c:pt idx="0">
                  <c:v>EN112</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Sheet1!$B$155:$C$155</c:f>
              <c:strCache>
                <c:ptCount val="2"/>
                <c:pt idx="0">
                  <c:v>Week 2, session 1</c:v>
                </c:pt>
                <c:pt idx="1">
                  <c:v>Week 6, session 1</c:v>
                </c:pt>
              </c:strCache>
            </c:strRef>
          </c:cat>
          <c:val>
            <c:numRef>
              <c:f>Sheet1!$B$165:$C$165</c:f>
              <c:numCache>
                <c:formatCode>General</c:formatCode>
                <c:ptCount val="2"/>
                <c:pt idx="0">
                  <c:v>2</c:v>
                </c:pt>
                <c:pt idx="1">
                  <c:v>3</c:v>
                </c:pt>
              </c:numCache>
            </c:numRef>
          </c:val>
          <c:smooth val="0"/>
          <c:extLst>
            <c:ext xmlns:c16="http://schemas.microsoft.com/office/drawing/2014/chart" uri="{C3380CC4-5D6E-409C-BE32-E72D297353CC}">
              <c16:uniqueId val="{00000009-BB07-2242-AC82-B02881668DEA}"/>
            </c:ext>
          </c:extLst>
        </c:ser>
        <c:ser>
          <c:idx val="10"/>
          <c:order val="10"/>
          <c:tx>
            <c:strRef>
              <c:f>Sheet1!$A$166</c:f>
              <c:strCache>
                <c:ptCount val="1"/>
                <c:pt idx="0">
                  <c:v>EN113</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strRef>
              <c:f>Sheet1!$B$155:$C$155</c:f>
              <c:strCache>
                <c:ptCount val="2"/>
                <c:pt idx="0">
                  <c:v>Week 2, session 1</c:v>
                </c:pt>
                <c:pt idx="1">
                  <c:v>Week 6, session 1</c:v>
                </c:pt>
              </c:strCache>
            </c:strRef>
          </c:cat>
          <c:val>
            <c:numRef>
              <c:f>Sheet1!$B$166:$C$166</c:f>
              <c:numCache>
                <c:formatCode>General</c:formatCode>
                <c:ptCount val="2"/>
                <c:pt idx="0">
                  <c:v>3</c:v>
                </c:pt>
                <c:pt idx="1">
                  <c:v>3</c:v>
                </c:pt>
              </c:numCache>
            </c:numRef>
          </c:val>
          <c:smooth val="0"/>
          <c:extLst>
            <c:ext xmlns:c16="http://schemas.microsoft.com/office/drawing/2014/chart" uri="{C3380CC4-5D6E-409C-BE32-E72D297353CC}">
              <c16:uniqueId val="{0000000A-BB07-2242-AC82-B02881668DEA}"/>
            </c:ext>
          </c:extLst>
        </c:ser>
        <c:dLbls>
          <c:showLegendKey val="0"/>
          <c:showVal val="0"/>
          <c:showCatName val="0"/>
          <c:showSerName val="0"/>
          <c:showPercent val="0"/>
          <c:showBubbleSize val="0"/>
        </c:dLbls>
        <c:marker val="1"/>
        <c:smooth val="0"/>
        <c:axId val="429445296"/>
        <c:axId val="324176272"/>
      </c:lineChart>
      <c:catAx>
        <c:axId val="42944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176272"/>
        <c:crosses val="autoZero"/>
        <c:auto val="1"/>
        <c:lblAlgn val="ctr"/>
        <c:lblOffset val="100"/>
        <c:noMultiLvlLbl val="0"/>
      </c:catAx>
      <c:valAx>
        <c:axId val="324176272"/>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Coded</a:t>
                </a:r>
                <a:r>
                  <a:rPr lang="en-GB" baseline="0"/>
                  <a:t> band colour</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9445296"/>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b="0" i="0" baseline="0">
                <a:effectLst/>
              </a:rPr>
              <a:t>Comparison between week 2 and week 6 for resistance bands used (session 2)</a:t>
            </a:r>
            <a:endParaRPr lang="en-GB"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Sheet1!$A$171</c:f>
              <c:strCache>
                <c:ptCount val="1"/>
                <c:pt idx="0">
                  <c:v>EN101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Sheet1!$B$170:$C$170</c:f>
              <c:strCache>
                <c:ptCount val="2"/>
                <c:pt idx="0">
                  <c:v>Week 2, session 2</c:v>
                </c:pt>
                <c:pt idx="1">
                  <c:v>Week 6, session 2</c:v>
                </c:pt>
              </c:strCache>
            </c:strRef>
          </c:cat>
          <c:val>
            <c:numRef>
              <c:f>Sheet1!$B$171:$C$171</c:f>
              <c:numCache>
                <c:formatCode>General</c:formatCode>
                <c:ptCount val="2"/>
              </c:numCache>
            </c:numRef>
          </c:val>
          <c:smooth val="0"/>
          <c:extLst>
            <c:ext xmlns:c16="http://schemas.microsoft.com/office/drawing/2014/chart" uri="{C3380CC4-5D6E-409C-BE32-E72D297353CC}">
              <c16:uniqueId val="{00000000-8FA2-8F4E-9592-C88D54069E66}"/>
            </c:ext>
          </c:extLst>
        </c:ser>
        <c:ser>
          <c:idx val="1"/>
          <c:order val="1"/>
          <c:tx>
            <c:strRef>
              <c:f>Sheet1!$A$172</c:f>
              <c:strCache>
                <c:ptCount val="1"/>
                <c:pt idx="0">
                  <c:v>EN103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Sheet1!$B$170:$C$170</c:f>
              <c:strCache>
                <c:ptCount val="2"/>
                <c:pt idx="0">
                  <c:v>Week 2, session 2</c:v>
                </c:pt>
                <c:pt idx="1">
                  <c:v>Week 6, session 2</c:v>
                </c:pt>
              </c:strCache>
            </c:strRef>
          </c:cat>
          <c:val>
            <c:numRef>
              <c:f>Sheet1!$B$172:$C$172</c:f>
              <c:numCache>
                <c:formatCode>General</c:formatCode>
                <c:ptCount val="2"/>
                <c:pt idx="0">
                  <c:v>2</c:v>
                </c:pt>
              </c:numCache>
            </c:numRef>
          </c:val>
          <c:smooth val="0"/>
          <c:extLst>
            <c:ext xmlns:c16="http://schemas.microsoft.com/office/drawing/2014/chart" uri="{C3380CC4-5D6E-409C-BE32-E72D297353CC}">
              <c16:uniqueId val="{00000001-8FA2-8F4E-9592-C88D54069E66}"/>
            </c:ext>
          </c:extLst>
        </c:ser>
        <c:ser>
          <c:idx val="2"/>
          <c:order val="2"/>
          <c:tx>
            <c:strRef>
              <c:f>Sheet1!$A$173</c:f>
              <c:strCache>
                <c:ptCount val="1"/>
                <c:pt idx="0">
                  <c:v>EN104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Sheet1!$B$170:$C$170</c:f>
              <c:strCache>
                <c:ptCount val="2"/>
                <c:pt idx="0">
                  <c:v>Week 2, session 2</c:v>
                </c:pt>
                <c:pt idx="1">
                  <c:v>Week 6, session 2</c:v>
                </c:pt>
              </c:strCache>
            </c:strRef>
          </c:cat>
          <c:val>
            <c:numRef>
              <c:f>Sheet1!$B$173:$C$173</c:f>
              <c:numCache>
                <c:formatCode>General</c:formatCode>
                <c:ptCount val="2"/>
                <c:pt idx="0">
                  <c:v>2</c:v>
                </c:pt>
                <c:pt idx="1">
                  <c:v>5</c:v>
                </c:pt>
              </c:numCache>
            </c:numRef>
          </c:val>
          <c:smooth val="0"/>
          <c:extLst>
            <c:ext xmlns:c16="http://schemas.microsoft.com/office/drawing/2014/chart" uri="{C3380CC4-5D6E-409C-BE32-E72D297353CC}">
              <c16:uniqueId val="{00000002-8FA2-8F4E-9592-C88D54069E66}"/>
            </c:ext>
          </c:extLst>
        </c:ser>
        <c:ser>
          <c:idx val="3"/>
          <c:order val="3"/>
          <c:tx>
            <c:strRef>
              <c:f>Sheet1!$A$174</c:f>
              <c:strCache>
                <c:ptCount val="1"/>
                <c:pt idx="0">
                  <c:v>EN106</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Sheet1!$B$170:$C$170</c:f>
              <c:strCache>
                <c:ptCount val="2"/>
                <c:pt idx="0">
                  <c:v>Week 2, session 2</c:v>
                </c:pt>
                <c:pt idx="1">
                  <c:v>Week 6, session 2</c:v>
                </c:pt>
              </c:strCache>
            </c:strRef>
          </c:cat>
          <c:val>
            <c:numRef>
              <c:f>Sheet1!$B$174:$C$174</c:f>
              <c:numCache>
                <c:formatCode>General</c:formatCode>
                <c:ptCount val="2"/>
                <c:pt idx="0">
                  <c:v>3</c:v>
                </c:pt>
                <c:pt idx="1">
                  <c:v>5</c:v>
                </c:pt>
              </c:numCache>
            </c:numRef>
          </c:val>
          <c:smooth val="0"/>
          <c:extLst>
            <c:ext xmlns:c16="http://schemas.microsoft.com/office/drawing/2014/chart" uri="{C3380CC4-5D6E-409C-BE32-E72D297353CC}">
              <c16:uniqueId val="{00000003-8FA2-8F4E-9592-C88D54069E66}"/>
            </c:ext>
          </c:extLst>
        </c:ser>
        <c:ser>
          <c:idx val="4"/>
          <c:order val="4"/>
          <c:tx>
            <c:strRef>
              <c:f>Sheet1!$A$175</c:f>
              <c:strCache>
                <c:ptCount val="1"/>
                <c:pt idx="0">
                  <c:v>EN107</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Sheet1!$B$170:$C$170</c:f>
              <c:strCache>
                <c:ptCount val="2"/>
                <c:pt idx="0">
                  <c:v>Week 2, session 2</c:v>
                </c:pt>
                <c:pt idx="1">
                  <c:v>Week 6, session 2</c:v>
                </c:pt>
              </c:strCache>
            </c:strRef>
          </c:cat>
          <c:val>
            <c:numRef>
              <c:f>Sheet1!$B$175:$C$175</c:f>
              <c:numCache>
                <c:formatCode>General</c:formatCode>
                <c:ptCount val="2"/>
              </c:numCache>
            </c:numRef>
          </c:val>
          <c:smooth val="0"/>
          <c:extLst>
            <c:ext xmlns:c16="http://schemas.microsoft.com/office/drawing/2014/chart" uri="{C3380CC4-5D6E-409C-BE32-E72D297353CC}">
              <c16:uniqueId val="{00000004-8FA2-8F4E-9592-C88D54069E66}"/>
            </c:ext>
          </c:extLst>
        </c:ser>
        <c:ser>
          <c:idx val="5"/>
          <c:order val="5"/>
          <c:tx>
            <c:strRef>
              <c:f>Sheet1!$A$176</c:f>
              <c:strCache>
                <c:ptCount val="1"/>
                <c:pt idx="0">
                  <c:v>EN108</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Sheet1!$B$170:$C$170</c:f>
              <c:strCache>
                <c:ptCount val="2"/>
                <c:pt idx="0">
                  <c:v>Week 2, session 2</c:v>
                </c:pt>
                <c:pt idx="1">
                  <c:v>Week 6, session 2</c:v>
                </c:pt>
              </c:strCache>
            </c:strRef>
          </c:cat>
          <c:val>
            <c:numRef>
              <c:f>Sheet1!$B$176:$C$176</c:f>
              <c:numCache>
                <c:formatCode>General</c:formatCode>
                <c:ptCount val="2"/>
                <c:pt idx="0">
                  <c:v>4</c:v>
                </c:pt>
                <c:pt idx="1">
                  <c:v>3</c:v>
                </c:pt>
              </c:numCache>
            </c:numRef>
          </c:val>
          <c:smooth val="0"/>
          <c:extLst>
            <c:ext xmlns:c16="http://schemas.microsoft.com/office/drawing/2014/chart" uri="{C3380CC4-5D6E-409C-BE32-E72D297353CC}">
              <c16:uniqueId val="{00000005-8FA2-8F4E-9592-C88D54069E66}"/>
            </c:ext>
          </c:extLst>
        </c:ser>
        <c:ser>
          <c:idx val="6"/>
          <c:order val="6"/>
          <c:tx>
            <c:strRef>
              <c:f>Sheet1!$A$177</c:f>
              <c:strCache>
                <c:ptCount val="1"/>
                <c:pt idx="0">
                  <c:v>EN109</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Sheet1!$B$170:$C$170</c:f>
              <c:strCache>
                <c:ptCount val="2"/>
                <c:pt idx="0">
                  <c:v>Week 2, session 2</c:v>
                </c:pt>
                <c:pt idx="1">
                  <c:v>Week 6, session 2</c:v>
                </c:pt>
              </c:strCache>
            </c:strRef>
          </c:cat>
          <c:val>
            <c:numRef>
              <c:f>Sheet1!$B$177:$C$177</c:f>
              <c:numCache>
                <c:formatCode>General</c:formatCode>
                <c:ptCount val="2"/>
                <c:pt idx="0">
                  <c:v>1</c:v>
                </c:pt>
                <c:pt idx="1">
                  <c:v>2</c:v>
                </c:pt>
              </c:numCache>
            </c:numRef>
          </c:val>
          <c:smooth val="0"/>
          <c:extLst>
            <c:ext xmlns:c16="http://schemas.microsoft.com/office/drawing/2014/chart" uri="{C3380CC4-5D6E-409C-BE32-E72D297353CC}">
              <c16:uniqueId val="{00000006-8FA2-8F4E-9592-C88D54069E66}"/>
            </c:ext>
          </c:extLst>
        </c:ser>
        <c:ser>
          <c:idx val="7"/>
          <c:order val="7"/>
          <c:tx>
            <c:strRef>
              <c:f>Sheet1!$A$178</c:f>
              <c:strCache>
                <c:ptCount val="1"/>
                <c:pt idx="0">
                  <c:v>EN110</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Sheet1!$B$170:$C$170</c:f>
              <c:strCache>
                <c:ptCount val="2"/>
                <c:pt idx="0">
                  <c:v>Week 2, session 2</c:v>
                </c:pt>
                <c:pt idx="1">
                  <c:v>Week 6, session 2</c:v>
                </c:pt>
              </c:strCache>
            </c:strRef>
          </c:cat>
          <c:val>
            <c:numRef>
              <c:f>Sheet1!$B$178:$C$178</c:f>
              <c:numCache>
                <c:formatCode>General</c:formatCode>
                <c:ptCount val="2"/>
                <c:pt idx="0">
                  <c:v>2</c:v>
                </c:pt>
              </c:numCache>
            </c:numRef>
          </c:val>
          <c:smooth val="0"/>
          <c:extLst>
            <c:ext xmlns:c16="http://schemas.microsoft.com/office/drawing/2014/chart" uri="{C3380CC4-5D6E-409C-BE32-E72D297353CC}">
              <c16:uniqueId val="{00000007-8FA2-8F4E-9592-C88D54069E66}"/>
            </c:ext>
          </c:extLst>
        </c:ser>
        <c:ser>
          <c:idx val="8"/>
          <c:order val="8"/>
          <c:tx>
            <c:strRef>
              <c:f>Sheet1!$A$179</c:f>
              <c:strCache>
                <c:ptCount val="1"/>
                <c:pt idx="0">
                  <c:v>EN112</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strRef>
              <c:f>Sheet1!$B$170:$C$170</c:f>
              <c:strCache>
                <c:ptCount val="2"/>
                <c:pt idx="0">
                  <c:v>Week 2, session 2</c:v>
                </c:pt>
                <c:pt idx="1">
                  <c:v>Week 6, session 2</c:v>
                </c:pt>
              </c:strCache>
            </c:strRef>
          </c:cat>
          <c:val>
            <c:numRef>
              <c:f>Sheet1!$B$179:$C$179</c:f>
              <c:numCache>
                <c:formatCode>General</c:formatCode>
                <c:ptCount val="2"/>
                <c:pt idx="0">
                  <c:v>2</c:v>
                </c:pt>
                <c:pt idx="1">
                  <c:v>3</c:v>
                </c:pt>
              </c:numCache>
            </c:numRef>
          </c:val>
          <c:smooth val="0"/>
          <c:extLst>
            <c:ext xmlns:c16="http://schemas.microsoft.com/office/drawing/2014/chart" uri="{C3380CC4-5D6E-409C-BE32-E72D297353CC}">
              <c16:uniqueId val="{00000008-8FA2-8F4E-9592-C88D54069E66}"/>
            </c:ext>
          </c:extLst>
        </c:ser>
        <c:ser>
          <c:idx val="9"/>
          <c:order val="9"/>
          <c:tx>
            <c:strRef>
              <c:f>Sheet1!$A$180</c:f>
              <c:strCache>
                <c:ptCount val="1"/>
                <c:pt idx="0">
                  <c:v>EN113</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strRef>
              <c:f>Sheet1!$B$170:$C$170</c:f>
              <c:strCache>
                <c:ptCount val="2"/>
                <c:pt idx="0">
                  <c:v>Week 2, session 2</c:v>
                </c:pt>
                <c:pt idx="1">
                  <c:v>Week 6, session 2</c:v>
                </c:pt>
              </c:strCache>
            </c:strRef>
          </c:cat>
          <c:val>
            <c:numRef>
              <c:f>Sheet1!$B$180:$C$180</c:f>
              <c:numCache>
                <c:formatCode>General</c:formatCode>
                <c:ptCount val="2"/>
                <c:pt idx="0">
                  <c:v>3</c:v>
                </c:pt>
              </c:numCache>
            </c:numRef>
          </c:val>
          <c:smooth val="0"/>
          <c:extLst>
            <c:ext xmlns:c16="http://schemas.microsoft.com/office/drawing/2014/chart" uri="{C3380CC4-5D6E-409C-BE32-E72D297353CC}">
              <c16:uniqueId val="{00000009-8FA2-8F4E-9592-C88D54069E66}"/>
            </c:ext>
          </c:extLst>
        </c:ser>
        <c:dLbls>
          <c:showLegendKey val="0"/>
          <c:showVal val="0"/>
          <c:showCatName val="0"/>
          <c:showSerName val="0"/>
          <c:showPercent val="0"/>
          <c:showBubbleSize val="0"/>
        </c:dLbls>
        <c:marker val="1"/>
        <c:smooth val="0"/>
        <c:axId val="432960496"/>
        <c:axId val="432841376"/>
      </c:lineChart>
      <c:catAx>
        <c:axId val="43296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841376"/>
        <c:crosses val="autoZero"/>
        <c:auto val="1"/>
        <c:lblAlgn val="ctr"/>
        <c:lblOffset val="100"/>
        <c:noMultiLvlLbl val="0"/>
      </c:catAx>
      <c:valAx>
        <c:axId val="432841376"/>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Coded band</a:t>
                </a:r>
                <a:r>
                  <a:rPr lang="en-GB" baseline="0"/>
                  <a:t> colour</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960496"/>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7ED66-7B34-CD46-9630-0D4A5873B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364</Pages>
  <Words>279010</Words>
  <Characters>1590363</Characters>
  <Application>Microsoft Office Word</Application>
  <DocSecurity>0</DocSecurity>
  <Lines>13253</Lines>
  <Paragraphs>3731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1865642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Esme Tuttiett</dc:creator>
  <cp:keywords/>
  <dc:description/>
  <cp:lastModifiedBy>Esme Tuttiett</cp:lastModifiedBy>
  <cp:revision>2</cp:revision>
  <cp:lastPrinted>2023-01-03T15:23:00Z</cp:lastPrinted>
  <dcterms:created xsi:type="dcterms:W3CDTF">2023-06-01T14:10:00Z</dcterms:created>
  <dcterms:modified xsi:type="dcterms:W3CDTF">2023-06-01T14:10:00Z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f16ce072-506d-3db1-bcf9-eb1168e55867</vt:lpwstr>
  </property>
  <property fmtid="{D5CDD505-2E9C-101B-9397-08002B2CF9AE}" pid="4" name="Mendeley Citation Style_1">
    <vt:lpwstr>http://www.zotero.org/styles/vancouver</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vt:lpwstr>
  </property>
  <property fmtid="{D5CDD505-2E9C-101B-9397-08002B2CF9AE}" pid="7" name="Mendeley Recent Style Id 1_1">
    <vt:lpwstr>http://www.zotero.org/styles/appetite</vt:lpwstr>
  </property>
  <property fmtid="{D5CDD505-2E9C-101B-9397-08002B2CF9AE}" pid="8" name="Mendeley Recent Style Name 1_1">
    <vt:lpwstr>Appetite</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(deprecated)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